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绍兴市越城区富盛镇人民政府</w:t>
      </w:r>
    </w:p>
    <w:p>
      <w:pPr>
        <w:bidi w:val="0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lang w:eastAsia="zh-CN"/>
        </w:rPr>
        <w:t>（</w:t>
      </w:r>
      <w:r>
        <w:rPr>
          <w:rFonts w:hint="default" w:ascii="Times New Roman" w:hAnsi="Times New Roman" w:eastAsia="楷体_GB2312" w:cs="Times New Roman"/>
        </w:rPr>
        <w:t>20</w:t>
      </w:r>
      <w:r>
        <w:rPr>
          <w:rFonts w:hint="default" w:ascii="Times New Roman" w:hAnsi="Times New Roman" w:eastAsia="楷体_GB2312" w:cs="Times New Roman"/>
          <w:lang w:val="en-US" w:eastAsia="zh-CN"/>
        </w:rPr>
        <w:t>2</w:t>
      </w:r>
      <w:r>
        <w:rPr>
          <w:rFonts w:hint="eastAsia" w:eastAsia="楷体_GB2312" w:cs="Times New Roman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</w:rPr>
        <w:t>年</w:t>
      </w:r>
      <w:r>
        <w:rPr>
          <w:rFonts w:hint="default" w:ascii="Times New Roman" w:hAnsi="Times New Roman" w:eastAsia="楷体_GB2312" w:cs="Times New Roman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</w:rPr>
        <w:t>月</w:t>
      </w:r>
      <w:r>
        <w:rPr>
          <w:rFonts w:hint="eastAsia" w:eastAsia="楷体_GB2312" w:cs="Times New Roman"/>
          <w:lang w:val="en-US" w:eastAsia="zh-CN"/>
        </w:rPr>
        <w:t>29</w:t>
      </w:r>
      <w:r>
        <w:rPr>
          <w:rFonts w:hint="default" w:ascii="Times New Roman" w:hAnsi="Times New Roman" w:eastAsia="楷体_GB2312" w:cs="Times New Roman"/>
        </w:rPr>
        <w:t>日</w:t>
      </w:r>
      <w:r>
        <w:rPr>
          <w:rFonts w:hint="default" w:ascii="Times New Roman" w:hAnsi="Times New Roman" w:eastAsia="楷体_GB2312" w:cs="Times New Roman"/>
          <w:lang w:eastAsia="zh-CN"/>
        </w:rPr>
        <w:t>）</w:t>
      </w:r>
    </w:p>
    <w:p>
      <w:pPr>
        <w:snapToGrid w:val="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本年度报告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是根据《中华人民共和国政府信息公开条例》（以下简称《条例》）要求，由绍兴市越城区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富盛镇人民政府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编制的20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年政府信息公开年度报告。全文包括主动公开政府信息情况，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收到和处理政府信息公开申请情况，政府信息公开行政复议、行政诉讼情况，存在的主要问题及改进情况，其他需要报告的事项等。绍兴市越城区政务网公开年报栏目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instrText xml:space="preserve"> HYPERLINK "http://www.sxyc.gov.cn/"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t>http://www.sxyc.gov.cn/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</w:rPr>
        <w:t>)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可下载本报告电子版。如对本报告有任何疑问，请联系：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富盛镇人民政府党政综合办公室，联系电话：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0575-88715801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本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自201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年1月1日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32"/>
          <w:szCs w:val="32"/>
        </w:rPr>
        <w:t>到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12月31日累计主动公开政府信息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条，电子化全文公开率达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%。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在主动公开的信息中，其中政策文件类的信息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条，占总体的比例为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本年度总共栏目数为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个（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领导成员、下属机构、政策文件、政务动态、通知公告、部门文件、人事任免、财政预决算、招标公告、中标公告、信息公开年报、信息公开指南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）。</w:t>
      </w:r>
    </w:p>
    <w:p>
      <w:pPr>
        <w:bidi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410"/>
        <w:gridCol w:w="22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信息内容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制作数量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公开数量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规章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lang w:val="en-US" w:eastAsia="zh-CN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lang w:val="en-US" w:eastAsia="zh-CN"/>
              </w:rPr>
              <w:t>7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规范性文件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信息内容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项目数量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本年增/减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行政许可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其他对外管理服务事项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信息内容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项目数量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本年增/减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行政处罚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行政强制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信息内容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项目数量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行政事业性收费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信息内容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采购项目数量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>采购总金额(万元)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政府集中采购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 xml:space="preserve"> 三、收到和处理政府信息公开申请情况</w:t>
      </w:r>
    </w:p>
    <w:tbl>
      <w:tblPr>
        <w:tblStyle w:val="4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00"/>
        <w:gridCol w:w="900"/>
        <w:gridCol w:w="2026"/>
        <w:gridCol w:w="802"/>
        <w:gridCol w:w="746"/>
        <w:gridCol w:w="746"/>
        <w:gridCol w:w="802"/>
        <w:gridCol w:w="955"/>
        <w:gridCol w:w="704"/>
        <w:gridCol w:w="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4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自然人</w:t>
            </w:r>
          </w:p>
        </w:tc>
        <w:tc>
          <w:tcPr>
            <w:tcW w:w="39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商业企业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社会公益组织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三、本年度办理结果</w:t>
            </w: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（一）予以公开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（三）不予公开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1.属于国家秘密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2.其他法律行政法规禁止公开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3.危及“三安全一稳定”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4.保护第三方合法权益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5.属于三类内部事务信息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6.属于四类过程性信息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7.属于行政执法案卷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8.属于行政查询事项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（四）无法提供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1.本机关不掌握相关政府信息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2.没有现成信息需要另行制作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3.补正后申请内容仍不明确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（五）不予处理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1.信访举报投诉类申请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2.重复申请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3.要求提供公开出版物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4.无正当理由大量反复申请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（六）其他处理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</w:rPr>
              <w:t>（七）总计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四、结转下年度继续办理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</w:rPr>
      </w:pPr>
      <w:r>
        <w:rPr>
          <w:rFonts w:hint="default" w:ascii="Times New Roman" w:hAnsi="Times New Roman" w:eastAsia="黑体" w:cs="Times New Roman"/>
          <w:b/>
          <w:bCs/>
          <w:color w:val="000000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99"/>
        <w:gridCol w:w="599"/>
        <w:gridCol w:w="599"/>
        <w:gridCol w:w="599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其他结果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尚未审结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存在主要问题：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一是人员配置不固定。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信息公开主要有党政办人员兼任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流动性大、变动频繁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，工作缺失系统性和连贯性。二是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政务公开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规范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有待加强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。政府信息主动公开意识不强，公开实效不高。三是难度逐年加大。随着法治政府建设的深入，群众对政府的要求也越来越高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，对乡镇政府信息公开提出新要求。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下一步工作举措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一是进一步强化组织领导。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镇党政办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要切实发挥龙头作用，配齐配强工作人员，着力打造一支政治素质好、业务能力强、人员相对稳定的过硬队伍，确保职责明确、事有人做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二是进一步加强督促检查。要对照要求，查找薄弱环节，狠抓工作落实。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细致对照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第三方机构常态化测评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指出问题，不断提升信息公开质量实效。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三是进一步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提高业务能力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主动对接上级主管部门，及时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解决疑难困惑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，不断补齐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政务公开薄弱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短板，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提升政务公开工作队伍的整体水平。</w:t>
      </w:r>
    </w:p>
    <w:p>
      <w:pPr>
        <w:pStyle w:val="3"/>
        <w:spacing w:before="0" w:beforeAutospacing="0" w:after="0" w:afterAutospacing="0" w:line="574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无。</w:t>
      </w:r>
    </w:p>
    <w:p/>
    <w:bookmarkEnd w:id="0"/>
    <w:sectPr>
      <w:pgSz w:w="11906" w:h="16838"/>
      <w:pgMar w:top="2098" w:right="1587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72781"/>
    <w:rsid w:val="03205E97"/>
    <w:rsid w:val="05D72781"/>
    <w:rsid w:val="16B94738"/>
    <w:rsid w:val="2B374FA8"/>
    <w:rsid w:val="353B1DF1"/>
    <w:rsid w:val="353F0ABF"/>
    <w:rsid w:val="369875D4"/>
    <w:rsid w:val="401D1236"/>
    <w:rsid w:val="407D1C9B"/>
    <w:rsid w:val="41E46C40"/>
    <w:rsid w:val="4B3C0130"/>
    <w:rsid w:val="4B477D01"/>
    <w:rsid w:val="4F891888"/>
    <w:rsid w:val="52375DEC"/>
    <w:rsid w:val="578A4737"/>
    <w:rsid w:val="58DC0325"/>
    <w:rsid w:val="5B767A04"/>
    <w:rsid w:val="5C54609C"/>
    <w:rsid w:val="62776B2A"/>
    <w:rsid w:val="6B3533EC"/>
    <w:rsid w:val="6D7C08A0"/>
    <w:rsid w:val="6DE609B1"/>
    <w:rsid w:val="72C66D5A"/>
    <w:rsid w:val="7BF0231F"/>
    <w:rsid w:val="7D3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outlineLvl w:val="0"/>
    </w:pPr>
    <w:rPr>
      <w:rFonts w:ascii="黑体" w:hAnsi="黑体" w:eastAsia="楷体_GB2312" w:cs="Times New Roman"/>
      <w:color w:val="auto"/>
      <w:kern w:val="0"/>
      <w:szCs w:val="20"/>
      <w:u w:val="none" w:color="auto"/>
      <w:shd w:val="clear" w:color="auto" w:fill="auto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rFonts w:ascii="黑体" w:hAnsi="黑体" w:eastAsia="楷体_GB2312" w:cs="Times New Roman"/>
      <w:color w:val="auto"/>
      <w:kern w:val="0"/>
      <w:szCs w:val="20"/>
      <w:u w:val="none" w:color="auto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2021-01-29T09:29:00Z</dcterms:created>
  <dc:creator>回到沫小崔</dc:creator>
  <cp:lastModifiedBy>回到沫小崔</cp:lastModifiedBy>
  <dcterms:modified xsi:type="dcterms:W3CDTF">2021-01-29T10:29:37Z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