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jc w:val="center"/>
        <w:rPr>
          <w:rFonts w:ascii="方正书宋_GBK" w:hAnsi="方正书宋_GBK" w:cs="方正小标宋_GBK"/>
          <w:sz w:val="44"/>
          <w:szCs w:val="44"/>
        </w:rPr>
      </w:pPr>
      <w:r>
        <w:rPr>
          <w:rFonts w:ascii="方正书宋_GBK" w:hAnsi="方正书宋_GBK" w:cs="方正小标宋_GBK"/>
          <w:sz w:val="44"/>
          <w:szCs w:val="44"/>
        </w:rPr>
        <w:t>杭州市民政行政处罚简易程序规定</w:t>
      </w:r>
    </w:p>
    <w:p>
      <w:pPr>
        <w:widowControl w:val="0"/>
        <w:spacing w:before="0" w:beforeAutospacing="0" w:after="0" w:afterAutospacing="0"/>
        <w:ind w:left="0" w:right="0"/>
        <w:jc w:val="center"/>
        <w:rPr>
          <w:rFonts w:ascii="方正书宋_GBK" w:hAnsi="方正书宋_GBK" w:cs="方正小标宋_GBK"/>
          <w:sz w:val="44"/>
          <w:szCs w:val="44"/>
        </w:rPr>
      </w:pPr>
      <w:r>
        <w:rPr>
          <w:rFonts w:hint="eastAsia" w:ascii="方正书宋_GBK" w:hAnsi="方正书宋_GBK" w:eastAsia="宋体" w:cs="宋体"/>
          <w:kern w:val="2"/>
          <w:sz w:val="44"/>
          <w:szCs w:val="44"/>
          <w:lang w:val="en-US" w:eastAsia="zh-CN"/>
        </w:rPr>
        <w:t>（征求意见稿）</w:t>
      </w:r>
    </w:p>
    <w:p>
      <w:pPr>
        <w:adjustRightInd w:val="0"/>
        <w:snapToGrid w:val="0"/>
        <w:ind w:firstLine="3200" w:firstLineChars="10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为进一步提高执法效率，维护当事人合法权益，统一规范、准确适用简易程序，根据《中华人民共和国行政处罚法》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2021年7月15日起施行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有关规定，结合我市民政工作实际，制定本规定。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执法人员对符合下列条件的案件，可以按照本规定当场作出行政处罚决定：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（一）违法事实清楚、证据确凿并有法定依据；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0"/>
          <w:szCs w:val="30"/>
        </w:rPr>
        <w:t>对公民处以二百元以下、对法人或者其他组织处以</w:t>
      </w:r>
      <w:r>
        <w:rPr>
          <w:rFonts w:hint="eastAsia" w:ascii="仿宋" w:hAnsi="仿宋" w:eastAsia="仿宋"/>
          <w:sz w:val="32"/>
          <w:szCs w:val="32"/>
        </w:rPr>
        <w:t>三千元以下罚款或者警告的行政处罚。</w:t>
      </w:r>
    </w:p>
    <w:p>
      <w:pPr>
        <w:adjustRightInd w:val="0"/>
        <w:snapToGrid w:val="0"/>
        <w:spacing w:line="336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对不符合上述条件的案件，执法人员应当适用普通程序</w:t>
      </w:r>
    </w:p>
    <w:p>
      <w:pPr>
        <w:adjustRightInd w:val="0"/>
        <w:snapToGrid w:val="0"/>
        <w:spacing w:line="336" w:lineRule="auto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进行行政处罚。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执法人员当场作出处罚决定，应当按照下列程序和要求实施：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（一）执法人员两人以上并向当事人出示执法证件。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（二）告知当事人违法事实、处罚理由及依据、</w:t>
      </w:r>
      <w:r>
        <w:rPr>
          <w:rFonts w:hint="eastAsia" w:ascii="仿宋" w:hAnsi="仿宋" w:eastAsia="仿宋"/>
          <w:sz w:val="32"/>
          <w:szCs w:val="32"/>
          <w:lang w:eastAsia="zh-CN"/>
        </w:rPr>
        <w:t>拟作出行政处罚内容、</w:t>
      </w:r>
      <w:r>
        <w:rPr>
          <w:rFonts w:hint="eastAsia" w:ascii="仿宋" w:hAnsi="仿宋" w:eastAsia="仿宋"/>
          <w:sz w:val="32"/>
          <w:szCs w:val="32"/>
        </w:rPr>
        <w:t>其依法享有的陈述、申辩等权利。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（三）听取当事人的陈述和申辩，当事人提出的事实、理由或者证据成立的，应当采纳。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（四）对容易引起行政争议的简易程序执法行为，应采取适当方式进行音像记录。</w:t>
      </w:r>
    </w:p>
    <w:p>
      <w:pPr>
        <w:pStyle w:val="2"/>
        <w:widowControl/>
        <w:numPr>
          <w:numId w:val="0"/>
        </w:numPr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（五）严格按照民政法律法规规章和《杭州市民政局关于印发&lt;</w:t>
      </w:r>
      <w:r>
        <w:rPr>
          <w:rFonts w:ascii="仿宋" w:hAnsi="仿宋" w:eastAsia="仿宋"/>
          <w:sz w:val="32"/>
          <w:szCs w:val="32"/>
        </w:rPr>
        <w:t>杭州市民政行政处罚裁量基准（2020版）</w:t>
      </w:r>
      <w:r>
        <w:rPr>
          <w:rFonts w:hint="eastAsia" w:ascii="仿宋" w:hAnsi="仿宋" w:eastAsia="仿宋"/>
          <w:sz w:val="32"/>
          <w:szCs w:val="32"/>
        </w:rPr>
        <w:t>&gt;的通知》</w:t>
      </w:r>
      <w:r>
        <w:rPr>
          <w:rFonts w:hint="eastAsia" w:ascii="仿宋" w:hAnsi="仿宋" w:eastAsia="仿宋"/>
          <w:sz w:val="32"/>
          <w:szCs w:val="32"/>
          <w:lang w:eastAsia="zh-CN"/>
        </w:rPr>
        <w:t>（相关事项随着法律、法规和规章的调整而做相应的调整）</w:t>
      </w:r>
      <w:r>
        <w:rPr>
          <w:rFonts w:hint="eastAsia" w:ascii="仿宋" w:hAnsi="仿宋" w:eastAsia="仿宋"/>
          <w:sz w:val="32"/>
          <w:szCs w:val="32"/>
        </w:rPr>
        <w:t>进行裁量，通过浙江省统一行政处罚办案系统线上办理，当场打印行政处罚决定书。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（六）将行政处罚决定书当场交付当事人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当事人拒绝签收的，应当在行政处罚决定书上注明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作出罚款决定的，应当告知当事人</w:t>
      </w:r>
      <w:r>
        <w:rPr>
          <w:rFonts w:hint="eastAsia" w:ascii="仿宋" w:hAnsi="仿宋" w:eastAsia="仿宋"/>
          <w:sz w:val="30"/>
          <w:szCs w:val="30"/>
        </w:rPr>
        <w:t>自收到行政处罚决定书之日起十五日内，到指定的银行或者通过电子支付系统缴纳罚款。</w:t>
      </w:r>
      <w:r>
        <w:rPr>
          <w:rFonts w:hint="eastAsia" w:ascii="仿宋" w:hAnsi="仿宋" w:eastAsia="仿宋"/>
          <w:sz w:val="32"/>
          <w:szCs w:val="32"/>
        </w:rPr>
        <w:t>符合当场收缴罚款条件的，由执法人员按本规定第五、第六执行。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（七）在二日内填写制式《当场行政处罚备案表》（格式见附件）交所属行政机关备案。杭州市民政局由市民政综合行政执法队具体负责备案工作。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执法人员应从违法主体、违法事实、裁量情节等方面调查取证，把握证据的合法性、客观性和关联性，并做好证据固化。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依托音像记录固化证据的，应在二日内将音像记录导出存档。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/>
          <w:sz w:val="32"/>
          <w:szCs w:val="32"/>
        </w:rPr>
        <w:t>依法当场作出行政处罚决定，有下列情形之一的，执法人员可以当场收缴罚款：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（一）依法给予一百元以下罚款的；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（二）若不当场收缴，事后难以执行的（主要指对公民在公共场所或流动状态下发生的违法行为依法给予的</w:t>
      </w:r>
      <w:r>
        <w:rPr>
          <w:rFonts w:hint="eastAsia" w:ascii="仿宋" w:hAnsi="仿宋" w:eastAsia="仿宋"/>
          <w:sz w:val="30"/>
          <w:szCs w:val="30"/>
        </w:rPr>
        <w:t>一百元</w:t>
      </w:r>
      <w:r>
        <w:rPr>
          <w:rFonts w:hint="eastAsia" w:ascii="仿宋" w:hAnsi="仿宋" w:eastAsia="仿宋"/>
          <w:sz w:val="32"/>
          <w:szCs w:val="32"/>
        </w:rPr>
        <w:t>以下罚款）；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hint="eastAsia" w:ascii="仿宋" w:hAnsi="仿宋" w:eastAsia="仿宋"/>
          <w:sz w:val="30"/>
          <w:szCs w:val="30"/>
        </w:rPr>
        <w:t>在边远、水上、交通不便地区，</w:t>
      </w:r>
      <w:r>
        <w:rPr>
          <w:rFonts w:hint="eastAsia" w:ascii="仿宋" w:hAnsi="仿宋" w:eastAsia="仿宋"/>
          <w:sz w:val="32"/>
          <w:szCs w:val="32"/>
        </w:rPr>
        <w:t>执法人员当场作出罚款决定后，</w:t>
      </w:r>
      <w:r>
        <w:rPr>
          <w:rFonts w:hint="eastAsia" w:ascii="仿宋" w:hAnsi="仿宋" w:eastAsia="仿宋"/>
          <w:sz w:val="30"/>
          <w:szCs w:val="30"/>
        </w:rPr>
        <w:t>当事人到指定的银行或者通过电子支付系统缴纳罚款确有困难，</w:t>
      </w:r>
      <w:r>
        <w:rPr>
          <w:rFonts w:hint="eastAsia" w:ascii="仿宋" w:hAnsi="仿宋" w:eastAsia="仿宋"/>
          <w:sz w:val="32"/>
          <w:szCs w:val="32"/>
        </w:rPr>
        <w:t>经当事人提出，执法人员可以当场收缴罚款。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五、</w:t>
      </w:r>
      <w:r>
        <w:rPr>
          <w:rFonts w:hint="eastAsia" w:ascii="仿宋" w:hAnsi="仿宋" w:eastAsia="仿宋"/>
          <w:sz w:val="30"/>
          <w:szCs w:val="30"/>
        </w:rPr>
        <w:t>执法人员当场收缴罚款的，必须向当事人出具财政部门统一制发的专用票据；不出具财政部门统一制发的专用票据的，当事人有权拒绝缴纳罚款。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执法人员当场收缴的罚款，应当自收缴罚款之日起二日内，交至民政行政机关；民政行政机关应当在二日内将罚款缴付指定的银行。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六、</w:t>
      </w:r>
      <w:r>
        <w:rPr>
          <w:rFonts w:hint="eastAsia" w:ascii="仿宋" w:hAnsi="仿宋" w:eastAsia="仿宋"/>
          <w:sz w:val="30"/>
          <w:szCs w:val="30"/>
        </w:rPr>
        <w:t>出现下列情况，不得当场作出行政处罚，应当转入普通程序进行行政处罚：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（一）违法事实当场无法认定的；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（二）认定违法事实的主要证据缺失的；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（三）适用法律存在疑义的；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（四）执法人员认为不宜适用简易程序的其他情形。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七、</w:t>
      </w:r>
      <w:r>
        <w:rPr>
          <w:rFonts w:hint="eastAsia" w:ascii="仿宋" w:hAnsi="仿宋" w:eastAsia="仿宋"/>
          <w:sz w:val="30"/>
          <w:szCs w:val="30"/>
        </w:rPr>
        <w:t>当场行政处罚决定执行完毕，执法人员应及时按照案卷整理规范和档案管理规定将备案手续、处罚决定、各类证据、现场记录影音、缴纳罚款证明等所有与案件有关材料归卷存档。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八、</w:t>
      </w:r>
      <w:r>
        <w:rPr>
          <w:rFonts w:hint="eastAsia" w:ascii="仿宋" w:hAnsi="仿宋" w:eastAsia="仿宋"/>
          <w:sz w:val="30"/>
          <w:szCs w:val="30"/>
        </w:rPr>
        <w:t>对违法事实清楚、证据确凿的案件，当事人出现下列情形之一，执法人员不予处罚决定的：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（一）违法行为轻微并及时纠正，没有造成危害后果的；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（二）当事人有证据足以证明没有主观过错的；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）未满十四周岁的人有违法行为的；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/>
          <w:sz w:val="30"/>
          <w:szCs w:val="30"/>
        </w:rPr>
        <w:t>）违法行为在两年内未被发现的，涉及公民生命健康安全、金融安全且有危害后果的五年内未被发现的，法律另有规定的除外；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前款规定的期限，从违法行为发生之日起计算；违法行为有连续或者继续状态的，从行为终了之日起计算。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（五）</w:t>
      </w:r>
      <w:r>
        <w:rPr>
          <w:rFonts w:hint="eastAsia" w:ascii="仿宋" w:hAnsi="仿宋" w:eastAsia="仿宋"/>
          <w:sz w:val="30"/>
          <w:szCs w:val="30"/>
        </w:rPr>
        <w:t>精神病人、智力残疾人在不能辨认或者不能控制自己行为时有违法行为的；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六</w:t>
      </w:r>
      <w:r>
        <w:rPr>
          <w:rFonts w:hint="eastAsia" w:ascii="仿宋" w:hAnsi="仿宋" w:eastAsia="仿宋"/>
          <w:sz w:val="30"/>
          <w:szCs w:val="30"/>
        </w:rPr>
        <w:t>）其他依法不予行政处罚的情形。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九、</w:t>
      </w:r>
      <w:r>
        <w:rPr>
          <w:rFonts w:hint="eastAsia" w:ascii="仿宋" w:hAnsi="仿宋" w:eastAsia="仿宋"/>
          <w:sz w:val="30"/>
          <w:szCs w:val="30"/>
        </w:rPr>
        <w:t>本规定自202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 月 日起施行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《杭州市民政行政处罚简易程序规定（试行）》（杭民发〔2018〕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236</w:t>
      </w:r>
      <w:r>
        <w:rPr>
          <w:rFonts w:hint="eastAsia" w:ascii="仿宋" w:hAnsi="仿宋" w:eastAsia="仿宋"/>
          <w:sz w:val="30"/>
          <w:szCs w:val="30"/>
        </w:rPr>
        <w:t>号）同时废止。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336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附件：当场行政处罚备案表</w:t>
      </w:r>
    </w:p>
    <w:p>
      <w:pPr>
        <w:snapToGrid w:val="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</w:rPr>
        <w:t xml:space="preserve"> </w:t>
      </w:r>
    </w:p>
    <w:p>
      <w:pPr>
        <w:snapToGrid w:val="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 xml:space="preserve"> </w:t>
      </w:r>
    </w:p>
    <w:p>
      <w:pPr>
        <w:snapToGrid w:val="0"/>
        <w:jc w:val="center"/>
        <w:rPr>
          <w:rFonts w:hint="eastAsia" w:ascii="方正小标宋简体" w:hAnsi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杭州市民政局当场行政处罚备案表</w:t>
      </w: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146"/>
        <w:gridCol w:w="1417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2"/>
                <w:sz w:val="24"/>
                <w:szCs w:val="24"/>
              </w:rPr>
              <w:t>案件名称</w:t>
            </w:r>
          </w:p>
        </w:tc>
        <w:tc>
          <w:tcPr>
            <w:tcW w:w="7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2"/>
                <w:sz w:val="24"/>
                <w:szCs w:val="24"/>
              </w:rPr>
              <w:t>来源方式</w:t>
            </w: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ind w:left="0" w:right="0"/>
              <w:rPr>
                <w:rFonts w:hint="default" w:ascii="黑体" w:hAnsi="黑体" w:eastAsia="黑体" w:cs="仿宋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2"/>
                <w:sz w:val="24"/>
                <w:szCs w:val="24"/>
              </w:rPr>
              <w:t>受理时间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Calibr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2"/>
                <w:sz w:val="24"/>
                <w:szCs w:val="24"/>
              </w:rPr>
              <w:t>承办机构</w:t>
            </w: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/>
              <w:ind w:left="0" w:right="0"/>
              <w:rPr>
                <w:rFonts w:hint="default" w:ascii="黑体" w:hAnsi="黑体" w:eastAsia="黑体" w:cs="仿宋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2"/>
                <w:sz w:val="24"/>
                <w:szCs w:val="24"/>
              </w:rPr>
              <w:t>承办人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Calibr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2"/>
                <w:sz w:val="24"/>
                <w:szCs w:val="24"/>
              </w:rPr>
              <w:t>处罚情况</w:t>
            </w:r>
          </w:p>
        </w:tc>
        <w:tc>
          <w:tcPr>
            <w:tcW w:w="7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Autospacing="0" w:after="0" w:afterAutospacing="0"/>
              <w:ind w:left="333" w:leftChars="151" w:right="0" w:hanging="16" w:hangingChars="6"/>
              <w:rPr>
                <w:rFonts w:hint="default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kern w:val="2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>不予处罚。</w:t>
            </w:r>
          </w:p>
          <w:p>
            <w:pPr>
              <w:snapToGrid w:val="0"/>
              <w:spacing w:before="120" w:beforeAutospacing="0" w:after="0" w:afterAutospacing="0"/>
              <w:ind w:left="333" w:leftChars="151" w:right="0" w:hanging="16" w:hangingChars="6"/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kern w:val="2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 xml:space="preserve">警告    </w:t>
            </w:r>
          </w:p>
          <w:p>
            <w:pPr>
              <w:snapToGrid w:val="0"/>
              <w:spacing w:before="120" w:beforeAutospacing="0" w:after="0" w:afterAutospacing="0"/>
              <w:ind w:left="333" w:leftChars="151" w:right="0" w:hanging="16" w:hangingChars="6"/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kern w:val="2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>罚款  元，</w:t>
            </w:r>
            <w:r>
              <w:rPr>
                <w:rFonts w:hint="eastAsia" w:ascii="MS Mincho" w:hAnsi="MS Mincho" w:eastAsia="MS Mincho" w:cs="MS Mincho"/>
                <w:kern w:val="2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 xml:space="preserve">当场收缴 </w:t>
            </w:r>
            <w:r>
              <w:rPr>
                <w:rFonts w:hint="eastAsia" w:ascii="MS Mincho" w:hAnsi="MS Mincho" w:eastAsia="MS Mincho" w:cs="MS Mincho"/>
                <w:kern w:val="2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>当事人去</w:t>
            </w: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  <w:lang w:eastAsia="zh-CN"/>
              </w:rPr>
              <w:t>指定</w:t>
            </w: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>银行缴纳。</w:t>
            </w:r>
          </w:p>
          <w:p>
            <w:pPr>
              <w:snapToGrid w:val="0"/>
              <w:spacing w:before="120" w:beforeAutospacing="0" w:after="0" w:afterAutospacing="0"/>
              <w:ind w:left="333" w:leftChars="151" w:right="0" w:hanging="16" w:hangingChars="6"/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 xml:space="preserve">违法事实、主要证据、违法依据及处罚依据裁量情节详见《行政处罚决定书》           </w:t>
            </w:r>
          </w:p>
          <w:p>
            <w:pPr>
              <w:snapToGrid w:val="0"/>
              <w:spacing w:before="120" w:beforeAutospacing="0" w:after="0" w:afterAutospacing="0"/>
              <w:ind w:left="333" w:leftChars="151" w:right="0" w:hanging="16" w:hangingChars="6"/>
              <w:rPr>
                <w:rFonts w:hint="default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2"/>
                <w:sz w:val="24"/>
                <w:szCs w:val="24"/>
              </w:rPr>
              <w:t>执法部门     负责人意见</w:t>
            </w:r>
          </w:p>
        </w:tc>
        <w:tc>
          <w:tcPr>
            <w:tcW w:w="7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Autospacing="0" w:after="0" w:afterAutospacing="0"/>
              <w:ind w:left="333" w:leftChars="151" w:right="0" w:hanging="16" w:hangingChars="6"/>
              <w:rPr>
                <w:rFonts w:hint="default" w:ascii="仿宋" w:hAnsi="仿宋" w:eastAsia="仿宋" w:cs="Calibri"/>
                <w:kern w:val="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 w:val="0"/>
              <w:spacing w:before="120" w:beforeAutospacing="0" w:after="0" w:afterAutospacing="0" w:line="240" w:lineRule="exact"/>
              <w:ind w:left="333" w:leftChars="151" w:right="0" w:hanging="16" w:hangingChars="6"/>
              <w:textAlignment w:val="auto"/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kern w:val="2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>拟同意备案。</w:t>
            </w:r>
          </w:p>
          <w:p>
            <w:pPr>
              <w:widowControl w:val="0"/>
              <w:wordWrap/>
              <w:adjustRightInd/>
              <w:snapToGrid w:val="0"/>
              <w:spacing w:before="120" w:beforeAutospacing="0" w:after="0" w:afterAutospacing="0" w:line="240" w:lineRule="exact"/>
              <w:ind w:left="333" w:leftChars="151" w:right="0" w:hanging="16" w:hangingChars="6"/>
              <w:textAlignment w:val="auto"/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 w:val="0"/>
              <w:spacing w:before="120" w:beforeAutospacing="0" w:after="0" w:afterAutospacing="0" w:line="240" w:lineRule="exact"/>
              <w:ind w:left="333" w:leftChars="151" w:right="0" w:hanging="16" w:hangingChars="6"/>
              <w:textAlignment w:val="auto"/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kern w:val="2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>不同意备案，建议撤销处罚决定，请法制部门审核。</w:t>
            </w:r>
          </w:p>
          <w:p>
            <w:pPr>
              <w:snapToGrid w:val="0"/>
              <w:spacing w:before="120" w:beforeAutospacing="0" w:after="0" w:afterAutospacing="0"/>
              <w:ind w:left="333" w:leftChars="151" w:right="0" w:hanging="16" w:hangingChars="6"/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 xml:space="preserve">                 </w:t>
            </w:r>
          </w:p>
          <w:p>
            <w:pPr>
              <w:snapToGrid w:val="0"/>
              <w:spacing w:before="120" w:beforeAutospacing="0" w:after="0" w:afterAutospacing="0"/>
              <w:ind w:left="333" w:leftChars="151" w:right="0" w:hanging="16" w:hangingChars="6"/>
              <w:rPr>
                <w:rFonts w:hint="default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>签字：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仿宋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2"/>
                <w:sz w:val="24"/>
                <w:szCs w:val="24"/>
              </w:rPr>
              <w:t>法制部门    备案意见</w:t>
            </w:r>
          </w:p>
        </w:tc>
        <w:tc>
          <w:tcPr>
            <w:tcW w:w="7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20" w:beforeAutospacing="0" w:after="0" w:afterAutospacing="0"/>
              <w:ind w:left="333" w:leftChars="151" w:right="0" w:hanging="16" w:hangingChars="6"/>
              <w:rPr>
                <w:rFonts w:hint="default" w:ascii="仿宋" w:hAnsi="仿宋" w:eastAsia="仿宋" w:cs="Calibri"/>
                <w:kern w:val="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 w:val="0"/>
              <w:spacing w:before="120" w:beforeAutospacing="0" w:after="0" w:afterAutospacing="0" w:line="240" w:lineRule="exact"/>
              <w:ind w:left="333" w:leftChars="151" w:right="0" w:hanging="16" w:hangingChars="6"/>
              <w:textAlignment w:val="auto"/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kern w:val="2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>同意备案。</w:t>
            </w:r>
          </w:p>
          <w:p>
            <w:pPr>
              <w:widowControl w:val="0"/>
              <w:wordWrap/>
              <w:adjustRightInd/>
              <w:snapToGrid w:val="0"/>
              <w:spacing w:before="120" w:beforeAutospacing="0" w:after="0" w:afterAutospacing="0" w:line="240" w:lineRule="exact"/>
              <w:ind w:left="333" w:leftChars="151" w:right="0" w:hanging="16" w:hangingChars="6"/>
              <w:textAlignment w:val="auto"/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 w:val="0"/>
              <w:spacing w:before="120" w:beforeAutospacing="0" w:after="0" w:afterAutospacing="0" w:line="240" w:lineRule="exact"/>
              <w:ind w:left="333" w:leftChars="151" w:right="0" w:hanging="16" w:hangingChars="6"/>
              <w:textAlignment w:val="auto"/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kern w:val="2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 xml:space="preserve">不同意备案，建议上报领导审批。         </w:t>
            </w:r>
          </w:p>
          <w:p>
            <w:pPr>
              <w:snapToGrid w:val="0"/>
              <w:spacing w:before="120" w:beforeAutospacing="0" w:after="0" w:afterAutospacing="0"/>
              <w:ind w:left="333" w:leftChars="151" w:right="0" w:hanging="16" w:hangingChars="6"/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 xml:space="preserve">             </w:t>
            </w:r>
          </w:p>
          <w:p>
            <w:pPr>
              <w:snapToGrid w:val="0"/>
              <w:spacing w:before="120" w:beforeAutospacing="0" w:after="0" w:afterAutospacing="0"/>
              <w:ind w:left="333" w:leftChars="151" w:right="0" w:hanging="16" w:hangingChars="6"/>
              <w:rPr>
                <w:rFonts w:hint="default" w:ascii="仿宋" w:hAnsi="仿宋" w:eastAsia="仿宋" w:cs="Calibri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</w:rPr>
              <w:t xml:space="preserve">    签字：            年    月    日</w:t>
            </w:r>
          </w:p>
        </w:tc>
      </w:tr>
    </w:tbl>
    <w:p>
      <w:pPr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填写说明：</w:t>
      </w:r>
    </w:p>
    <w:p>
      <w:pPr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1.案件名称由“当事人全称+违法涉及职权”组成。示例：“某某协会涂改社会团体登记证书案”。</w:t>
      </w:r>
    </w:p>
    <w:p>
      <w:pPr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2.承办机构为民政综合行政执法队，最终备案意见由综合行政执法队负责人签署。</w:t>
      </w:r>
    </w:p>
    <w:p>
      <w:pPr>
        <w:snapToGrid w:val="0"/>
        <w:ind w:firstLine="560" w:firstLineChars="200"/>
        <w:rPr>
          <w:rFonts w:ascii="小标宋" w:hAnsi="小标宋"/>
          <w:color w:val="FF0000"/>
          <w:sz w:val="84"/>
          <w:szCs w:val="84"/>
        </w:rPr>
      </w:pPr>
      <w:r>
        <w:rPr>
          <w:rFonts w:hint="eastAsia" w:ascii="仿宋" w:hAnsi="仿宋" w:eastAsia="仿宋"/>
          <w:sz w:val="28"/>
          <w:szCs w:val="28"/>
        </w:rPr>
        <w:t>3.经审查，不同意备案的，应上报主管领导审定。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C65DA"/>
    <w:rsid w:val="000B1FC6"/>
    <w:rsid w:val="001C65DA"/>
    <w:rsid w:val="0057559E"/>
    <w:rsid w:val="008F6232"/>
    <w:rsid w:val="01FC36D0"/>
    <w:rsid w:val="023B31B5"/>
    <w:rsid w:val="057D5890"/>
    <w:rsid w:val="09352129"/>
    <w:rsid w:val="0F231E64"/>
    <w:rsid w:val="103551A4"/>
    <w:rsid w:val="12970FF9"/>
    <w:rsid w:val="15756040"/>
    <w:rsid w:val="17CF781F"/>
    <w:rsid w:val="1A420223"/>
    <w:rsid w:val="1A905DA4"/>
    <w:rsid w:val="1D2E7EB5"/>
    <w:rsid w:val="1F734328"/>
    <w:rsid w:val="1FC04427"/>
    <w:rsid w:val="273C309D"/>
    <w:rsid w:val="28D02A86"/>
    <w:rsid w:val="2B4A4093"/>
    <w:rsid w:val="2BB611C4"/>
    <w:rsid w:val="2EE38733"/>
    <w:rsid w:val="2FC837ED"/>
    <w:rsid w:val="309148BA"/>
    <w:rsid w:val="314A1AEA"/>
    <w:rsid w:val="33604A58"/>
    <w:rsid w:val="36C64D6A"/>
    <w:rsid w:val="37D23FA3"/>
    <w:rsid w:val="38EF0EF7"/>
    <w:rsid w:val="39022116"/>
    <w:rsid w:val="3CA75790"/>
    <w:rsid w:val="3DF60935"/>
    <w:rsid w:val="4205365D"/>
    <w:rsid w:val="44D324F7"/>
    <w:rsid w:val="48F26C3C"/>
    <w:rsid w:val="4A65539B"/>
    <w:rsid w:val="4D334235"/>
    <w:rsid w:val="4D337AB8"/>
    <w:rsid w:val="50205B81"/>
    <w:rsid w:val="50B079EF"/>
    <w:rsid w:val="528A0579"/>
    <w:rsid w:val="548328B3"/>
    <w:rsid w:val="581D341E"/>
    <w:rsid w:val="59751451"/>
    <w:rsid w:val="5AEB22B8"/>
    <w:rsid w:val="5B74479A"/>
    <w:rsid w:val="5D2B0A08"/>
    <w:rsid w:val="5D564930"/>
    <w:rsid w:val="5FD736CA"/>
    <w:rsid w:val="606A3F3D"/>
    <w:rsid w:val="61764BFD"/>
    <w:rsid w:val="61B14255"/>
    <w:rsid w:val="64777EE0"/>
    <w:rsid w:val="65441BB2"/>
    <w:rsid w:val="66624588"/>
    <w:rsid w:val="67EC080C"/>
    <w:rsid w:val="67EC408F"/>
    <w:rsid w:val="6A1A0E21"/>
    <w:rsid w:val="6E185E2D"/>
    <w:rsid w:val="6F424616"/>
    <w:rsid w:val="72632F3A"/>
    <w:rsid w:val="73AF972C"/>
    <w:rsid w:val="75880263"/>
    <w:rsid w:val="775F23E8"/>
    <w:rsid w:val="79E03380"/>
    <w:rsid w:val="7C582B10"/>
    <w:rsid w:val="7DED2BA6"/>
    <w:rsid w:val="BFE7E53B"/>
    <w:rsid w:val="DFFE8B1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322</Words>
  <Characters>1837</Characters>
  <Lines>15</Lines>
  <Paragraphs>4</Paragraphs>
  <TotalTime>0</TotalTime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2021-08-23T15:04:00Z</dcterms:created>
  <dc:creator>高红霞</dc:creator>
  <cp:lastModifiedBy>余炎萍</cp:lastModifiedBy>
  <dcterms:modified xsi:type="dcterms:W3CDTF">2021-08-27T02:49:04Z</dcterms:modified>
  <dc:title>杭州市民政行政处罚简易程序规定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  <property fmtid="{D5CDD505-2E9C-101B-9397-08002B2CF9AE}" pid="3" name="ICV">
    <vt:lpwstr>FE97A03BFB03424882410C49DE6CA7E2</vt:lpwstr>
  </property>
</Properties>
</file>