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b/>
          <w:bCs/>
          <w:color w:val="000000" w:themeColor="text1"/>
          <w:sz w:val="40"/>
          <w:szCs w:val="24"/>
          <w14:textFill>
            <w14:solidFill>
              <w14:schemeClr w14:val="tx1"/>
            </w14:solidFill>
          </w14:textFill>
        </w:rPr>
      </w:pPr>
      <w:r>
        <w:rPr>
          <w:rFonts w:ascii="方正小标宋简体" w:eastAsia="方正小标宋简体"/>
          <w:b/>
          <w:bCs/>
          <w:color w:val="000000" w:themeColor="text1"/>
          <w:sz w:val="40"/>
          <w:szCs w:val="24"/>
          <w14:textFill>
            <w14:solidFill>
              <w14:schemeClr w14:val="tx1"/>
            </w14:solidFill>
          </w14:textFil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方正小标宋简体" w:eastAsia="方正小标宋简体"/>
          <w:b/>
          <w:bCs/>
          <w:color w:val="000000" w:themeColor="text1"/>
          <w:sz w:val="40"/>
          <w:szCs w:val="24"/>
          <w14:textFill>
            <w14:solidFill>
              <w14:schemeClr w14:val="tx1"/>
            </w14:solidFill>
          </w14:textFill>
        </w:rPr>
        <w:instrText xml:space="preserve">ADDIN CNKISM.UserStyle</w:instrText>
      </w:r>
      <w:r>
        <w:rPr>
          <w:rFonts w:ascii="方正小标宋简体" w:eastAsia="方正小标宋简体"/>
          <w:b/>
          <w:bCs/>
          <w:color w:val="000000" w:themeColor="text1"/>
          <w:sz w:val="40"/>
          <w:szCs w:val="24"/>
          <w14:textFill>
            <w14:solidFill>
              <w14:schemeClr w14:val="tx1"/>
            </w14:solidFill>
          </w14:textFill>
        </w:rPr>
        <w:fldChar w:fldCharType="end"/>
      </w:r>
    </w:p>
    <w:p>
      <w:pPr>
        <w:jc w:val="center"/>
        <w:rPr>
          <w:rFonts w:ascii="方正小标宋简体" w:eastAsia="方正小标宋简体"/>
          <w:b/>
          <w:bCs/>
          <w:color w:val="000000" w:themeColor="text1"/>
          <w:sz w:val="40"/>
          <w:szCs w:val="24"/>
          <w14:textFill>
            <w14:solidFill>
              <w14:schemeClr w14:val="tx1"/>
            </w14:solidFill>
          </w14:textFill>
        </w:rPr>
      </w:pPr>
    </w:p>
    <w:p>
      <w:pPr>
        <w:jc w:val="center"/>
        <w:rPr>
          <w:rFonts w:ascii="方正小标宋简体" w:eastAsia="方正小标宋简体"/>
          <w:b/>
          <w:bCs/>
          <w:color w:val="000000" w:themeColor="text1"/>
          <w:sz w:val="40"/>
          <w:szCs w:val="24"/>
          <w14:textFill>
            <w14:solidFill>
              <w14:schemeClr w14:val="tx1"/>
            </w14:solidFill>
          </w14:textFill>
        </w:rPr>
      </w:pPr>
    </w:p>
    <w:p>
      <w:pPr>
        <w:jc w:val="center"/>
        <w:rPr>
          <w:rFonts w:ascii="方正小标宋简体" w:eastAsia="方正小标宋简体"/>
          <w:b/>
          <w:bCs/>
          <w:color w:val="000000" w:themeColor="text1"/>
          <w:spacing w:val="-2"/>
          <w:sz w:val="52"/>
          <w:szCs w:val="24"/>
          <w14:textFill>
            <w14:solidFill>
              <w14:schemeClr w14:val="tx1"/>
            </w14:solidFill>
          </w14:textFill>
        </w:rPr>
      </w:pPr>
      <w:r>
        <w:rPr>
          <w:rFonts w:hint="eastAsia" w:ascii="方正小标宋简体" w:eastAsia="方正小标宋简体"/>
          <w:b/>
          <w:bCs/>
          <w:color w:val="000000" w:themeColor="text1"/>
          <w:spacing w:val="-2"/>
          <w:sz w:val="52"/>
          <w:szCs w:val="24"/>
          <w14:textFill>
            <w14:solidFill>
              <w14:schemeClr w14:val="tx1"/>
            </w14:solidFill>
          </w14:textFill>
        </w:rPr>
        <w:t>杭州市养老服务业发展“十四五”规划</w:t>
      </w:r>
    </w:p>
    <w:p>
      <w:pPr>
        <w:jc w:val="center"/>
        <w:rPr>
          <w:rFonts w:ascii="楷体_GB2312" w:eastAsia="楷体_GB2312"/>
          <w:bCs/>
          <w:color w:val="000000" w:themeColor="text1"/>
          <w:sz w:val="44"/>
          <w:szCs w:val="24"/>
          <w14:textFill>
            <w14:solidFill>
              <w14:schemeClr w14:val="tx1"/>
            </w14:solidFill>
          </w14:textFill>
        </w:rPr>
      </w:pPr>
    </w:p>
    <w:p>
      <w:pPr>
        <w:jc w:val="center"/>
        <w:rPr>
          <w:rFonts w:hint="eastAsia" w:ascii="微软雅黑" w:hAnsi="微软雅黑" w:eastAsia="微软雅黑" w:cs="微软雅黑"/>
          <w:bCs/>
          <w:color w:val="000000" w:themeColor="text1"/>
          <w:sz w:val="44"/>
          <w:szCs w:val="24"/>
          <w14:textFill>
            <w14:solidFill>
              <w14:schemeClr w14:val="tx1"/>
            </w14:solidFill>
          </w14:textFill>
        </w:rPr>
      </w:pPr>
      <w:r>
        <w:rPr>
          <w:rFonts w:hint="eastAsia" w:ascii="微软雅黑" w:hAnsi="微软雅黑" w:eastAsia="微软雅黑" w:cs="微软雅黑"/>
          <w:bCs/>
          <w:color w:val="000000" w:themeColor="text1"/>
          <w:sz w:val="44"/>
          <w:szCs w:val="24"/>
          <w14:textFill>
            <w14:solidFill>
              <w14:schemeClr w14:val="tx1"/>
            </w14:solidFill>
          </w14:textFill>
        </w:rPr>
        <w:t>（征求意见稿）</w:t>
      </w:r>
    </w:p>
    <w:p>
      <w:pPr>
        <w:jc w:val="center"/>
        <w:rPr>
          <w:rFonts w:ascii="方正小标宋简体" w:eastAsia="方正小标宋简体"/>
          <w:b/>
          <w:bCs/>
          <w:color w:val="000000" w:themeColor="text1"/>
          <w:sz w:val="40"/>
          <w:szCs w:val="24"/>
          <w14:textFill>
            <w14:solidFill>
              <w14:schemeClr w14:val="tx1"/>
            </w14:solidFill>
          </w14:textFill>
        </w:rPr>
      </w:pPr>
    </w:p>
    <w:p>
      <w:pPr>
        <w:jc w:val="center"/>
        <w:rPr>
          <w:rFonts w:ascii="方正小标宋简体" w:eastAsia="方正小标宋简体"/>
          <w:b/>
          <w:bCs/>
          <w:color w:val="000000" w:themeColor="text1"/>
          <w:sz w:val="40"/>
          <w:szCs w:val="24"/>
          <w14:textFill>
            <w14:solidFill>
              <w14:schemeClr w14:val="tx1"/>
            </w14:solidFill>
          </w14:textFill>
        </w:rPr>
      </w:pPr>
    </w:p>
    <w:p>
      <w:pPr>
        <w:jc w:val="center"/>
        <w:rPr>
          <w:rFonts w:ascii="方正小标宋简体" w:eastAsia="方正小标宋简体"/>
          <w:b/>
          <w:bCs/>
          <w:color w:val="000000" w:themeColor="text1"/>
          <w:sz w:val="40"/>
          <w:szCs w:val="24"/>
          <w14:textFill>
            <w14:solidFill>
              <w14:schemeClr w14:val="tx1"/>
            </w14:solidFill>
          </w14:textFill>
        </w:rPr>
      </w:pPr>
    </w:p>
    <w:p>
      <w:pPr>
        <w:jc w:val="center"/>
        <w:rPr>
          <w:rFonts w:ascii="方正小标宋简体" w:eastAsia="方正小标宋简体"/>
          <w:b/>
          <w:bCs/>
          <w:color w:val="000000" w:themeColor="text1"/>
          <w:sz w:val="40"/>
          <w:szCs w:val="24"/>
          <w14:textFill>
            <w14:solidFill>
              <w14:schemeClr w14:val="tx1"/>
            </w14:solidFill>
          </w14:textFill>
        </w:rPr>
      </w:pPr>
    </w:p>
    <w:p>
      <w:pPr>
        <w:jc w:val="center"/>
        <w:rPr>
          <w:rFonts w:ascii="方正小标宋简体" w:eastAsia="方正小标宋简体"/>
          <w:b/>
          <w:bCs/>
          <w:color w:val="000000" w:themeColor="text1"/>
          <w:sz w:val="40"/>
          <w:szCs w:val="24"/>
          <w14:textFill>
            <w14:solidFill>
              <w14:schemeClr w14:val="tx1"/>
            </w14:solidFill>
          </w14:textFill>
        </w:rPr>
      </w:pPr>
    </w:p>
    <w:p>
      <w:pPr>
        <w:rPr>
          <w:rFonts w:ascii="方正小标宋简体" w:eastAsia="方正小标宋简体"/>
          <w:b/>
          <w:bCs/>
          <w:color w:val="000000" w:themeColor="text1"/>
          <w:sz w:val="32"/>
          <w:szCs w:val="24"/>
          <w14:textFill>
            <w14:solidFill>
              <w14:schemeClr w14:val="tx1"/>
            </w14:solidFill>
          </w14:textFill>
        </w:rPr>
      </w:pPr>
    </w:p>
    <w:p>
      <w:pPr>
        <w:jc w:val="center"/>
        <w:rPr>
          <w:rFonts w:ascii="楷体_GB2312" w:eastAsia="楷体_GB2312"/>
          <w:bCs/>
          <w:color w:val="000000" w:themeColor="text1"/>
          <w:sz w:val="36"/>
          <w:szCs w:val="24"/>
          <w14:textFill>
            <w14:solidFill>
              <w14:schemeClr w14:val="tx1"/>
            </w14:solidFill>
          </w14:textFill>
        </w:rPr>
      </w:pPr>
      <w:r>
        <w:rPr>
          <w:rFonts w:hint="eastAsia" w:ascii="微软雅黑" w:hAnsi="微软雅黑" w:eastAsia="微软雅黑" w:cs="微软雅黑"/>
          <w:bCs/>
          <w:color w:val="000000" w:themeColor="text1"/>
          <w:sz w:val="36"/>
          <w:szCs w:val="24"/>
          <w14:textFill>
            <w14:solidFill>
              <w14:schemeClr w14:val="tx1"/>
            </w14:solidFill>
          </w14:textFill>
        </w:rPr>
        <w:t xml:space="preserve"> </w:t>
      </w:r>
    </w:p>
    <w:p>
      <w:pPr>
        <w:jc w:val="center"/>
        <w:rPr>
          <w:rFonts w:hint="eastAsia" w:ascii="微软雅黑" w:hAnsi="微软雅黑" w:eastAsia="微软雅黑" w:cs="微软雅黑"/>
          <w:bCs/>
          <w:color w:val="000000" w:themeColor="text1"/>
          <w:sz w:val="44"/>
          <w:szCs w:val="24"/>
          <w14:textFill>
            <w14:solidFill>
              <w14:schemeClr w14:val="tx1"/>
            </w14:solidFill>
          </w14:textFill>
        </w:rPr>
      </w:pPr>
      <w:r>
        <w:rPr>
          <w:rFonts w:hint="eastAsia" w:ascii="微软雅黑" w:hAnsi="微软雅黑" w:eastAsia="微软雅黑" w:cs="微软雅黑"/>
          <w:bCs/>
          <w:color w:val="000000" w:themeColor="text1"/>
          <w:sz w:val="44"/>
          <w:szCs w:val="24"/>
          <w14:textFill>
            <w14:solidFill>
              <w14:schemeClr w14:val="tx1"/>
            </w14:solidFill>
          </w14:textFill>
        </w:rPr>
        <w:t>二〇二一年四月</w:t>
      </w:r>
    </w:p>
    <w:p>
      <w:pPr>
        <w:jc w:val="center"/>
        <w:rPr>
          <w:rFonts w:asciiTheme="minorEastAsia" w:hAnsiTheme="minorEastAsia"/>
          <w:sz w:val="36"/>
          <w:szCs w:val="36"/>
        </w:rPr>
      </w:pPr>
      <w:r>
        <w:rPr>
          <w:rFonts w:ascii="方正小标宋简体" w:eastAsia="方正小标宋简体"/>
          <w:b/>
          <w:bCs/>
          <w:color w:val="000000" w:themeColor="text1"/>
          <w:sz w:val="40"/>
          <w:szCs w:val="24"/>
          <w14:textFill>
            <w14:solidFill>
              <w14:schemeClr w14:val="tx1"/>
            </w14:solidFill>
          </w14:textFill>
        </w:rPr>
        <w:br w:type="page"/>
      </w:r>
      <w:r>
        <w:rPr>
          <w:rFonts w:asciiTheme="minorEastAsia" w:hAnsiTheme="minorEastAsia"/>
          <w:sz w:val="36"/>
          <w:szCs w:val="36"/>
        </w:rPr>
        <w:t>目</w:t>
      </w:r>
      <w:r>
        <w:rPr>
          <w:rFonts w:hint="eastAsia" w:asciiTheme="minorEastAsia" w:hAnsiTheme="minorEastAsia"/>
          <w:sz w:val="36"/>
          <w:szCs w:val="36"/>
        </w:rPr>
        <w:t xml:space="preserve"> </w:t>
      </w:r>
      <w:r>
        <w:rPr>
          <w:rFonts w:asciiTheme="minorEastAsia" w:hAnsiTheme="minorEastAsia"/>
          <w:sz w:val="36"/>
          <w:szCs w:val="36"/>
        </w:rPr>
        <w:t>录</w:t>
      </w:r>
    </w:p>
    <w:p>
      <w:pPr>
        <w:spacing w:line="480" w:lineRule="exact"/>
        <w:rPr>
          <w:rFonts w:ascii="黑体" w:hAnsi="黑体" w:eastAsia="黑体"/>
          <w:b/>
          <w:sz w:val="28"/>
          <w:szCs w:val="28"/>
        </w:rPr>
      </w:pPr>
      <w:r>
        <w:rPr>
          <w:rFonts w:hint="eastAsia" w:ascii="黑体" w:hAnsi="黑体" w:eastAsia="黑体"/>
          <w:b/>
          <w:sz w:val="28"/>
          <w:szCs w:val="28"/>
        </w:rPr>
        <w:t>一、发展基础与背景</w:t>
      </w:r>
    </w:p>
    <w:p>
      <w:pPr>
        <w:spacing w:line="480" w:lineRule="exact"/>
        <w:rPr>
          <w:rFonts w:ascii="华文楷体" w:hAnsi="华文楷体" w:eastAsia="华文楷体" w:cs="楷体_GB2312"/>
          <w:sz w:val="28"/>
          <w:szCs w:val="28"/>
        </w:rPr>
      </w:pPr>
      <w:r>
        <w:rPr>
          <w:rFonts w:hint="eastAsia" w:ascii="华文楷体" w:hAnsi="华文楷体" w:eastAsia="华文楷体" w:cs="楷体_GB2312"/>
          <w:sz w:val="28"/>
          <w:szCs w:val="28"/>
        </w:rPr>
        <w:t>（一）养老服务业“十四五”发展基础</w:t>
      </w:r>
    </w:p>
    <w:p>
      <w:pPr>
        <w:spacing w:line="480" w:lineRule="exact"/>
        <w:rPr>
          <w:rFonts w:ascii="华文楷体" w:hAnsi="华文楷体" w:eastAsia="华文楷体" w:cs="楷体_GB2312"/>
          <w:sz w:val="28"/>
          <w:szCs w:val="28"/>
        </w:rPr>
      </w:pPr>
      <w:r>
        <w:rPr>
          <w:rFonts w:hint="eastAsia" w:ascii="华文楷体" w:hAnsi="华文楷体" w:eastAsia="华文楷体" w:cs="楷体_GB2312"/>
          <w:sz w:val="28"/>
          <w:szCs w:val="28"/>
        </w:rPr>
        <w:t>（二）“十四五”发展的机遇与挑战</w:t>
      </w:r>
    </w:p>
    <w:p>
      <w:pPr>
        <w:spacing w:beforeLines="50" w:afterLines="50" w:line="480" w:lineRule="exact"/>
        <w:rPr>
          <w:rFonts w:ascii="黑体" w:hAnsi="黑体" w:eastAsia="黑体"/>
          <w:b/>
          <w:sz w:val="28"/>
          <w:szCs w:val="28"/>
        </w:rPr>
      </w:pPr>
      <w:r>
        <w:rPr>
          <w:rFonts w:hint="eastAsia" w:ascii="黑体" w:hAnsi="黑体" w:eastAsia="黑体"/>
          <w:b/>
          <w:sz w:val="28"/>
          <w:szCs w:val="28"/>
        </w:rPr>
        <w:t>二、指导思想、基本原则和发展目标</w:t>
      </w:r>
    </w:p>
    <w:p>
      <w:pPr>
        <w:spacing w:line="480" w:lineRule="exact"/>
        <w:rPr>
          <w:rFonts w:ascii="华文楷体" w:hAnsi="华文楷体" w:eastAsia="华文楷体" w:cs="楷体_GB2312"/>
          <w:sz w:val="28"/>
          <w:szCs w:val="28"/>
        </w:rPr>
      </w:pPr>
      <w:r>
        <w:rPr>
          <w:rFonts w:hint="eastAsia" w:ascii="华文楷体" w:hAnsi="华文楷体" w:eastAsia="华文楷体" w:cs="楷体_GB2312"/>
          <w:sz w:val="28"/>
          <w:szCs w:val="28"/>
        </w:rPr>
        <w:t>（一）指导思想</w:t>
      </w:r>
    </w:p>
    <w:p>
      <w:pPr>
        <w:spacing w:line="480" w:lineRule="exact"/>
        <w:rPr>
          <w:rFonts w:ascii="华文楷体" w:hAnsi="华文楷体" w:eastAsia="华文楷体" w:cs="楷体_GB2312"/>
          <w:sz w:val="28"/>
          <w:szCs w:val="28"/>
        </w:rPr>
      </w:pPr>
      <w:r>
        <w:rPr>
          <w:rFonts w:hint="eastAsia" w:ascii="华文楷体" w:hAnsi="华文楷体" w:eastAsia="华文楷体" w:cs="楷体_GB2312"/>
          <w:sz w:val="28"/>
          <w:szCs w:val="28"/>
        </w:rPr>
        <w:t>（二）基本原则</w:t>
      </w:r>
    </w:p>
    <w:p>
      <w:pPr>
        <w:spacing w:line="480" w:lineRule="exact"/>
        <w:rPr>
          <w:rFonts w:ascii="华文楷体" w:hAnsi="华文楷体" w:eastAsia="华文楷体" w:cs="楷体_GB2312"/>
          <w:sz w:val="28"/>
          <w:szCs w:val="28"/>
        </w:rPr>
      </w:pPr>
      <w:r>
        <w:rPr>
          <w:rFonts w:hint="eastAsia" w:ascii="华文楷体" w:hAnsi="华文楷体" w:eastAsia="华文楷体" w:cs="楷体_GB2312"/>
          <w:sz w:val="28"/>
          <w:szCs w:val="28"/>
        </w:rPr>
        <w:t>（三）发展目标</w:t>
      </w:r>
    </w:p>
    <w:p>
      <w:pPr>
        <w:spacing w:beforeLines="50" w:afterLines="50" w:line="480" w:lineRule="exact"/>
        <w:rPr>
          <w:rFonts w:ascii="黑体" w:hAnsi="黑体" w:eastAsia="黑体"/>
          <w:b/>
          <w:sz w:val="28"/>
          <w:szCs w:val="28"/>
        </w:rPr>
      </w:pPr>
      <w:r>
        <w:rPr>
          <w:rFonts w:hint="eastAsia" w:ascii="黑体" w:hAnsi="黑体" w:eastAsia="黑体"/>
          <w:b/>
          <w:sz w:val="28"/>
          <w:szCs w:val="28"/>
        </w:rPr>
        <w:t>三、主要任务</w:t>
      </w:r>
    </w:p>
    <w:p>
      <w:pPr>
        <w:tabs>
          <w:tab w:val="left" w:pos="860"/>
        </w:tabs>
        <w:spacing w:line="480" w:lineRule="exact"/>
        <w:rPr>
          <w:rFonts w:ascii="华文楷体" w:hAnsi="华文楷体" w:eastAsia="华文楷体"/>
          <w:sz w:val="28"/>
          <w:szCs w:val="28"/>
        </w:rPr>
      </w:pPr>
      <w:r>
        <w:rPr>
          <w:rFonts w:hint="eastAsia" w:ascii="华文楷体" w:hAnsi="华文楷体" w:eastAsia="华文楷体"/>
          <w:sz w:val="28"/>
          <w:szCs w:val="28"/>
        </w:rPr>
        <w:t>（一）建立基本养老服务体系</w:t>
      </w:r>
    </w:p>
    <w:p>
      <w:pPr>
        <w:tabs>
          <w:tab w:val="left" w:pos="860"/>
        </w:tabs>
        <w:spacing w:line="480" w:lineRule="exact"/>
        <w:rPr>
          <w:rFonts w:ascii="华文楷体" w:hAnsi="华文楷体" w:eastAsia="华文楷体"/>
          <w:sz w:val="28"/>
          <w:szCs w:val="28"/>
        </w:rPr>
      </w:pPr>
      <w:r>
        <w:rPr>
          <w:rFonts w:hint="eastAsia" w:ascii="华文楷体" w:hAnsi="华文楷体" w:eastAsia="华文楷体"/>
          <w:sz w:val="28"/>
          <w:szCs w:val="28"/>
        </w:rPr>
        <w:t>（二）打造“大社区养老”新格局</w:t>
      </w:r>
    </w:p>
    <w:p>
      <w:pPr>
        <w:tabs>
          <w:tab w:val="left" w:pos="860"/>
        </w:tabs>
        <w:spacing w:line="480" w:lineRule="exact"/>
        <w:rPr>
          <w:rFonts w:ascii="华文楷体" w:hAnsi="华文楷体" w:eastAsia="华文楷体"/>
          <w:sz w:val="28"/>
          <w:szCs w:val="28"/>
        </w:rPr>
      </w:pPr>
      <w:r>
        <w:rPr>
          <w:rFonts w:hint="eastAsia" w:ascii="华文楷体" w:hAnsi="华文楷体" w:eastAsia="华文楷体"/>
          <w:sz w:val="28"/>
          <w:szCs w:val="28"/>
        </w:rPr>
        <w:t>（三）加快医养康养有效融合</w:t>
      </w:r>
    </w:p>
    <w:p>
      <w:pPr>
        <w:spacing w:line="480" w:lineRule="exact"/>
        <w:rPr>
          <w:rFonts w:ascii="华文楷体" w:hAnsi="华文楷体" w:eastAsia="华文楷体"/>
          <w:sz w:val="28"/>
          <w:szCs w:val="28"/>
        </w:rPr>
      </w:pPr>
      <w:r>
        <w:rPr>
          <w:rFonts w:hint="eastAsia" w:ascii="华文楷体" w:hAnsi="华文楷体" w:eastAsia="华文楷体"/>
          <w:sz w:val="28"/>
          <w:szCs w:val="28"/>
        </w:rPr>
        <w:t>（四）实施养老服务数智化改革</w:t>
      </w:r>
    </w:p>
    <w:p>
      <w:pPr>
        <w:spacing w:line="480" w:lineRule="exact"/>
        <w:rPr>
          <w:rFonts w:ascii="华文楷体" w:hAnsi="华文楷体" w:eastAsia="华文楷体"/>
          <w:sz w:val="28"/>
          <w:szCs w:val="28"/>
        </w:rPr>
      </w:pPr>
      <w:r>
        <w:rPr>
          <w:rFonts w:hint="eastAsia" w:ascii="华文楷体" w:hAnsi="华文楷体" w:eastAsia="华文楷体"/>
          <w:sz w:val="28"/>
          <w:szCs w:val="28"/>
        </w:rPr>
        <w:t xml:space="preserve">（五）探索农村养老服务新途径 </w:t>
      </w:r>
    </w:p>
    <w:p>
      <w:pPr>
        <w:spacing w:line="480" w:lineRule="exact"/>
        <w:rPr>
          <w:rFonts w:ascii="华文楷体" w:hAnsi="华文楷体" w:eastAsia="华文楷体"/>
          <w:sz w:val="28"/>
          <w:szCs w:val="28"/>
        </w:rPr>
      </w:pPr>
      <w:r>
        <w:rPr>
          <w:rFonts w:ascii="华文楷体" w:hAnsi="华文楷体" w:eastAsia="华文楷体"/>
          <w:sz w:val="28"/>
          <w:szCs w:val="28"/>
        </w:rPr>
        <w:t>（六）</w:t>
      </w:r>
      <w:r>
        <w:rPr>
          <w:rFonts w:hint="eastAsia" w:ascii="华文楷体" w:hAnsi="华文楷体" w:eastAsia="华文楷体"/>
          <w:sz w:val="28"/>
          <w:szCs w:val="28"/>
        </w:rPr>
        <w:t>实现养老人才队伍增量提质</w:t>
      </w:r>
    </w:p>
    <w:p>
      <w:pPr>
        <w:spacing w:line="480" w:lineRule="exact"/>
        <w:rPr>
          <w:rFonts w:ascii="华文楷体" w:hAnsi="华文楷体" w:eastAsia="华文楷体"/>
          <w:sz w:val="28"/>
          <w:szCs w:val="28"/>
        </w:rPr>
      </w:pPr>
      <w:r>
        <w:rPr>
          <w:rFonts w:ascii="华文楷体" w:hAnsi="华文楷体" w:eastAsia="华文楷体"/>
          <w:sz w:val="28"/>
          <w:szCs w:val="28"/>
        </w:rPr>
        <w:t>（七）</w:t>
      </w:r>
      <w:r>
        <w:rPr>
          <w:rFonts w:hint="eastAsia" w:ascii="华文楷体" w:hAnsi="华文楷体" w:eastAsia="华文楷体"/>
          <w:sz w:val="28"/>
          <w:szCs w:val="28"/>
        </w:rPr>
        <w:t>促进养老服务新业态发展</w:t>
      </w:r>
    </w:p>
    <w:p>
      <w:pPr>
        <w:spacing w:line="480" w:lineRule="exact"/>
        <w:rPr>
          <w:rFonts w:ascii="华文楷体" w:hAnsi="华文楷体" w:eastAsia="华文楷体"/>
          <w:sz w:val="28"/>
          <w:szCs w:val="28"/>
        </w:rPr>
      </w:pPr>
      <w:r>
        <w:rPr>
          <w:rFonts w:ascii="华文楷体" w:hAnsi="华文楷体" w:eastAsia="华文楷体"/>
          <w:sz w:val="28"/>
          <w:szCs w:val="28"/>
        </w:rPr>
        <w:t>（八）</w:t>
      </w:r>
      <w:r>
        <w:rPr>
          <w:rFonts w:hint="eastAsia" w:ascii="华文楷体" w:hAnsi="华文楷体" w:eastAsia="华文楷体"/>
          <w:sz w:val="28"/>
          <w:szCs w:val="28"/>
        </w:rPr>
        <w:t>健全养老服务综合监管制度</w:t>
      </w:r>
    </w:p>
    <w:p>
      <w:pPr>
        <w:spacing w:beforeLines="50" w:afterLines="50" w:line="480" w:lineRule="exact"/>
        <w:jc w:val="left"/>
        <w:rPr>
          <w:rFonts w:ascii="黑体" w:hAnsi="黑体" w:eastAsia="黑体"/>
          <w:b/>
          <w:sz w:val="28"/>
          <w:szCs w:val="28"/>
        </w:rPr>
      </w:pPr>
      <w:r>
        <w:rPr>
          <w:rFonts w:hint="eastAsia" w:ascii="黑体" w:hAnsi="黑体" w:eastAsia="黑体"/>
          <w:b/>
          <w:sz w:val="28"/>
          <w:szCs w:val="28"/>
        </w:rPr>
        <w:t>四、保障措施</w:t>
      </w:r>
    </w:p>
    <w:p>
      <w:pPr>
        <w:spacing w:line="480" w:lineRule="exact"/>
        <w:jc w:val="left"/>
        <w:rPr>
          <w:rFonts w:ascii="华文楷体" w:hAnsi="华文楷体" w:eastAsia="华文楷体"/>
          <w:sz w:val="28"/>
          <w:szCs w:val="28"/>
        </w:rPr>
      </w:pPr>
      <w:r>
        <w:rPr>
          <w:rFonts w:hint="eastAsia" w:ascii="华文楷体" w:hAnsi="华文楷体" w:eastAsia="华文楷体"/>
          <w:sz w:val="28"/>
          <w:szCs w:val="28"/>
        </w:rPr>
        <w:t>（一）加强组织保障</w:t>
      </w:r>
    </w:p>
    <w:p>
      <w:pPr>
        <w:spacing w:line="480" w:lineRule="exact"/>
        <w:jc w:val="left"/>
        <w:rPr>
          <w:rFonts w:ascii="华文楷体" w:hAnsi="华文楷体" w:eastAsia="华文楷体"/>
          <w:sz w:val="28"/>
          <w:szCs w:val="28"/>
        </w:rPr>
      </w:pPr>
      <w:r>
        <w:rPr>
          <w:rFonts w:hint="eastAsia" w:ascii="华文楷体" w:hAnsi="华文楷体" w:eastAsia="华文楷体"/>
          <w:sz w:val="28"/>
          <w:szCs w:val="28"/>
        </w:rPr>
        <w:t>（二）优化资金投入</w:t>
      </w:r>
    </w:p>
    <w:p>
      <w:pPr>
        <w:spacing w:line="480" w:lineRule="exact"/>
        <w:jc w:val="left"/>
        <w:rPr>
          <w:rFonts w:ascii="华文楷体" w:hAnsi="华文楷体" w:eastAsia="华文楷体" w:cs="Helvetica"/>
          <w:sz w:val="28"/>
          <w:szCs w:val="28"/>
        </w:rPr>
      </w:pPr>
      <w:r>
        <w:rPr>
          <w:rFonts w:hint="eastAsia" w:ascii="华文楷体" w:hAnsi="华文楷体" w:eastAsia="华文楷体" w:cs="Helvetica"/>
          <w:sz w:val="28"/>
          <w:szCs w:val="28"/>
        </w:rPr>
        <w:t>（三）抓好实施评估</w:t>
      </w:r>
    </w:p>
    <w:p>
      <w:pPr>
        <w:spacing w:beforeLines="50" w:line="480" w:lineRule="exact"/>
        <w:rPr>
          <w:rFonts w:ascii="仿宋" w:hAnsi="仿宋" w:eastAsia="仿宋"/>
          <w:sz w:val="28"/>
          <w:szCs w:val="28"/>
        </w:rPr>
      </w:pPr>
      <w:r>
        <w:rPr>
          <w:rFonts w:hint="eastAsia" w:ascii="仿宋" w:hAnsi="仿宋" w:eastAsia="仿宋"/>
          <w:sz w:val="28"/>
          <w:szCs w:val="28"/>
        </w:rPr>
        <w:t>附件1：“十四五”养老服务重点建设项目</w:t>
      </w:r>
    </w:p>
    <w:p>
      <w:pPr>
        <w:spacing w:line="480" w:lineRule="exact"/>
        <w:rPr>
          <w:rFonts w:ascii="仿宋" w:hAnsi="仿宋" w:eastAsia="仿宋"/>
          <w:sz w:val="28"/>
          <w:szCs w:val="28"/>
        </w:rPr>
      </w:pPr>
      <w:r>
        <w:rPr>
          <w:rFonts w:ascii="仿宋" w:hAnsi="仿宋" w:eastAsia="仿宋"/>
          <w:sz w:val="28"/>
          <w:szCs w:val="28"/>
        </w:rPr>
        <w:t>附件</w:t>
      </w:r>
      <w:r>
        <w:rPr>
          <w:rFonts w:hint="eastAsia" w:ascii="仿宋" w:hAnsi="仿宋" w:eastAsia="仿宋"/>
          <w:sz w:val="28"/>
          <w:szCs w:val="28"/>
        </w:rPr>
        <w:t>2：</w:t>
      </w:r>
      <w:r>
        <w:rPr>
          <w:rFonts w:ascii="仿宋" w:hAnsi="仿宋" w:eastAsia="仿宋"/>
          <w:sz w:val="28"/>
          <w:szCs w:val="28"/>
        </w:rPr>
        <w:t>名词解释</w:t>
      </w:r>
    </w:p>
    <w:p/>
    <w:p/>
    <w:p/>
    <w:p/>
    <w:p/>
    <w:p>
      <w:pPr>
        <w:spacing w:before="240" w:line="600" w:lineRule="exact"/>
        <w:jc w:val="center"/>
        <w:rPr>
          <w:rFonts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rPr>
        <w:t>杭州市养老服务业发展“十四五”规划</w:t>
      </w:r>
    </w:p>
    <w:p>
      <w:pPr>
        <w:spacing w:line="600" w:lineRule="exact"/>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仿宋" w:hAnsi="仿宋" w:eastAsia="仿宋" w:cs="微软雅黑"/>
          <w:sz w:val="32"/>
          <w:szCs w:val="32"/>
        </w:rPr>
        <w:t>征求意见稿</w:t>
      </w:r>
      <w:r>
        <w:rPr>
          <w:rFonts w:hint="eastAsia" w:ascii="楷体_GB2312" w:hAnsi="楷体_GB2312" w:eastAsia="楷体_GB2312" w:cs="楷体_GB2312"/>
          <w:sz w:val="32"/>
          <w:szCs w:val="32"/>
        </w:rPr>
        <w:t>）</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为贯彻实施积极应对人口老龄化国家战略，推进养老服务从高速向高质量发展转型，根据《浙江省应对人口老龄化中长期规划》《浙江省养老服务事业发展“十四五”规划》（待发布）精神，制定本规划。</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规划期限为2021-2025年，规划基期为2020年。</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一、发展基础与背景</w:t>
      </w:r>
    </w:p>
    <w:p>
      <w:pPr>
        <w:spacing w:line="600" w:lineRule="exact"/>
        <w:ind w:firstLine="641"/>
        <w:rPr>
          <w:rFonts w:ascii="楷体_GB2312" w:hAnsi="楷体_GB2312" w:eastAsia="楷体_GB2312" w:cs="楷体_GB2312"/>
          <w:b/>
          <w:sz w:val="32"/>
          <w:szCs w:val="32"/>
        </w:rPr>
      </w:pPr>
      <w:r>
        <w:rPr>
          <w:rFonts w:hint="eastAsia" w:ascii="楷体_GB2312" w:hAnsi="楷体_GB2312" w:eastAsia="楷体_GB2312" w:cs="楷体_GB2312"/>
          <w:b/>
          <w:sz w:val="32"/>
          <w:szCs w:val="32"/>
        </w:rPr>
        <w:t>（一）养老服务业“十四五”发展基础</w:t>
      </w:r>
    </w:p>
    <w:p>
      <w:pPr>
        <w:spacing w:line="60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“十三五”时期，杭州市以5项国家和省级养老服务试点项目</w:t>
      </w:r>
      <w:r>
        <w:rPr>
          <w:rStyle w:val="12"/>
          <w:rFonts w:hint="eastAsia" w:ascii="仿宋_GB2312" w:hAnsi="仿宋_GB2312" w:eastAsia="仿宋_GB2312" w:cs="仿宋_GB2312"/>
          <w:sz w:val="32"/>
          <w:szCs w:val="32"/>
        </w:rPr>
        <w:footnoteReference w:id="0"/>
      </w:r>
      <w:r>
        <w:rPr>
          <w:rFonts w:hint="eastAsia" w:ascii="仿宋_GB2312" w:hAnsi="仿宋_GB2312" w:eastAsia="仿宋_GB2312" w:cs="仿宋_GB2312"/>
          <w:sz w:val="32"/>
          <w:szCs w:val="32"/>
        </w:rPr>
        <w:t>为引领，</w:t>
      </w:r>
      <w:r>
        <w:rPr>
          <w:rFonts w:hint="eastAsia" w:ascii="仿宋_GB2312" w:hAnsi="仿宋" w:eastAsia="仿宋_GB2312" w:cs="仿宋"/>
          <w:sz w:val="32"/>
          <w:szCs w:val="32"/>
        </w:rPr>
        <w:t>以制度、标准、设施、人才队伍、产业发展为重点，</w:t>
      </w:r>
      <w:r>
        <w:rPr>
          <w:rFonts w:hint="eastAsia" w:ascii="仿宋_GB2312" w:hAnsi="仿宋_GB2312" w:eastAsia="仿宋_GB2312" w:cs="仿宋_GB2312"/>
          <w:sz w:val="32"/>
          <w:szCs w:val="32"/>
        </w:rPr>
        <w:t>启动结构性改革，多部门联合攻坚，</w:t>
      </w:r>
      <w:r>
        <w:rPr>
          <w:rFonts w:hint="eastAsia" w:ascii="仿宋_GB2312" w:hAnsi="仿宋" w:eastAsia="仿宋_GB2312" w:cs="仿宋"/>
          <w:sz w:val="32"/>
          <w:szCs w:val="32"/>
        </w:rPr>
        <w:t>推动</w:t>
      </w:r>
      <w:r>
        <w:rPr>
          <w:rFonts w:hint="eastAsia" w:ascii="仿宋_GB2312" w:hAnsi="仿宋_GB2312" w:eastAsia="仿宋_GB2312" w:cs="仿宋_GB2312"/>
          <w:sz w:val="32"/>
          <w:szCs w:val="32"/>
        </w:rPr>
        <w:t>养老服务全面快速发展，并转入质量提升的深化发展期。全市养老服务发展进入新的阶段，居家、社区、机构融合发展，居家养老服务专业能力明显提升，医养护一体化从探索试点拓展为医养康养纵深发展，智慧养老全面迭代兼具综合服务和监管功能，</w:t>
      </w:r>
      <w:r>
        <w:rPr>
          <w:rFonts w:hint="eastAsia" w:ascii="仿宋_GB2312" w:hAnsi="仿宋" w:eastAsia="仿宋_GB2312" w:cs="仿宋"/>
          <w:sz w:val="32"/>
          <w:szCs w:val="32"/>
        </w:rPr>
        <w:t>杭州养老服务工作得到了国务院、民政部以及省政府领导的充分肯定，在第一批中央财政支持开展居家和社区养老服务改革试点中获优秀等次，</w:t>
      </w:r>
      <w:r>
        <w:rPr>
          <w:rFonts w:hint="eastAsia" w:ascii="仿宋_GB2312" w:hAnsi="仿宋_GB2312" w:eastAsia="仿宋_GB2312" w:cs="仿宋_GB2312"/>
          <w:sz w:val="32"/>
          <w:szCs w:val="32"/>
        </w:rPr>
        <w:t>全国、全省养老服务标杆引领地位进一步强化，老年人获得感和幸福感更加充实、更有保障。</w:t>
      </w:r>
    </w:p>
    <w:p>
      <w:pPr>
        <w:tabs>
          <w:tab w:val="center" w:pos="4153"/>
        </w:tabs>
        <w:autoSpaceDN w:val="0"/>
        <w:adjustRightInd w:val="0"/>
        <w:snapToGrid w:val="0"/>
        <w:spacing w:line="600" w:lineRule="exact"/>
        <w:ind w:firstLine="643" w:firstLineChars="200"/>
        <w:rPr>
          <w:rFonts w:ascii="仿宋_GB2312" w:hAnsi="仿宋_GB2312" w:eastAsia="仿宋_GB2312" w:cs="仿宋_GB2312"/>
          <w:sz w:val="32"/>
          <w:szCs w:val="32"/>
        </w:rPr>
      </w:pPr>
      <w:r>
        <w:rPr>
          <w:rFonts w:hint="eastAsia" w:ascii="Calibri" w:hAnsi="Calibri" w:eastAsia="楷体_GB2312" w:cs="Calibri"/>
          <w:b/>
          <w:bCs/>
          <w:sz w:val="32"/>
          <w:szCs w:val="32"/>
        </w:rPr>
        <w:t>1</w:t>
      </w:r>
      <w:r>
        <w:rPr>
          <w:rFonts w:ascii="Calibri" w:hAnsi="Calibri" w:eastAsia="楷体_GB2312" w:cs="Calibri"/>
          <w:b/>
          <w:bCs/>
          <w:sz w:val="32"/>
          <w:szCs w:val="32"/>
        </w:rPr>
        <w:t>.</w:t>
      </w:r>
      <w:r>
        <w:rPr>
          <w:rFonts w:hint="eastAsia" w:ascii="楷体_GB2312" w:hAnsi="楷体_GB2312" w:eastAsia="楷体_GB2312" w:cs="楷体_GB2312"/>
          <w:b/>
          <w:bCs/>
          <w:sz w:val="32"/>
          <w:szCs w:val="32"/>
        </w:rPr>
        <w:t>协同机制有效建立。</w:t>
      </w:r>
      <w:r>
        <w:rPr>
          <w:rFonts w:hint="eastAsia" w:ascii="仿宋_GB2312" w:hAnsi="仿宋" w:eastAsia="仿宋_GB2312"/>
          <w:sz w:val="32"/>
          <w:szCs w:val="32"/>
        </w:rPr>
        <w:t>作为重要民生工程，市委市政府高度重视养老服务事业，2016年，全市成立养老服</w:t>
      </w:r>
      <w:r>
        <w:rPr>
          <w:rFonts w:hint="eastAsia" w:ascii="仿宋_GB2312" w:hAnsi="仿宋_GB2312" w:eastAsia="仿宋_GB2312" w:cs="仿宋_GB2312"/>
          <w:kern w:val="0"/>
          <w:sz w:val="32"/>
          <w:szCs w:val="32"/>
        </w:rPr>
        <w:t>务业综合改革试点工作推进领导小组，市委主要领导任组长，26个涉老部门全面参与，</w:t>
      </w:r>
      <w:r>
        <w:rPr>
          <w:rFonts w:hint="eastAsia" w:ascii="仿宋_GB2312" w:hAnsi="仿宋_GB2312" w:eastAsia="仿宋_GB2312" w:cs="仿宋_GB2312"/>
          <w:sz w:val="32"/>
          <w:szCs w:val="32"/>
        </w:rPr>
        <w:t>构建形成党委政府统筹、民政牵头、部门联动、联合攻坚的全方位协同机制。全市养老服务“1+1+X”政策支持体系不断完善，推动《杭州市居家养老服务条例》出台，</w:t>
      </w:r>
      <w:r>
        <w:rPr>
          <w:rFonts w:hint="eastAsia" w:ascii="仿宋_GB2312" w:hAnsi="仿宋" w:eastAsia="仿宋_GB2312"/>
          <w:bCs/>
          <w:sz w:val="32"/>
          <w:szCs w:val="32"/>
        </w:rPr>
        <w:t>制定政策文件及标准规范</w:t>
      </w:r>
      <w:r>
        <w:rPr>
          <w:rFonts w:ascii="仿宋_GB2312" w:hAnsi="仿宋" w:eastAsia="仿宋_GB2312"/>
          <w:bCs/>
          <w:sz w:val="32"/>
          <w:szCs w:val="32"/>
        </w:rPr>
        <w:t>40</w:t>
      </w:r>
      <w:r>
        <w:rPr>
          <w:rFonts w:hint="eastAsia" w:ascii="仿宋_GB2312" w:hAnsi="仿宋" w:eastAsia="仿宋_GB2312"/>
          <w:bCs/>
          <w:sz w:val="32"/>
          <w:szCs w:val="32"/>
        </w:rPr>
        <w:t>余个，</w:t>
      </w:r>
      <w:r>
        <w:rPr>
          <w:rFonts w:hint="eastAsia" w:ascii="仿宋_GB2312" w:hAnsi="仿宋" w:eastAsia="仿宋_GB2312"/>
          <w:sz w:val="32"/>
          <w:szCs w:val="32"/>
        </w:rPr>
        <w:t>在用地保障、融资信贷、财政支持、税费优惠、人才队伍等方面明确</w:t>
      </w:r>
      <w:r>
        <w:rPr>
          <w:rFonts w:hint="eastAsia" w:ascii="仿宋_GB2312" w:hAnsi="仿宋" w:eastAsia="仿宋_GB2312"/>
          <w:bCs/>
          <w:sz w:val="32"/>
          <w:szCs w:val="32"/>
        </w:rPr>
        <w:t>系列组合拳支持政策</w:t>
      </w:r>
      <w:r>
        <w:rPr>
          <w:rFonts w:hint="eastAsia" w:ascii="仿宋_GB2312" w:hAnsi="仿宋" w:eastAsia="仿宋_GB2312"/>
          <w:sz w:val="32"/>
          <w:szCs w:val="32"/>
        </w:rPr>
        <w:t>，</w:t>
      </w:r>
      <w:r>
        <w:rPr>
          <w:rFonts w:hint="eastAsia" w:ascii="仿宋_GB2312" w:hAnsi="仿宋_GB2312" w:eastAsia="仿宋_GB2312" w:cs="仿宋_GB2312"/>
          <w:sz w:val="32"/>
          <w:szCs w:val="32"/>
        </w:rPr>
        <w:t>五年间仅市本级累计投入居家养老服务财政资金就到达6亿多元。</w:t>
      </w:r>
    </w:p>
    <w:p>
      <w:pPr>
        <w:tabs>
          <w:tab w:val="center" w:pos="4153"/>
        </w:tabs>
        <w:autoSpaceDN w:val="0"/>
        <w:adjustRightInd w:val="0"/>
        <w:snapToGrid w:val="0"/>
        <w:spacing w:line="600" w:lineRule="exact"/>
        <w:ind w:firstLine="643" w:firstLineChars="200"/>
        <w:rPr>
          <w:rFonts w:ascii="仿宋_GB2312" w:hAnsi="仿宋" w:eastAsia="仿宋_GB2312" w:cs="仿宋_GB2312"/>
          <w:sz w:val="32"/>
          <w:szCs w:val="32"/>
        </w:rPr>
      </w:pPr>
      <w:r>
        <w:rPr>
          <w:rFonts w:hint="eastAsia" w:ascii="Calibri" w:hAnsi="Calibri" w:eastAsia="楷体_GB2312" w:cs="Calibri"/>
          <w:b/>
          <w:bCs/>
          <w:sz w:val="32"/>
          <w:szCs w:val="32"/>
        </w:rPr>
        <w:t>2</w:t>
      </w:r>
      <w:r>
        <w:rPr>
          <w:rFonts w:ascii="Calibri" w:hAnsi="Calibri" w:eastAsia="楷体_GB2312" w:cs="Calibri"/>
          <w:b/>
          <w:bCs/>
          <w:sz w:val="32"/>
          <w:szCs w:val="32"/>
        </w:rPr>
        <w:t>.</w:t>
      </w:r>
      <w:r>
        <w:rPr>
          <w:rFonts w:hint="eastAsia" w:ascii="楷体_GB2312" w:hAnsi="楷体_GB2312" w:eastAsia="楷体_GB2312" w:cs="楷体_GB2312"/>
          <w:b/>
          <w:bCs/>
          <w:sz w:val="32"/>
          <w:szCs w:val="32"/>
        </w:rPr>
        <w:t>按需导向精准供给。</w:t>
      </w:r>
      <w:r>
        <w:rPr>
          <w:rFonts w:hint="eastAsia" w:ascii="Calibri" w:hAnsi="Calibri" w:eastAsia="仿宋_GB2312" w:cs="Calibri"/>
          <w:sz w:val="32"/>
          <w:szCs w:val="32"/>
        </w:rPr>
        <w:t>以社区居家照护为导向</w:t>
      </w:r>
      <w:r>
        <w:rPr>
          <w:rFonts w:hint="eastAsia" w:ascii="仿宋_GB2312" w:hAnsi="仿宋_GB2312" w:eastAsia="仿宋_GB2312" w:cs="仿宋_GB2312"/>
          <w:bCs/>
          <w:sz w:val="32"/>
          <w:szCs w:val="32"/>
        </w:rPr>
        <w:t>，214家镇街级</w:t>
      </w:r>
      <w:r>
        <w:rPr>
          <w:rFonts w:hint="eastAsia" w:ascii="仿宋_GB2312" w:eastAsia="仿宋_GB2312"/>
          <w:sz w:val="32"/>
          <w:szCs w:val="32"/>
        </w:rPr>
        <w:t>示范型居家养老服务中心配齐六大服务功能，与</w:t>
      </w:r>
      <w:r>
        <w:rPr>
          <w:rFonts w:hint="eastAsia" w:ascii="仿宋_GB2312" w:hAnsi="仿宋_GB2312" w:eastAsia="仿宋_GB2312" w:cs="仿宋_GB2312"/>
          <w:bCs/>
          <w:sz w:val="32"/>
          <w:szCs w:val="32"/>
        </w:rPr>
        <w:t>2691家村社级照料中心实现</w:t>
      </w:r>
      <w:r>
        <w:rPr>
          <w:rFonts w:hint="eastAsia" w:ascii="仿宋_GB2312" w:hAnsi="仿宋" w:eastAsia="仿宋_GB2312" w:cs="仿宋_GB2312"/>
          <w:sz w:val="32"/>
          <w:szCs w:val="32"/>
        </w:rPr>
        <w:t>错位发展、互为补充。建成老年食堂（助餐点）1600余家，并形成“中央厨房+中心食堂+助餐点”“互联网+助餐”等多元助餐模式。专业服务延伸至家庭养老床位、适老化改造、政府购买上门服务等若干个性定制，</w:t>
      </w:r>
      <w:r>
        <w:rPr>
          <w:rFonts w:hint="eastAsia" w:ascii="仿宋_GB2312" w:eastAsia="仿宋_GB2312"/>
          <w:sz w:val="32"/>
          <w:szCs w:val="32"/>
        </w:rPr>
        <w:t>成功探索“家院一体”微机构71家，</w:t>
      </w:r>
      <w:r>
        <w:rPr>
          <w:rFonts w:hint="eastAsia" w:ascii="仿宋_GB2312" w:hAnsi="仿宋" w:eastAsia="仿宋_GB2312" w:cs="仿宋_GB2312"/>
          <w:sz w:val="32"/>
          <w:szCs w:val="32"/>
        </w:rPr>
        <w:t>开展适老化改造2200余户，政府购买上门服务惠及近10万困难老年群体。</w:t>
      </w:r>
      <w:r>
        <w:rPr>
          <w:rFonts w:hint="eastAsia" w:ascii="仿宋_GB2312" w:hAnsi="宋体" w:eastAsia="仿宋_GB2312" w:cs="仿宋_GB2312"/>
          <w:kern w:val="0"/>
          <w:sz w:val="32"/>
          <w:szCs w:val="32"/>
        </w:rPr>
        <w:t>全市3家市级、15家区（县）级养老服务机构</w:t>
      </w:r>
      <w:r>
        <w:rPr>
          <w:rFonts w:hint="eastAsia" w:ascii="Calibri" w:hAnsi="Calibri" w:eastAsia="仿宋_GB2312" w:cs="Calibri"/>
          <w:kern w:val="0"/>
          <w:sz w:val="32"/>
          <w:szCs w:val="32"/>
        </w:rPr>
        <w:t>实施</w:t>
      </w:r>
      <w:r>
        <w:rPr>
          <w:rFonts w:hint="eastAsia" w:ascii="仿宋_GB2312" w:hAnsi="宋体" w:eastAsia="仿宋_GB2312" w:cs="仿宋_GB2312"/>
          <w:kern w:val="0"/>
          <w:sz w:val="32"/>
          <w:szCs w:val="32"/>
        </w:rPr>
        <w:t>康养联合体试点</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“老有康养”逐渐成为老人标配，</w:t>
      </w:r>
      <w:r>
        <w:rPr>
          <w:rFonts w:hint="eastAsia" w:ascii="仿宋_GB2312" w:hAnsi="仿宋" w:eastAsia="仿宋_GB2312"/>
          <w:sz w:val="32"/>
          <w:szCs w:val="32"/>
        </w:rPr>
        <w:t>“一站式”养老服务圈加快推行。</w:t>
      </w:r>
    </w:p>
    <w:p>
      <w:pPr>
        <w:spacing w:line="600" w:lineRule="exact"/>
        <w:ind w:firstLine="643" w:firstLineChars="200"/>
        <w:rPr>
          <w:rFonts w:ascii="仿宋_GB2312" w:hAnsi="仿宋" w:eastAsia="仿宋_GB2312" w:cs="仿宋"/>
          <w:sz w:val="32"/>
          <w:szCs w:val="32"/>
        </w:rPr>
      </w:pPr>
      <w:r>
        <w:rPr>
          <w:rFonts w:hint="eastAsia" w:ascii="Calibri" w:hAnsi="Calibri" w:eastAsia="楷体_GB2312" w:cs="Calibri"/>
          <w:b/>
          <w:sz w:val="32"/>
          <w:szCs w:val="32"/>
        </w:rPr>
        <w:t>3</w:t>
      </w:r>
      <w:r>
        <w:rPr>
          <w:rFonts w:ascii="Calibri" w:hAnsi="Calibri" w:eastAsia="楷体_GB2312" w:cs="Calibri"/>
          <w:b/>
          <w:sz w:val="32"/>
          <w:szCs w:val="32"/>
        </w:rPr>
        <w:t>.</w:t>
      </w:r>
      <w:r>
        <w:rPr>
          <w:rFonts w:hint="eastAsia" w:ascii="楷体_GB2312" w:hAnsi="楷体_GB2312" w:eastAsia="楷体_GB2312" w:cs="楷体_GB2312"/>
          <w:b/>
          <w:sz w:val="32"/>
          <w:szCs w:val="32"/>
        </w:rPr>
        <w:t>机构养老做强做优。</w:t>
      </w:r>
      <w:r>
        <w:rPr>
          <w:rFonts w:hint="eastAsia" w:ascii="仿宋_GB2312" w:hAnsi="黑体" w:eastAsia="仿宋_GB2312" w:cs="楷体"/>
          <w:sz w:val="32"/>
          <w:szCs w:val="32"/>
        </w:rPr>
        <w:t>推动公办养老机构公建民营、定价机制、准入轮候三大改革</w:t>
      </w:r>
      <w:r>
        <w:rPr>
          <w:rFonts w:ascii="仿宋_GB2312" w:hAnsi="黑体" w:eastAsia="仿宋_GB2312" w:cs="楷体"/>
          <w:sz w:val="32"/>
          <w:szCs w:val="32"/>
        </w:rPr>
        <w:t>，</w:t>
      </w:r>
      <w:r>
        <w:rPr>
          <w:rFonts w:hint="eastAsia" w:ascii="仿宋_GB2312" w:hAnsi="仿宋_GB2312" w:eastAsia="仿宋_GB2312"/>
          <w:sz w:val="32"/>
          <w:szCs w:val="32"/>
        </w:rPr>
        <w:t>实施农村敬老院提升改造三年行动计划，强化兜底保障的同时，公办养老机构活力不断激发。实施</w:t>
      </w:r>
      <w:r>
        <w:rPr>
          <w:rFonts w:hint="eastAsia" w:ascii="仿宋_GB2312" w:hAnsi="黑体" w:eastAsia="仿宋_GB2312" w:cs="楷体"/>
          <w:sz w:val="32"/>
          <w:szCs w:val="32"/>
        </w:rPr>
        <w:t>养老院服务质量提升行动。全市共有养老机构329家,</w:t>
      </w:r>
      <w:r>
        <w:rPr>
          <w:rFonts w:hint="eastAsia" w:ascii="Calibri" w:hAnsi="Calibri" w:eastAsia="仿宋_GB2312" w:cs="Calibri"/>
          <w:sz w:val="32"/>
          <w:szCs w:val="32"/>
        </w:rPr>
        <w:t>其中</w:t>
      </w:r>
      <w:r>
        <w:rPr>
          <w:rFonts w:hint="eastAsia" w:ascii="仿宋_GB2312" w:hAnsi="黑体" w:eastAsia="仿宋_GB2312" w:cs="楷体"/>
          <w:sz w:val="32"/>
          <w:szCs w:val="32"/>
        </w:rPr>
        <w:t>公办养老机构88家,民</w:t>
      </w:r>
      <w:r>
        <w:rPr>
          <w:rFonts w:hint="eastAsia" w:ascii="Calibri" w:hAnsi="Calibri" w:eastAsia="仿宋_GB2312" w:cs="Calibri"/>
          <w:sz w:val="32"/>
          <w:szCs w:val="32"/>
        </w:rPr>
        <w:t>营</w:t>
      </w:r>
      <w:r>
        <w:rPr>
          <w:rFonts w:hint="eastAsia" w:ascii="仿宋_GB2312" w:hAnsi="黑体" w:eastAsia="仿宋_GB2312" w:cs="楷体"/>
          <w:sz w:val="32"/>
          <w:szCs w:val="32"/>
        </w:rPr>
        <w:t>养老机构241家(含公建民营85家);床位数7.4万张,其中护理型床位占比55%,</w:t>
      </w:r>
      <w:r>
        <w:rPr>
          <w:rFonts w:hint="eastAsia" w:ascii="Calibri" w:hAnsi="Calibri" w:eastAsia="仿宋_GB2312" w:cs="Calibri"/>
          <w:sz w:val="32"/>
          <w:szCs w:val="32"/>
        </w:rPr>
        <w:t>每</w:t>
      </w:r>
      <w:r>
        <w:rPr>
          <w:rFonts w:hint="eastAsia" w:ascii="仿宋" w:hAnsi="仿宋" w:eastAsia="仿宋"/>
          <w:sz w:val="32"/>
          <w:szCs w:val="32"/>
        </w:rPr>
        <w:t>千</w:t>
      </w:r>
      <w:r>
        <w:rPr>
          <w:rFonts w:hint="eastAsia" w:ascii="仿宋_GB2312" w:hAnsi="黑体" w:eastAsia="仿宋_GB2312" w:cs="楷体"/>
          <w:sz w:val="32"/>
          <w:szCs w:val="32"/>
        </w:rPr>
        <w:t>名老人拥有床位数41张。</w:t>
      </w:r>
      <w:r>
        <w:rPr>
          <w:rFonts w:hint="eastAsia" w:ascii="仿宋_GB2312" w:hAnsi="仿宋_GB2312" w:eastAsia="仿宋_GB2312" w:cs="仿宋_GB2312"/>
          <w:sz w:val="32"/>
          <w:szCs w:val="32"/>
        </w:rPr>
        <w:t>全市基本形成“低端有保障、中端有供给、高端有市场”的养老机构发展格局</w:t>
      </w:r>
      <w:r>
        <w:rPr>
          <w:rFonts w:hint="eastAsia" w:ascii="仿宋_GB2312" w:hAnsi="仿宋" w:eastAsia="仿宋_GB2312" w:cs="仿宋"/>
          <w:sz w:val="32"/>
          <w:szCs w:val="32"/>
        </w:rPr>
        <w:t>，有效满足老年人多层次多样化的机构养老需求。</w:t>
      </w:r>
    </w:p>
    <w:p>
      <w:pPr>
        <w:spacing w:line="600" w:lineRule="exact"/>
        <w:ind w:firstLine="643" w:firstLineChars="200"/>
        <w:rPr>
          <w:rFonts w:ascii="仿宋_GB2312" w:eastAsia="仿宋_GB2312"/>
          <w:sz w:val="32"/>
          <w:szCs w:val="32"/>
        </w:rPr>
      </w:pPr>
      <w:r>
        <w:rPr>
          <w:rFonts w:ascii="楷体_GB2312" w:hAnsi="楷体_GB2312" w:eastAsia="楷体_GB2312" w:cs="楷体_GB2312"/>
          <w:b/>
          <w:sz w:val="32"/>
          <w:szCs w:val="32"/>
        </w:rPr>
        <w:t>4.</w:t>
      </w:r>
      <w:r>
        <w:rPr>
          <w:rFonts w:hint="eastAsia" w:ascii="楷体_GB2312" w:hAnsi="楷体_GB2312" w:eastAsia="楷体_GB2312" w:cs="楷体_GB2312"/>
          <w:b/>
          <w:sz w:val="32"/>
          <w:szCs w:val="32"/>
        </w:rPr>
        <w:t>智慧养老迭代升级</w:t>
      </w:r>
      <w:r>
        <w:rPr>
          <w:rFonts w:hint="eastAsia" w:ascii="楷体_GB2312" w:hAnsi="楷体_GB2312" w:eastAsia="楷体_GB2312" w:cs="楷体_GB2312"/>
          <w:b/>
          <w:bCs/>
          <w:sz w:val="32"/>
          <w:szCs w:val="32"/>
        </w:rPr>
        <w:t>。</w:t>
      </w:r>
      <w:r>
        <w:rPr>
          <w:rFonts w:hint="eastAsia" w:ascii="仿宋_GB2312" w:eastAsia="仿宋_GB2312"/>
          <w:sz w:val="32"/>
          <w:szCs w:val="32"/>
        </w:rPr>
        <w:t>市级“互联网+养老”平台升级优化，</w:t>
      </w:r>
      <w:r>
        <w:rPr>
          <w:rFonts w:hint="eastAsia" w:ascii="仿宋_GB2312" w:hAnsi="仿宋_GB2312" w:eastAsia="仿宋_GB2312" w:cs="仿宋_GB2312"/>
          <w:sz w:val="32"/>
          <w:szCs w:val="32"/>
        </w:rPr>
        <w:t>全天候</w:t>
      </w:r>
      <w:r>
        <w:rPr>
          <w:rFonts w:hint="eastAsia" w:ascii="仿宋_GB2312" w:eastAsia="仿宋_GB2312"/>
          <w:sz w:val="32"/>
          <w:szCs w:val="32"/>
        </w:rPr>
        <w:t>为15万低收入高龄及失能老年人</w:t>
      </w:r>
      <w:r>
        <w:rPr>
          <w:rFonts w:hint="eastAsia" w:ascii="仿宋_GB2312" w:hAnsi="仿宋_GB2312" w:eastAsia="仿宋_GB2312" w:cs="仿宋_GB2312"/>
          <w:sz w:val="32"/>
          <w:szCs w:val="32"/>
        </w:rPr>
        <w:t>提供“</w:t>
      </w:r>
      <w:r>
        <w:rPr>
          <w:rFonts w:hint="eastAsia" w:ascii="仿宋_GB2312" w:eastAsia="仿宋_GB2312"/>
          <w:sz w:val="32"/>
          <w:szCs w:val="32"/>
        </w:rPr>
        <w:t>一键呼救</w:t>
      </w:r>
      <w:r>
        <w:rPr>
          <w:rFonts w:hint="eastAsia" w:ascii="仿宋_GB2312" w:hAnsi="仿宋_GB2312" w:eastAsia="仿宋_GB2312" w:cs="仿宋_GB2312"/>
          <w:sz w:val="32"/>
          <w:szCs w:val="32"/>
        </w:rPr>
        <w:t>”</w:t>
      </w:r>
      <w:r>
        <w:rPr>
          <w:rFonts w:hint="eastAsia" w:ascii="仿宋_GB2312" w:eastAsia="仿宋_GB2312"/>
          <w:sz w:val="32"/>
          <w:szCs w:val="32"/>
        </w:rPr>
        <w:t>等</w:t>
      </w:r>
      <w:r>
        <w:rPr>
          <w:rFonts w:hint="eastAsia" w:ascii="仿宋_GB2312" w:hAnsi="仿宋_GB2312" w:eastAsia="仿宋_GB2312" w:cs="仿宋_GB2312"/>
          <w:sz w:val="32"/>
          <w:szCs w:val="32"/>
        </w:rPr>
        <w:t>三大类13余小项服务，</w:t>
      </w:r>
      <w:r>
        <w:rPr>
          <w:rFonts w:hint="eastAsia" w:ascii="仿宋_GB2312" w:eastAsia="仿宋_GB2312"/>
          <w:sz w:val="32"/>
          <w:szCs w:val="32"/>
        </w:rPr>
        <w:t>创建老年食堂无接触取餐“刷脸吃饭”、</w:t>
      </w:r>
      <w:r>
        <w:rPr>
          <w:rFonts w:hint="eastAsia" w:ascii="仿宋_GB2312" w:hAnsi="仿宋_GB2312" w:eastAsia="仿宋_GB2312" w:cs="仿宋_GB2312"/>
          <w:sz w:val="32"/>
          <w:szCs w:val="32"/>
        </w:rPr>
        <w:t>智能养老管家、养老地图等智慧应用场景。</w:t>
      </w:r>
      <w:r>
        <w:rPr>
          <w:rFonts w:hint="eastAsia" w:ascii="仿宋_GB2312" w:eastAsia="仿宋_GB2312"/>
          <w:sz w:val="32"/>
          <w:szCs w:val="32"/>
        </w:rPr>
        <w:t>打造养老服务线上</w:t>
      </w:r>
      <w:r>
        <w:rPr>
          <w:rFonts w:hint="eastAsia" w:ascii="仿宋_GB2312" w:hAnsi="仿宋" w:eastAsia="仿宋_GB2312"/>
          <w:sz w:val="32"/>
          <w:szCs w:val="32"/>
        </w:rPr>
        <w:t>APP</w:t>
      </w:r>
      <w:r>
        <w:rPr>
          <w:rFonts w:hint="eastAsia" w:ascii="仿宋_GB2312" w:eastAsia="仿宋_GB2312"/>
          <w:sz w:val="32"/>
          <w:szCs w:val="32"/>
        </w:rPr>
        <w:t>商城“点单式”服务，养老服务补贴打入老年人社保卡（市民卡）养老服务专户，</w:t>
      </w:r>
      <w:r>
        <w:rPr>
          <w:rFonts w:hint="eastAsia" w:ascii="Calibri" w:hAnsi="Calibri" w:eastAsia="仿宋_GB2312" w:cs="Calibri"/>
          <w:sz w:val="32"/>
          <w:szCs w:val="32"/>
        </w:rPr>
        <w:t>在</w:t>
      </w:r>
      <w:r>
        <w:rPr>
          <w:rFonts w:hint="eastAsia" w:ascii="仿宋_GB2312" w:eastAsia="仿宋_GB2312"/>
          <w:sz w:val="32"/>
          <w:szCs w:val="32"/>
        </w:rPr>
        <w:t>全国率先创设全市通用的养老电子货币“重阳分”，</w:t>
      </w:r>
      <w:r>
        <w:rPr>
          <w:rFonts w:hint="eastAsia" w:ascii="Calibri" w:hAnsi="Calibri" w:eastAsia="仿宋_GB2312" w:cs="Calibri"/>
          <w:sz w:val="32"/>
          <w:szCs w:val="32"/>
        </w:rPr>
        <w:t>可</w:t>
      </w:r>
      <w:r>
        <w:rPr>
          <w:rFonts w:hint="eastAsia" w:ascii="仿宋_GB2312" w:eastAsia="仿宋_GB2312"/>
          <w:sz w:val="32"/>
          <w:szCs w:val="32"/>
        </w:rPr>
        <w:t>用于居家养老上门服务、养老服务机构床位费、护理费等</w:t>
      </w:r>
      <w:r>
        <w:rPr>
          <w:rFonts w:hint="eastAsia" w:ascii="Calibri" w:hAnsi="Calibri" w:eastAsia="仿宋_GB2312" w:cs="Calibri"/>
          <w:sz w:val="32"/>
          <w:szCs w:val="32"/>
        </w:rPr>
        <w:t>支付</w:t>
      </w:r>
      <w:r>
        <w:rPr>
          <w:rFonts w:hint="eastAsia" w:ascii="仿宋_GB2312" w:eastAsia="仿宋_GB2312"/>
          <w:sz w:val="32"/>
          <w:szCs w:val="32"/>
        </w:rPr>
        <w:t>，累计发放14314.1万重阳分，服务结算9384.23万重阳分，打破了原来的区域壁垒，形成全市统一的养老服务市场。</w:t>
      </w:r>
    </w:p>
    <w:p/>
    <w:p>
      <w:pPr>
        <w:spacing w:line="600" w:lineRule="exact"/>
        <w:jc w:val="center"/>
        <w:rPr>
          <w:rFonts w:ascii="黑体" w:hAnsi="黑体" w:eastAsia="黑体" w:cs="黑体"/>
          <w:sz w:val="28"/>
          <w:szCs w:val="28"/>
        </w:rPr>
      </w:pPr>
      <w:r>
        <w:rPr>
          <w:rFonts w:hint="eastAsia" w:ascii="黑体" w:hAnsi="黑体" w:eastAsia="黑体" w:cs="黑体"/>
          <w:sz w:val="28"/>
          <w:szCs w:val="28"/>
        </w:rPr>
        <w:t>表1：杭州市养老服务业发展“十三五”规划指标完成情况</w:t>
      </w:r>
    </w:p>
    <w:tbl>
      <w:tblPr>
        <w:tblStyle w:val="8"/>
        <w:tblW w:w="8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983"/>
        <w:gridCol w:w="707"/>
        <w:gridCol w:w="1276"/>
        <w:gridCol w:w="1136"/>
        <w:gridCol w:w="1088"/>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416" w:type="dxa"/>
            <w:vAlign w:val="center"/>
          </w:tcPr>
          <w:p>
            <w:pPr>
              <w:jc w:val="center"/>
              <w:rPr>
                <w:rFonts w:ascii="仿宋" w:hAnsi="仿宋" w:eastAsia="仿宋"/>
                <w:b/>
                <w:bCs/>
                <w:sz w:val="24"/>
                <w:szCs w:val="24"/>
              </w:rPr>
            </w:pPr>
            <w:r>
              <w:rPr>
                <w:rFonts w:hint="eastAsia" w:ascii="仿宋" w:hAnsi="仿宋" w:eastAsia="仿宋"/>
                <w:b/>
                <w:bCs/>
                <w:sz w:val="24"/>
                <w:szCs w:val="24"/>
              </w:rPr>
              <w:t>指标</w:t>
            </w:r>
          </w:p>
        </w:tc>
        <w:tc>
          <w:tcPr>
            <w:tcW w:w="1983" w:type="dxa"/>
            <w:vAlign w:val="center"/>
          </w:tcPr>
          <w:p>
            <w:pPr>
              <w:jc w:val="center"/>
              <w:rPr>
                <w:rFonts w:ascii="仿宋" w:hAnsi="仿宋" w:eastAsia="仿宋"/>
                <w:b/>
                <w:bCs/>
                <w:sz w:val="24"/>
                <w:szCs w:val="24"/>
              </w:rPr>
            </w:pPr>
            <w:r>
              <w:rPr>
                <w:rFonts w:hint="eastAsia" w:ascii="仿宋" w:hAnsi="仿宋" w:eastAsia="仿宋"/>
                <w:b/>
                <w:bCs/>
                <w:sz w:val="24"/>
                <w:szCs w:val="24"/>
              </w:rPr>
              <w:t>名称</w:t>
            </w:r>
          </w:p>
        </w:tc>
        <w:tc>
          <w:tcPr>
            <w:tcW w:w="707" w:type="dxa"/>
            <w:vAlign w:val="center"/>
          </w:tcPr>
          <w:p>
            <w:pPr>
              <w:jc w:val="center"/>
              <w:rPr>
                <w:rFonts w:ascii="仿宋" w:hAnsi="仿宋" w:eastAsia="仿宋"/>
                <w:b/>
                <w:bCs/>
                <w:sz w:val="24"/>
                <w:szCs w:val="24"/>
              </w:rPr>
            </w:pPr>
            <w:r>
              <w:rPr>
                <w:rFonts w:hint="eastAsia" w:ascii="仿宋" w:hAnsi="仿宋" w:eastAsia="仿宋"/>
                <w:b/>
                <w:bCs/>
                <w:sz w:val="24"/>
                <w:szCs w:val="24"/>
              </w:rPr>
              <w:t>单位</w:t>
            </w:r>
          </w:p>
        </w:tc>
        <w:tc>
          <w:tcPr>
            <w:tcW w:w="1276" w:type="dxa"/>
            <w:vAlign w:val="center"/>
          </w:tcPr>
          <w:p>
            <w:pPr>
              <w:jc w:val="center"/>
              <w:rPr>
                <w:rFonts w:ascii="仿宋" w:hAnsi="仿宋" w:eastAsia="仿宋"/>
                <w:b/>
                <w:bCs/>
                <w:sz w:val="24"/>
                <w:szCs w:val="24"/>
              </w:rPr>
            </w:pPr>
            <w:r>
              <w:rPr>
                <w:rFonts w:hint="eastAsia" w:ascii="仿宋" w:hAnsi="仿宋" w:eastAsia="仿宋"/>
                <w:b/>
                <w:bCs/>
                <w:sz w:val="24"/>
                <w:szCs w:val="24"/>
              </w:rPr>
              <w:t>2015年实际值</w:t>
            </w:r>
          </w:p>
        </w:tc>
        <w:tc>
          <w:tcPr>
            <w:tcW w:w="1136" w:type="dxa"/>
            <w:vAlign w:val="center"/>
          </w:tcPr>
          <w:p>
            <w:pPr>
              <w:jc w:val="center"/>
              <w:rPr>
                <w:rFonts w:ascii="仿宋" w:hAnsi="仿宋" w:eastAsia="仿宋"/>
                <w:b/>
                <w:bCs/>
                <w:sz w:val="24"/>
                <w:szCs w:val="24"/>
              </w:rPr>
            </w:pPr>
            <w:r>
              <w:rPr>
                <w:rFonts w:hint="eastAsia" w:ascii="仿宋" w:hAnsi="仿宋" w:eastAsia="仿宋"/>
                <w:b/>
                <w:bCs/>
                <w:sz w:val="24"/>
                <w:szCs w:val="24"/>
              </w:rPr>
              <w:t>2020年规划值</w:t>
            </w:r>
          </w:p>
        </w:tc>
        <w:tc>
          <w:tcPr>
            <w:tcW w:w="1088" w:type="dxa"/>
            <w:shd w:val="clear" w:color="auto" w:fill="auto"/>
            <w:vAlign w:val="center"/>
          </w:tcPr>
          <w:p>
            <w:pPr>
              <w:jc w:val="center"/>
              <w:rPr>
                <w:rFonts w:ascii="仿宋" w:hAnsi="仿宋" w:eastAsia="仿宋"/>
                <w:b/>
                <w:bCs/>
                <w:sz w:val="24"/>
                <w:szCs w:val="24"/>
              </w:rPr>
            </w:pPr>
            <w:r>
              <w:rPr>
                <w:rFonts w:hint="eastAsia" w:ascii="仿宋" w:hAnsi="仿宋" w:eastAsia="仿宋"/>
                <w:b/>
                <w:bCs/>
                <w:sz w:val="24"/>
                <w:szCs w:val="24"/>
              </w:rPr>
              <w:t>20</w:t>
            </w:r>
            <w:r>
              <w:rPr>
                <w:rFonts w:ascii="仿宋" w:hAnsi="仿宋" w:eastAsia="仿宋"/>
                <w:b/>
                <w:bCs/>
                <w:sz w:val="24"/>
                <w:szCs w:val="24"/>
              </w:rPr>
              <w:t>20</w:t>
            </w:r>
            <w:r>
              <w:rPr>
                <w:rFonts w:hint="eastAsia" w:ascii="仿宋" w:hAnsi="仿宋" w:eastAsia="仿宋"/>
                <w:b/>
                <w:bCs/>
                <w:sz w:val="24"/>
                <w:szCs w:val="24"/>
              </w:rPr>
              <w:t>年</w:t>
            </w:r>
            <w:r>
              <w:rPr>
                <w:rFonts w:hint="eastAsia" w:ascii="仿宋" w:hAnsi="仿宋" w:eastAsia="仿宋"/>
                <w:b/>
                <w:bCs/>
                <w:szCs w:val="21"/>
              </w:rPr>
              <w:t>完成情况</w:t>
            </w:r>
          </w:p>
        </w:tc>
        <w:tc>
          <w:tcPr>
            <w:tcW w:w="1315" w:type="dxa"/>
            <w:vAlign w:val="center"/>
          </w:tcPr>
          <w:p>
            <w:pPr>
              <w:jc w:val="center"/>
              <w:rPr>
                <w:rFonts w:ascii="仿宋" w:hAnsi="仿宋" w:eastAsia="仿宋"/>
                <w:b/>
                <w:bCs/>
                <w:sz w:val="24"/>
                <w:szCs w:val="24"/>
              </w:rPr>
            </w:pPr>
            <w:r>
              <w:rPr>
                <w:rFonts w:hint="eastAsia" w:ascii="仿宋" w:hAnsi="仿宋" w:eastAsia="仿宋"/>
                <w:b/>
                <w:bCs/>
                <w:sz w:val="24"/>
                <w:szCs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416" w:type="dxa"/>
            <w:vAlign w:val="center"/>
          </w:tcPr>
          <w:p>
            <w:pPr>
              <w:jc w:val="center"/>
              <w:rPr>
                <w:rFonts w:ascii="仿宋" w:hAnsi="仿宋" w:eastAsia="仿宋"/>
                <w:b/>
                <w:bCs/>
                <w:sz w:val="24"/>
                <w:szCs w:val="24"/>
              </w:rPr>
            </w:pPr>
            <w:r>
              <w:rPr>
                <w:rFonts w:hint="eastAsia" w:ascii="仿宋" w:hAnsi="仿宋" w:eastAsia="仿宋"/>
                <w:b/>
                <w:bCs/>
                <w:sz w:val="24"/>
                <w:szCs w:val="24"/>
              </w:rPr>
              <w:t>社会养老</w:t>
            </w:r>
          </w:p>
        </w:tc>
        <w:tc>
          <w:tcPr>
            <w:tcW w:w="1983" w:type="dxa"/>
            <w:vAlign w:val="center"/>
          </w:tcPr>
          <w:p>
            <w:pPr>
              <w:jc w:val="center"/>
              <w:rPr>
                <w:rFonts w:ascii="仿宋" w:hAnsi="仿宋" w:eastAsia="仿宋"/>
                <w:bCs/>
                <w:sz w:val="24"/>
                <w:szCs w:val="24"/>
              </w:rPr>
            </w:pPr>
            <w:r>
              <w:rPr>
                <w:rFonts w:ascii="仿宋" w:hAnsi="仿宋" w:eastAsia="仿宋"/>
                <w:bCs/>
                <w:sz w:val="24"/>
                <w:szCs w:val="24"/>
              </w:rPr>
              <w:t>千名老人床位数</w:t>
            </w:r>
          </w:p>
        </w:tc>
        <w:tc>
          <w:tcPr>
            <w:tcW w:w="707" w:type="dxa"/>
            <w:vAlign w:val="center"/>
          </w:tcPr>
          <w:p>
            <w:pPr>
              <w:jc w:val="center"/>
              <w:rPr>
                <w:rFonts w:ascii="仿宋" w:hAnsi="仿宋" w:eastAsia="仿宋"/>
                <w:bCs/>
                <w:sz w:val="24"/>
                <w:szCs w:val="24"/>
              </w:rPr>
            </w:pPr>
            <w:r>
              <w:rPr>
                <w:rFonts w:ascii="仿宋" w:hAnsi="仿宋" w:eastAsia="仿宋"/>
                <w:bCs/>
                <w:sz w:val="24"/>
                <w:szCs w:val="24"/>
              </w:rPr>
              <w:t>张</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40.4</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50</w:t>
            </w:r>
          </w:p>
        </w:tc>
        <w:tc>
          <w:tcPr>
            <w:tcW w:w="1088" w:type="dxa"/>
            <w:shd w:val="clear" w:color="auto" w:fill="auto"/>
            <w:vAlign w:val="center"/>
          </w:tcPr>
          <w:p>
            <w:pPr>
              <w:spacing w:line="360" w:lineRule="exact"/>
              <w:jc w:val="center"/>
              <w:rPr>
                <w:rFonts w:ascii="仿宋" w:hAnsi="仿宋" w:eastAsia="仿宋"/>
                <w:bCs/>
                <w:sz w:val="24"/>
                <w:szCs w:val="24"/>
              </w:rPr>
            </w:pPr>
            <w:r>
              <w:rPr>
                <w:rFonts w:hint="eastAsia" w:ascii="仿宋" w:hAnsi="仿宋" w:eastAsia="仿宋"/>
                <w:bCs/>
                <w:sz w:val="24"/>
                <w:szCs w:val="24"/>
              </w:rPr>
              <w:t>71.1</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416" w:type="dxa"/>
            <w:vMerge w:val="restart"/>
            <w:vAlign w:val="center"/>
          </w:tcPr>
          <w:p>
            <w:pPr>
              <w:jc w:val="center"/>
              <w:rPr>
                <w:rFonts w:ascii="仿宋" w:hAnsi="仿宋" w:eastAsia="仿宋"/>
                <w:b/>
                <w:bCs/>
                <w:sz w:val="24"/>
                <w:szCs w:val="24"/>
              </w:rPr>
            </w:pPr>
          </w:p>
          <w:p>
            <w:pPr>
              <w:jc w:val="center"/>
              <w:rPr>
                <w:rFonts w:ascii="仿宋" w:hAnsi="仿宋" w:eastAsia="仿宋"/>
                <w:b/>
                <w:bCs/>
                <w:sz w:val="24"/>
                <w:szCs w:val="24"/>
              </w:rPr>
            </w:pPr>
            <w:r>
              <w:rPr>
                <w:rFonts w:hint="eastAsia" w:ascii="仿宋" w:hAnsi="仿宋" w:eastAsia="仿宋"/>
                <w:b/>
                <w:bCs/>
                <w:sz w:val="24"/>
                <w:szCs w:val="24"/>
              </w:rPr>
              <w:t>机构养老</w:t>
            </w:r>
          </w:p>
        </w:tc>
        <w:tc>
          <w:tcPr>
            <w:tcW w:w="1983" w:type="dxa"/>
            <w:vAlign w:val="center"/>
          </w:tcPr>
          <w:p>
            <w:pPr>
              <w:jc w:val="center"/>
              <w:rPr>
                <w:rFonts w:ascii="仿宋" w:hAnsi="仿宋" w:eastAsia="仿宋"/>
                <w:bCs/>
                <w:sz w:val="24"/>
                <w:szCs w:val="24"/>
              </w:rPr>
            </w:pPr>
            <w:r>
              <w:rPr>
                <w:rFonts w:ascii="仿宋" w:hAnsi="仿宋" w:eastAsia="仿宋"/>
                <w:bCs/>
                <w:sz w:val="24"/>
                <w:szCs w:val="24"/>
              </w:rPr>
              <w:t>千名老人床位数</w:t>
            </w:r>
          </w:p>
        </w:tc>
        <w:tc>
          <w:tcPr>
            <w:tcW w:w="707" w:type="dxa"/>
            <w:vAlign w:val="center"/>
          </w:tcPr>
          <w:p>
            <w:pPr>
              <w:jc w:val="center"/>
              <w:rPr>
                <w:rFonts w:ascii="仿宋" w:hAnsi="仿宋" w:eastAsia="仿宋"/>
                <w:bCs/>
                <w:sz w:val="24"/>
                <w:szCs w:val="24"/>
              </w:rPr>
            </w:pPr>
            <w:r>
              <w:rPr>
                <w:rFonts w:ascii="仿宋" w:hAnsi="仿宋" w:eastAsia="仿宋"/>
                <w:bCs/>
                <w:sz w:val="24"/>
                <w:szCs w:val="24"/>
              </w:rPr>
              <w:t>张</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40.4</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45</w:t>
            </w:r>
          </w:p>
        </w:tc>
        <w:tc>
          <w:tcPr>
            <w:tcW w:w="1088" w:type="dxa"/>
            <w:shd w:val="clear" w:color="auto" w:fill="auto"/>
            <w:vAlign w:val="center"/>
          </w:tcPr>
          <w:p>
            <w:pPr>
              <w:spacing w:line="360" w:lineRule="exact"/>
              <w:jc w:val="center"/>
              <w:rPr>
                <w:rFonts w:ascii="仿宋" w:hAnsi="仿宋" w:eastAsia="仿宋"/>
                <w:bCs/>
                <w:sz w:val="24"/>
                <w:szCs w:val="24"/>
              </w:rPr>
            </w:pPr>
            <w:r>
              <w:rPr>
                <w:rFonts w:hint="eastAsia" w:ascii="仿宋" w:hAnsi="仿宋" w:eastAsia="仿宋"/>
                <w:bCs/>
                <w:sz w:val="24"/>
                <w:szCs w:val="24"/>
              </w:rPr>
              <w:t>41.7</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416" w:type="dxa"/>
            <w:vMerge w:val="continue"/>
            <w:vAlign w:val="center"/>
          </w:tcPr>
          <w:p>
            <w:pPr>
              <w:jc w:val="center"/>
              <w:rPr>
                <w:rFonts w:ascii="仿宋" w:hAnsi="仿宋" w:eastAsia="仿宋"/>
                <w:b/>
                <w:bCs/>
                <w:sz w:val="24"/>
                <w:szCs w:val="24"/>
              </w:rPr>
            </w:pPr>
          </w:p>
        </w:tc>
        <w:tc>
          <w:tcPr>
            <w:tcW w:w="1983" w:type="dxa"/>
            <w:vAlign w:val="center"/>
          </w:tcPr>
          <w:p>
            <w:pPr>
              <w:jc w:val="center"/>
              <w:rPr>
                <w:rFonts w:ascii="仿宋" w:hAnsi="仿宋" w:eastAsia="仿宋"/>
                <w:bCs/>
                <w:sz w:val="24"/>
                <w:szCs w:val="24"/>
              </w:rPr>
            </w:pPr>
            <w:r>
              <w:rPr>
                <w:rFonts w:ascii="仿宋" w:hAnsi="仿宋" w:eastAsia="仿宋"/>
                <w:bCs/>
                <w:sz w:val="24"/>
                <w:szCs w:val="24"/>
              </w:rPr>
              <w:t>社会办养老机构</w:t>
            </w:r>
          </w:p>
          <w:p>
            <w:pPr>
              <w:jc w:val="center"/>
              <w:rPr>
                <w:rFonts w:ascii="仿宋" w:hAnsi="仿宋" w:eastAsia="仿宋"/>
                <w:bCs/>
                <w:sz w:val="24"/>
                <w:szCs w:val="24"/>
              </w:rPr>
            </w:pPr>
            <w:r>
              <w:rPr>
                <w:rFonts w:ascii="仿宋" w:hAnsi="仿宋" w:eastAsia="仿宋"/>
                <w:bCs/>
                <w:sz w:val="24"/>
                <w:szCs w:val="24"/>
              </w:rPr>
              <w:t>床位占比</w:t>
            </w:r>
          </w:p>
        </w:tc>
        <w:tc>
          <w:tcPr>
            <w:tcW w:w="707" w:type="dxa"/>
            <w:vAlign w:val="center"/>
          </w:tcPr>
          <w:p>
            <w:pPr>
              <w:jc w:val="center"/>
              <w:rPr>
                <w:rFonts w:ascii="仿宋" w:hAnsi="仿宋" w:eastAsia="仿宋"/>
                <w:bCs/>
                <w:sz w:val="24"/>
                <w:szCs w:val="24"/>
              </w:rPr>
            </w:pPr>
            <w:r>
              <w:rPr>
                <w:rFonts w:ascii="仿宋" w:hAnsi="仿宋" w:eastAsia="仿宋"/>
                <w:bCs/>
                <w:sz w:val="24"/>
                <w:szCs w:val="24"/>
              </w:rPr>
              <w:t>%</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52.05</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70</w:t>
            </w:r>
          </w:p>
        </w:tc>
        <w:tc>
          <w:tcPr>
            <w:tcW w:w="1088" w:type="dxa"/>
            <w:shd w:val="clear" w:color="auto" w:fill="auto"/>
            <w:vAlign w:val="center"/>
          </w:tcPr>
          <w:p>
            <w:pPr>
              <w:spacing w:line="360" w:lineRule="exact"/>
              <w:jc w:val="center"/>
              <w:rPr>
                <w:rFonts w:ascii="仿宋" w:hAnsi="仿宋" w:eastAsia="仿宋"/>
                <w:bCs/>
                <w:sz w:val="24"/>
                <w:szCs w:val="24"/>
              </w:rPr>
            </w:pPr>
            <w:r>
              <w:rPr>
                <w:rFonts w:hint="eastAsia" w:ascii="仿宋" w:hAnsi="仿宋" w:eastAsia="仿宋"/>
                <w:bCs/>
                <w:sz w:val="24"/>
                <w:szCs w:val="24"/>
              </w:rPr>
              <w:t>73.2</w:t>
            </w:r>
            <w:r>
              <w:rPr>
                <w:rFonts w:ascii="仿宋" w:hAnsi="仿宋" w:eastAsia="仿宋"/>
                <w:bCs/>
                <w:sz w:val="24"/>
                <w:szCs w:val="24"/>
              </w:rPr>
              <w:t xml:space="preserve"> </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416" w:type="dxa"/>
            <w:vMerge w:val="continue"/>
            <w:vAlign w:val="center"/>
          </w:tcPr>
          <w:p>
            <w:pPr>
              <w:jc w:val="center"/>
              <w:rPr>
                <w:rFonts w:ascii="仿宋" w:hAnsi="仿宋" w:eastAsia="仿宋"/>
                <w:b/>
                <w:bCs/>
                <w:sz w:val="24"/>
                <w:szCs w:val="24"/>
              </w:rPr>
            </w:pPr>
          </w:p>
        </w:tc>
        <w:tc>
          <w:tcPr>
            <w:tcW w:w="1983" w:type="dxa"/>
            <w:vAlign w:val="center"/>
          </w:tcPr>
          <w:p>
            <w:pPr>
              <w:jc w:val="center"/>
              <w:rPr>
                <w:rFonts w:ascii="仿宋" w:hAnsi="仿宋" w:eastAsia="仿宋"/>
                <w:bCs/>
                <w:sz w:val="24"/>
                <w:szCs w:val="24"/>
              </w:rPr>
            </w:pPr>
            <w:r>
              <w:rPr>
                <w:rFonts w:ascii="仿宋" w:hAnsi="仿宋" w:eastAsia="仿宋"/>
                <w:bCs/>
                <w:sz w:val="24"/>
                <w:szCs w:val="24"/>
              </w:rPr>
              <w:t>护理型床位占比</w:t>
            </w:r>
          </w:p>
        </w:tc>
        <w:tc>
          <w:tcPr>
            <w:tcW w:w="707" w:type="dxa"/>
            <w:vAlign w:val="center"/>
          </w:tcPr>
          <w:p>
            <w:pPr>
              <w:jc w:val="center"/>
              <w:rPr>
                <w:rFonts w:ascii="仿宋" w:hAnsi="仿宋" w:eastAsia="仿宋"/>
                <w:bCs/>
                <w:sz w:val="24"/>
                <w:szCs w:val="24"/>
              </w:rPr>
            </w:pPr>
            <w:r>
              <w:rPr>
                <w:rFonts w:ascii="仿宋" w:hAnsi="仿宋" w:eastAsia="仿宋"/>
                <w:bCs/>
                <w:sz w:val="24"/>
                <w:szCs w:val="24"/>
              </w:rPr>
              <w:t>%</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47.60</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60</w:t>
            </w:r>
          </w:p>
        </w:tc>
        <w:tc>
          <w:tcPr>
            <w:tcW w:w="1088" w:type="dxa"/>
            <w:shd w:val="clear" w:color="auto" w:fill="auto"/>
            <w:vAlign w:val="center"/>
          </w:tcPr>
          <w:p>
            <w:pPr>
              <w:spacing w:line="360" w:lineRule="exact"/>
              <w:jc w:val="center"/>
              <w:rPr>
                <w:rFonts w:ascii="仿宋" w:hAnsi="仿宋" w:eastAsia="仿宋"/>
                <w:bCs/>
                <w:sz w:val="24"/>
                <w:szCs w:val="24"/>
              </w:rPr>
            </w:pPr>
            <w:r>
              <w:rPr>
                <w:rFonts w:hint="eastAsia" w:ascii="仿宋" w:hAnsi="仿宋" w:eastAsia="仿宋"/>
                <w:bCs/>
                <w:sz w:val="24"/>
                <w:szCs w:val="24"/>
              </w:rPr>
              <w:t>55</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16" w:type="dxa"/>
            <w:vMerge w:val="continue"/>
            <w:vAlign w:val="center"/>
          </w:tcPr>
          <w:p>
            <w:pPr>
              <w:jc w:val="center"/>
              <w:rPr>
                <w:rFonts w:ascii="仿宋" w:hAnsi="仿宋" w:eastAsia="仿宋"/>
                <w:b/>
                <w:bCs/>
                <w:sz w:val="24"/>
                <w:szCs w:val="24"/>
              </w:rPr>
            </w:pPr>
          </w:p>
        </w:tc>
        <w:tc>
          <w:tcPr>
            <w:tcW w:w="1983" w:type="dxa"/>
            <w:vAlign w:val="center"/>
          </w:tcPr>
          <w:p>
            <w:pPr>
              <w:jc w:val="center"/>
              <w:rPr>
                <w:rFonts w:ascii="仿宋" w:hAnsi="仿宋" w:eastAsia="仿宋"/>
                <w:bCs/>
                <w:sz w:val="24"/>
                <w:szCs w:val="24"/>
              </w:rPr>
            </w:pPr>
            <w:r>
              <w:rPr>
                <w:rFonts w:ascii="仿宋" w:hAnsi="仿宋" w:eastAsia="仿宋"/>
                <w:bCs/>
                <w:sz w:val="24"/>
                <w:szCs w:val="24"/>
              </w:rPr>
              <w:t>失智老人床位</w:t>
            </w:r>
          </w:p>
          <w:p>
            <w:pPr>
              <w:jc w:val="center"/>
              <w:rPr>
                <w:rFonts w:ascii="仿宋" w:hAnsi="仿宋" w:eastAsia="仿宋"/>
                <w:bCs/>
                <w:sz w:val="24"/>
                <w:szCs w:val="24"/>
              </w:rPr>
            </w:pPr>
            <w:r>
              <w:rPr>
                <w:rFonts w:ascii="仿宋" w:hAnsi="仿宋" w:eastAsia="仿宋"/>
                <w:bCs/>
                <w:sz w:val="24"/>
                <w:szCs w:val="24"/>
              </w:rPr>
              <w:t>占比</w:t>
            </w:r>
          </w:p>
        </w:tc>
        <w:tc>
          <w:tcPr>
            <w:tcW w:w="707" w:type="dxa"/>
            <w:vAlign w:val="center"/>
          </w:tcPr>
          <w:p>
            <w:pPr>
              <w:jc w:val="center"/>
              <w:rPr>
                <w:rFonts w:ascii="仿宋" w:hAnsi="仿宋" w:eastAsia="仿宋"/>
                <w:bCs/>
                <w:sz w:val="24"/>
                <w:szCs w:val="24"/>
              </w:rPr>
            </w:pPr>
            <w:r>
              <w:rPr>
                <w:rFonts w:ascii="仿宋" w:hAnsi="仿宋" w:eastAsia="仿宋"/>
                <w:bCs/>
                <w:sz w:val="24"/>
                <w:szCs w:val="24"/>
              </w:rPr>
              <w:t>%</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4-6</w:t>
            </w:r>
          </w:p>
        </w:tc>
        <w:tc>
          <w:tcPr>
            <w:tcW w:w="1088" w:type="dxa"/>
            <w:shd w:val="clear" w:color="auto" w:fill="auto"/>
            <w:vAlign w:val="center"/>
          </w:tcPr>
          <w:p>
            <w:pPr>
              <w:spacing w:line="240" w:lineRule="exact"/>
              <w:jc w:val="center"/>
              <w:rPr>
                <w:rFonts w:ascii="仿宋" w:hAnsi="仿宋" w:eastAsia="仿宋"/>
                <w:bCs/>
                <w:sz w:val="24"/>
                <w:szCs w:val="24"/>
              </w:rPr>
            </w:pPr>
            <w:r>
              <w:rPr>
                <w:rFonts w:hint="eastAsia" w:ascii="仿宋" w:hAnsi="仿宋" w:eastAsia="仿宋"/>
                <w:bCs/>
                <w:sz w:val="24"/>
                <w:szCs w:val="24"/>
              </w:rPr>
              <w:t xml:space="preserve">5.81 </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416" w:type="dxa"/>
            <w:vMerge w:val="restart"/>
            <w:vAlign w:val="center"/>
          </w:tcPr>
          <w:p>
            <w:pPr>
              <w:jc w:val="center"/>
              <w:rPr>
                <w:rFonts w:ascii="仿宋" w:hAnsi="仿宋" w:eastAsia="仿宋"/>
                <w:b/>
                <w:bCs/>
                <w:sz w:val="24"/>
                <w:szCs w:val="24"/>
              </w:rPr>
            </w:pPr>
            <w:r>
              <w:rPr>
                <w:rFonts w:hint="eastAsia" w:ascii="仿宋" w:hAnsi="仿宋" w:eastAsia="仿宋"/>
                <w:b/>
                <w:bCs/>
                <w:sz w:val="24"/>
                <w:szCs w:val="24"/>
              </w:rPr>
              <w:t>居家养老</w:t>
            </w:r>
          </w:p>
        </w:tc>
        <w:tc>
          <w:tcPr>
            <w:tcW w:w="1983" w:type="dxa"/>
            <w:vAlign w:val="center"/>
          </w:tcPr>
          <w:p>
            <w:pPr>
              <w:jc w:val="center"/>
              <w:rPr>
                <w:rFonts w:ascii="仿宋" w:hAnsi="仿宋" w:eastAsia="仿宋"/>
                <w:bCs/>
                <w:sz w:val="24"/>
                <w:szCs w:val="24"/>
              </w:rPr>
            </w:pPr>
            <w:r>
              <w:rPr>
                <w:rFonts w:ascii="仿宋" w:hAnsi="仿宋" w:eastAsia="仿宋"/>
                <w:bCs/>
                <w:sz w:val="24"/>
                <w:szCs w:val="24"/>
              </w:rPr>
              <w:t>居家养老</w:t>
            </w:r>
          </w:p>
          <w:p>
            <w:pPr>
              <w:jc w:val="center"/>
              <w:rPr>
                <w:rFonts w:ascii="仿宋" w:hAnsi="仿宋" w:eastAsia="仿宋"/>
                <w:bCs/>
                <w:sz w:val="24"/>
                <w:szCs w:val="24"/>
              </w:rPr>
            </w:pPr>
            <w:r>
              <w:rPr>
                <w:rFonts w:ascii="仿宋" w:hAnsi="仿宋" w:eastAsia="仿宋"/>
                <w:bCs/>
                <w:sz w:val="24"/>
                <w:szCs w:val="24"/>
              </w:rPr>
              <w:t>照料中心</w:t>
            </w:r>
          </w:p>
        </w:tc>
        <w:tc>
          <w:tcPr>
            <w:tcW w:w="707" w:type="dxa"/>
            <w:vAlign w:val="center"/>
          </w:tcPr>
          <w:p>
            <w:pPr>
              <w:jc w:val="center"/>
              <w:rPr>
                <w:rFonts w:ascii="仿宋" w:hAnsi="仿宋" w:eastAsia="仿宋"/>
                <w:bCs/>
                <w:sz w:val="24"/>
                <w:szCs w:val="24"/>
              </w:rPr>
            </w:pPr>
            <w:r>
              <w:rPr>
                <w:rFonts w:ascii="仿宋" w:hAnsi="仿宋" w:eastAsia="仿宋"/>
                <w:bCs/>
                <w:sz w:val="24"/>
                <w:szCs w:val="24"/>
              </w:rPr>
              <w:t>%</w:t>
            </w:r>
          </w:p>
        </w:tc>
        <w:tc>
          <w:tcPr>
            <w:tcW w:w="1276" w:type="dxa"/>
            <w:vAlign w:val="center"/>
          </w:tcPr>
          <w:p>
            <w:pPr>
              <w:jc w:val="center"/>
              <w:rPr>
                <w:rFonts w:ascii="仿宋" w:hAnsi="仿宋" w:eastAsia="仿宋"/>
                <w:bCs/>
                <w:szCs w:val="21"/>
              </w:rPr>
            </w:pPr>
            <w:r>
              <w:rPr>
                <w:rFonts w:ascii="仿宋" w:hAnsi="仿宋" w:eastAsia="仿宋"/>
                <w:bCs/>
                <w:szCs w:val="21"/>
              </w:rPr>
              <w:t>城市100；农村70</w:t>
            </w:r>
          </w:p>
        </w:tc>
        <w:tc>
          <w:tcPr>
            <w:tcW w:w="1136" w:type="dxa"/>
            <w:shd w:val="clear" w:color="auto" w:fill="auto"/>
            <w:vAlign w:val="center"/>
          </w:tcPr>
          <w:p>
            <w:pPr>
              <w:jc w:val="center"/>
              <w:rPr>
                <w:rFonts w:ascii="仿宋" w:hAnsi="仿宋" w:eastAsia="仿宋"/>
                <w:bCs/>
                <w:sz w:val="24"/>
                <w:szCs w:val="24"/>
              </w:rPr>
            </w:pPr>
            <w:r>
              <w:rPr>
                <w:rFonts w:ascii="仿宋" w:hAnsi="仿宋" w:eastAsia="仿宋"/>
                <w:bCs/>
                <w:sz w:val="24"/>
                <w:szCs w:val="24"/>
              </w:rPr>
              <w:t>100</w:t>
            </w:r>
          </w:p>
        </w:tc>
        <w:tc>
          <w:tcPr>
            <w:tcW w:w="1088" w:type="dxa"/>
            <w:shd w:val="clear" w:color="auto" w:fill="auto"/>
            <w:vAlign w:val="center"/>
          </w:tcPr>
          <w:p>
            <w:pPr>
              <w:spacing w:line="360" w:lineRule="exact"/>
              <w:jc w:val="center"/>
              <w:rPr>
                <w:rFonts w:hint="eastAsia" w:ascii="仿宋" w:hAnsi="仿宋" w:eastAsia="仿宋"/>
                <w:bCs/>
                <w:sz w:val="24"/>
                <w:szCs w:val="24"/>
              </w:rPr>
            </w:pPr>
            <w:r>
              <w:rPr>
                <w:rFonts w:hint="eastAsia" w:ascii="仿宋" w:hAnsi="仿宋" w:eastAsia="仿宋"/>
                <w:bCs/>
                <w:sz w:val="24"/>
                <w:szCs w:val="24"/>
              </w:rPr>
              <w:t>城市：96.7</w:t>
            </w:r>
          </w:p>
          <w:p>
            <w:pPr>
              <w:spacing w:line="360" w:lineRule="exact"/>
              <w:jc w:val="center"/>
              <w:rPr>
                <w:rFonts w:ascii="仿宋" w:hAnsi="仿宋" w:eastAsia="仿宋"/>
                <w:bCs/>
                <w:szCs w:val="24"/>
              </w:rPr>
            </w:pPr>
            <w:r>
              <w:rPr>
                <w:rFonts w:hint="eastAsia" w:ascii="仿宋" w:hAnsi="仿宋" w:eastAsia="仿宋"/>
                <w:bCs/>
                <w:sz w:val="24"/>
                <w:szCs w:val="24"/>
              </w:rPr>
              <w:t xml:space="preserve">农村：97.8 </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16" w:type="dxa"/>
            <w:vMerge w:val="continue"/>
            <w:vAlign w:val="center"/>
          </w:tcPr>
          <w:p>
            <w:pPr>
              <w:jc w:val="center"/>
              <w:rPr>
                <w:rFonts w:ascii="仿宋" w:hAnsi="仿宋" w:eastAsia="仿宋"/>
                <w:b/>
                <w:bCs/>
                <w:sz w:val="24"/>
                <w:szCs w:val="24"/>
              </w:rPr>
            </w:pPr>
          </w:p>
        </w:tc>
        <w:tc>
          <w:tcPr>
            <w:tcW w:w="1983" w:type="dxa"/>
            <w:vAlign w:val="center"/>
          </w:tcPr>
          <w:p>
            <w:pPr>
              <w:jc w:val="center"/>
              <w:rPr>
                <w:rFonts w:ascii="仿宋" w:hAnsi="仿宋" w:eastAsia="仿宋"/>
                <w:bCs/>
                <w:sz w:val="24"/>
                <w:szCs w:val="24"/>
              </w:rPr>
            </w:pPr>
            <w:r>
              <w:rPr>
                <w:rFonts w:ascii="仿宋" w:hAnsi="仿宋" w:eastAsia="仿宋"/>
                <w:bCs/>
                <w:sz w:val="24"/>
                <w:szCs w:val="24"/>
              </w:rPr>
              <w:t>综合型居家养老照料中心</w:t>
            </w:r>
          </w:p>
        </w:tc>
        <w:tc>
          <w:tcPr>
            <w:tcW w:w="707" w:type="dxa"/>
            <w:vAlign w:val="center"/>
          </w:tcPr>
          <w:p>
            <w:pPr>
              <w:jc w:val="center"/>
              <w:rPr>
                <w:rFonts w:ascii="仿宋" w:hAnsi="仿宋" w:eastAsia="仿宋"/>
                <w:bCs/>
                <w:sz w:val="24"/>
                <w:szCs w:val="24"/>
              </w:rPr>
            </w:pPr>
            <w:r>
              <w:rPr>
                <w:rFonts w:ascii="仿宋" w:hAnsi="仿宋" w:eastAsia="仿宋"/>
                <w:bCs/>
                <w:sz w:val="24"/>
                <w:szCs w:val="24"/>
              </w:rPr>
              <w:t>个</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200</w:t>
            </w:r>
          </w:p>
        </w:tc>
        <w:tc>
          <w:tcPr>
            <w:tcW w:w="1088" w:type="dxa"/>
            <w:shd w:val="clear" w:color="auto" w:fill="auto"/>
            <w:vAlign w:val="center"/>
          </w:tcPr>
          <w:p>
            <w:pPr>
              <w:spacing w:line="360" w:lineRule="exact"/>
              <w:jc w:val="center"/>
              <w:rPr>
                <w:rFonts w:ascii="仿宋" w:hAnsi="仿宋" w:eastAsia="仿宋"/>
                <w:bCs/>
                <w:sz w:val="24"/>
                <w:szCs w:val="24"/>
              </w:rPr>
            </w:pPr>
            <w:r>
              <w:rPr>
                <w:rFonts w:hint="eastAsia" w:ascii="仿宋" w:hAnsi="仿宋" w:eastAsia="仿宋"/>
                <w:bCs/>
                <w:sz w:val="24"/>
                <w:szCs w:val="24"/>
              </w:rPr>
              <w:t>214</w:t>
            </w:r>
            <w:r>
              <w:rPr>
                <w:rFonts w:ascii="仿宋" w:hAnsi="仿宋" w:eastAsia="仿宋"/>
                <w:bCs/>
                <w:sz w:val="24"/>
                <w:szCs w:val="24"/>
              </w:rPr>
              <w:t xml:space="preserve"> </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16" w:type="dxa"/>
            <w:vAlign w:val="center"/>
          </w:tcPr>
          <w:p>
            <w:pPr>
              <w:jc w:val="center"/>
              <w:rPr>
                <w:rFonts w:ascii="仿宋" w:hAnsi="仿宋" w:eastAsia="仿宋"/>
                <w:b/>
                <w:bCs/>
                <w:sz w:val="24"/>
                <w:szCs w:val="24"/>
              </w:rPr>
            </w:pPr>
            <w:r>
              <w:rPr>
                <w:rFonts w:hint="eastAsia" w:ascii="仿宋" w:hAnsi="仿宋" w:eastAsia="仿宋"/>
                <w:b/>
                <w:bCs/>
                <w:sz w:val="24"/>
                <w:szCs w:val="24"/>
              </w:rPr>
              <w:t>养老保障</w:t>
            </w:r>
          </w:p>
        </w:tc>
        <w:tc>
          <w:tcPr>
            <w:tcW w:w="1983" w:type="dxa"/>
            <w:vAlign w:val="center"/>
          </w:tcPr>
          <w:p>
            <w:pPr>
              <w:jc w:val="center"/>
              <w:rPr>
                <w:rFonts w:ascii="仿宋" w:hAnsi="仿宋" w:eastAsia="仿宋"/>
                <w:bCs/>
                <w:sz w:val="24"/>
                <w:szCs w:val="24"/>
              </w:rPr>
            </w:pPr>
            <w:r>
              <w:rPr>
                <w:rFonts w:ascii="仿宋" w:hAnsi="仿宋" w:eastAsia="仿宋"/>
                <w:bCs/>
                <w:sz w:val="24"/>
                <w:szCs w:val="24"/>
              </w:rPr>
              <w:t>享受政府购买服务的养老服务补贴人数</w:t>
            </w:r>
          </w:p>
        </w:tc>
        <w:tc>
          <w:tcPr>
            <w:tcW w:w="707" w:type="dxa"/>
            <w:vAlign w:val="center"/>
          </w:tcPr>
          <w:p>
            <w:pPr>
              <w:jc w:val="center"/>
              <w:rPr>
                <w:rFonts w:ascii="仿宋" w:hAnsi="仿宋" w:eastAsia="仿宋"/>
                <w:bCs/>
                <w:sz w:val="24"/>
                <w:szCs w:val="24"/>
              </w:rPr>
            </w:pPr>
            <w:r>
              <w:rPr>
                <w:rFonts w:ascii="仿宋" w:hAnsi="仿宋" w:eastAsia="仿宋"/>
                <w:bCs/>
                <w:sz w:val="24"/>
                <w:szCs w:val="24"/>
              </w:rPr>
              <w:t>人</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90696</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115556</w:t>
            </w:r>
          </w:p>
        </w:tc>
        <w:tc>
          <w:tcPr>
            <w:tcW w:w="1088" w:type="dxa"/>
            <w:shd w:val="clear" w:color="auto" w:fill="auto"/>
            <w:vAlign w:val="center"/>
          </w:tcPr>
          <w:p>
            <w:pPr>
              <w:spacing w:line="360" w:lineRule="exact"/>
              <w:jc w:val="center"/>
              <w:rPr>
                <w:rFonts w:hint="eastAsia" w:ascii="仿宋" w:hAnsi="仿宋" w:eastAsia="仿宋"/>
                <w:bCs/>
                <w:sz w:val="24"/>
                <w:szCs w:val="24"/>
                <w:lang w:val="en-US" w:eastAsia="zh-CN"/>
              </w:rPr>
            </w:pPr>
            <w:r>
              <w:rPr>
                <w:rFonts w:hint="eastAsia" w:ascii="仿宋" w:hAnsi="仿宋" w:eastAsia="仿宋"/>
                <w:bCs/>
                <w:sz w:val="24"/>
                <w:szCs w:val="24"/>
                <w:lang w:val="en-US" w:eastAsia="zh-CN"/>
              </w:rPr>
              <w:t>-</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416" w:type="dxa"/>
            <w:vAlign w:val="center"/>
          </w:tcPr>
          <w:p>
            <w:pPr>
              <w:jc w:val="center"/>
              <w:rPr>
                <w:rFonts w:ascii="仿宋" w:hAnsi="仿宋" w:eastAsia="仿宋"/>
                <w:b/>
                <w:bCs/>
                <w:sz w:val="24"/>
                <w:szCs w:val="24"/>
              </w:rPr>
            </w:pPr>
            <w:r>
              <w:rPr>
                <w:rFonts w:hint="eastAsia" w:ascii="仿宋" w:hAnsi="仿宋" w:eastAsia="仿宋"/>
                <w:b/>
                <w:bCs/>
                <w:sz w:val="24"/>
                <w:szCs w:val="24"/>
              </w:rPr>
              <w:t>人才队伍</w:t>
            </w:r>
          </w:p>
        </w:tc>
        <w:tc>
          <w:tcPr>
            <w:tcW w:w="1983" w:type="dxa"/>
            <w:vAlign w:val="center"/>
          </w:tcPr>
          <w:p>
            <w:pPr>
              <w:jc w:val="center"/>
              <w:rPr>
                <w:rFonts w:ascii="仿宋" w:hAnsi="仿宋" w:eastAsia="仿宋"/>
                <w:bCs/>
                <w:sz w:val="24"/>
                <w:szCs w:val="24"/>
              </w:rPr>
            </w:pPr>
            <w:r>
              <w:rPr>
                <w:rFonts w:ascii="仿宋" w:hAnsi="仿宋" w:eastAsia="仿宋"/>
                <w:bCs/>
                <w:sz w:val="24"/>
                <w:szCs w:val="24"/>
              </w:rPr>
              <w:t>护理人员</w:t>
            </w:r>
          </w:p>
          <w:p>
            <w:pPr>
              <w:jc w:val="center"/>
              <w:rPr>
                <w:rFonts w:ascii="仿宋" w:hAnsi="仿宋" w:eastAsia="仿宋"/>
                <w:bCs/>
                <w:sz w:val="24"/>
                <w:szCs w:val="24"/>
              </w:rPr>
            </w:pPr>
            <w:r>
              <w:rPr>
                <w:rFonts w:ascii="仿宋" w:hAnsi="仿宋" w:eastAsia="仿宋"/>
                <w:bCs/>
                <w:sz w:val="24"/>
                <w:szCs w:val="24"/>
              </w:rPr>
              <w:t>持证上岗率</w:t>
            </w:r>
          </w:p>
        </w:tc>
        <w:tc>
          <w:tcPr>
            <w:tcW w:w="707" w:type="dxa"/>
            <w:vAlign w:val="center"/>
          </w:tcPr>
          <w:p>
            <w:pPr>
              <w:jc w:val="center"/>
              <w:rPr>
                <w:rFonts w:ascii="仿宋" w:hAnsi="仿宋" w:eastAsia="仿宋"/>
                <w:bCs/>
                <w:sz w:val="24"/>
                <w:szCs w:val="24"/>
              </w:rPr>
            </w:pPr>
            <w:r>
              <w:rPr>
                <w:rFonts w:ascii="仿宋" w:hAnsi="仿宋" w:eastAsia="仿宋"/>
                <w:bCs/>
                <w:sz w:val="24"/>
                <w:szCs w:val="24"/>
              </w:rPr>
              <w:t>%</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93.8</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95</w:t>
            </w:r>
          </w:p>
        </w:tc>
        <w:tc>
          <w:tcPr>
            <w:tcW w:w="1088" w:type="dxa"/>
            <w:shd w:val="clear" w:color="auto" w:fill="auto"/>
            <w:vAlign w:val="center"/>
          </w:tcPr>
          <w:p>
            <w:pPr>
              <w:spacing w:line="360" w:lineRule="exact"/>
              <w:jc w:val="center"/>
              <w:rPr>
                <w:rFonts w:hint="default" w:ascii="仿宋" w:hAnsi="仿宋" w:eastAsia="仿宋"/>
                <w:bCs/>
                <w:sz w:val="24"/>
                <w:szCs w:val="24"/>
                <w:lang w:val="en-US" w:eastAsia="zh-CN"/>
              </w:rPr>
            </w:pPr>
            <w:r>
              <w:rPr>
                <w:rFonts w:hint="eastAsia" w:ascii="仿宋" w:hAnsi="仿宋" w:eastAsia="仿宋"/>
                <w:bCs/>
                <w:sz w:val="24"/>
                <w:szCs w:val="24"/>
                <w:lang w:val="en-US" w:eastAsia="zh-CN"/>
              </w:rPr>
              <w:t>-</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416" w:type="dxa"/>
            <w:vMerge w:val="restart"/>
            <w:vAlign w:val="center"/>
          </w:tcPr>
          <w:p>
            <w:pPr>
              <w:jc w:val="center"/>
              <w:rPr>
                <w:rFonts w:ascii="仿宋" w:hAnsi="仿宋" w:eastAsia="仿宋"/>
                <w:b/>
                <w:bCs/>
                <w:sz w:val="24"/>
                <w:szCs w:val="24"/>
              </w:rPr>
            </w:pPr>
          </w:p>
          <w:p>
            <w:pPr>
              <w:jc w:val="center"/>
              <w:rPr>
                <w:rFonts w:ascii="仿宋" w:hAnsi="仿宋" w:eastAsia="仿宋"/>
                <w:b/>
                <w:bCs/>
                <w:sz w:val="24"/>
                <w:szCs w:val="24"/>
              </w:rPr>
            </w:pPr>
            <w:r>
              <w:rPr>
                <w:rFonts w:hint="eastAsia" w:ascii="仿宋" w:hAnsi="仿宋" w:eastAsia="仿宋"/>
                <w:b/>
                <w:bCs/>
                <w:sz w:val="24"/>
                <w:szCs w:val="24"/>
              </w:rPr>
              <w:t>产业发展</w:t>
            </w:r>
          </w:p>
        </w:tc>
        <w:tc>
          <w:tcPr>
            <w:tcW w:w="1983" w:type="dxa"/>
            <w:vAlign w:val="center"/>
          </w:tcPr>
          <w:p>
            <w:pPr>
              <w:jc w:val="center"/>
              <w:rPr>
                <w:rFonts w:ascii="仿宋" w:hAnsi="仿宋" w:eastAsia="仿宋"/>
                <w:bCs/>
                <w:sz w:val="24"/>
                <w:szCs w:val="24"/>
              </w:rPr>
            </w:pPr>
            <w:r>
              <w:rPr>
                <w:rFonts w:ascii="仿宋" w:hAnsi="仿宋" w:eastAsia="仿宋"/>
                <w:bCs/>
                <w:sz w:val="24"/>
                <w:szCs w:val="24"/>
              </w:rPr>
              <w:t>健康养老产业</w:t>
            </w:r>
          </w:p>
          <w:p>
            <w:pPr>
              <w:jc w:val="center"/>
              <w:rPr>
                <w:rFonts w:ascii="仿宋" w:hAnsi="仿宋" w:eastAsia="仿宋"/>
                <w:bCs/>
                <w:sz w:val="24"/>
                <w:szCs w:val="24"/>
              </w:rPr>
            </w:pPr>
            <w:r>
              <w:rPr>
                <w:rFonts w:ascii="仿宋" w:hAnsi="仿宋" w:eastAsia="仿宋"/>
                <w:bCs/>
                <w:sz w:val="24"/>
                <w:szCs w:val="24"/>
              </w:rPr>
              <w:t>集聚区（街区）</w:t>
            </w:r>
          </w:p>
        </w:tc>
        <w:tc>
          <w:tcPr>
            <w:tcW w:w="707" w:type="dxa"/>
            <w:vAlign w:val="center"/>
          </w:tcPr>
          <w:p>
            <w:pPr>
              <w:jc w:val="center"/>
              <w:rPr>
                <w:rFonts w:ascii="仿宋" w:hAnsi="仿宋" w:eastAsia="仿宋"/>
                <w:bCs/>
                <w:sz w:val="24"/>
                <w:szCs w:val="24"/>
              </w:rPr>
            </w:pPr>
            <w:r>
              <w:rPr>
                <w:rFonts w:ascii="仿宋" w:hAnsi="仿宋" w:eastAsia="仿宋"/>
                <w:bCs/>
                <w:sz w:val="24"/>
                <w:szCs w:val="24"/>
              </w:rPr>
              <w:t>个</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10</w:t>
            </w:r>
          </w:p>
        </w:tc>
        <w:tc>
          <w:tcPr>
            <w:tcW w:w="1088" w:type="dxa"/>
            <w:shd w:val="clear" w:color="auto" w:fill="auto"/>
            <w:vAlign w:val="center"/>
          </w:tcPr>
          <w:p>
            <w:pPr>
              <w:spacing w:line="360" w:lineRule="exact"/>
              <w:jc w:val="center"/>
              <w:rPr>
                <w:rFonts w:ascii="仿宋" w:hAnsi="仿宋" w:eastAsia="仿宋"/>
                <w:bCs/>
                <w:sz w:val="24"/>
                <w:szCs w:val="24"/>
              </w:rPr>
            </w:pPr>
            <w:r>
              <w:rPr>
                <w:rFonts w:ascii="仿宋" w:hAnsi="仿宋" w:eastAsia="仿宋"/>
                <w:bCs/>
                <w:sz w:val="24"/>
                <w:szCs w:val="24"/>
              </w:rPr>
              <w:t>12</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416" w:type="dxa"/>
            <w:vMerge w:val="continue"/>
            <w:vAlign w:val="center"/>
          </w:tcPr>
          <w:p>
            <w:pPr>
              <w:jc w:val="center"/>
              <w:rPr>
                <w:rFonts w:ascii="仿宋" w:hAnsi="仿宋" w:eastAsia="仿宋"/>
                <w:b/>
                <w:bCs/>
                <w:sz w:val="24"/>
                <w:szCs w:val="24"/>
              </w:rPr>
            </w:pPr>
          </w:p>
        </w:tc>
        <w:tc>
          <w:tcPr>
            <w:tcW w:w="1983" w:type="dxa"/>
            <w:vAlign w:val="center"/>
          </w:tcPr>
          <w:p>
            <w:pPr>
              <w:jc w:val="center"/>
              <w:rPr>
                <w:rFonts w:ascii="仿宋" w:hAnsi="仿宋" w:eastAsia="仿宋"/>
                <w:bCs/>
                <w:sz w:val="24"/>
                <w:szCs w:val="24"/>
              </w:rPr>
            </w:pPr>
            <w:r>
              <w:rPr>
                <w:rFonts w:ascii="仿宋" w:hAnsi="仿宋" w:eastAsia="仿宋"/>
                <w:bCs/>
                <w:sz w:val="24"/>
                <w:szCs w:val="24"/>
              </w:rPr>
              <w:t>养老服务集团</w:t>
            </w:r>
          </w:p>
          <w:p>
            <w:pPr>
              <w:jc w:val="center"/>
              <w:rPr>
                <w:rFonts w:ascii="仿宋" w:hAnsi="仿宋" w:eastAsia="仿宋"/>
                <w:bCs/>
                <w:sz w:val="24"/>
                <w:szCs w:val="24"/>
              </w:rPr>
            </w:pPr>
            <w:r>
              <w:rPr>
                <w:rFonts w:ascii="仿宋" w:hAnsi="仿宋" w:eastAsia="仿宋"/>
                <w:bCs/>
                <w:sz w:val="24"/>
                <w:szCs w:val="24"/>
              </w:rPr>
              <w:t>和连锁服务机构</w:t>
            </w:r>
          </w:p>
        </w:tc>
        <w:tc>
          <w:tcPr>
            <w:tcW w:w="707" w:type="dxa"/>
            <w:vAlign w:val="center"/>
          </w:tcPr>
          <w:p>
            <w:pPr>
              <w:jc w:val="center"/>
              <w:rPr>
                <w:rFonts w:ascii="仿宋" w:hAnsi="仿宋" w:eastAsia="仿宋"/>
                <w:bCs/>
                <w:sz w:val="24"/>
                <w:szCs w:val="24"/>
              </w:rPr>
            </w:pPr>
            <w:r>
              <w:rPr>
                <w:rFonts w:ascii="仿宋" w:hAnsi="仿宋" w:eastAsia="仿宋"/>
                <w:bCs/>
                <w:sz w:val="24"/>
                <w:szCs w:val="24"/>
              </w:rPr>
              <w:t>个</w:t>
            </w:r>
          </w:p>
        </w:tc>
        <w:tc>
          <w:tcPr>
            <w:tcW w:w="1276" w:type="dxa"/>
            <w:vAlign w:val="center"/>
          </w:tcPr>
          <w:p>
            <w:pPr>
              <w:jc w:val="center"/>
              <w:rPr>
                <w:rFonts w:ascii="仿宋" w:hAnsi="仿宋" w:eastAsia="仿宋"/>
                <w:bCs/>
                <w:sz w:val="24"/>
                <w:szCs w:val="24"/>
              </w:rPr>
            </w:pPr>
            <w:r>
              <w:rPr>
                <w:rFonts w:ascii="仿宋" w:hAnsi="仿宋" w:eastAsia="仿宋"/>
                <w:bCs/>
                <w:sz w:val="24"/>
                <w:szCs w:val="24"/>
              </w:rPr>
              <w:t>--</w:t>
            </w:r>
          </w:p>
        </w:tc>
        <w:tc>
          <w:tcPr>
            <w:tcW w:w="1136" w:type="dxa"/>
            <w:vAlign w:val="center"/>
          </w:tcPr>
          <w:p>
            <w:pPr>
              <w:jc w:val="center"/>
              <w:rPr>
                <w:rFonts w:ascii="仿宋" w:hAnsi="仿宋" w:eastAsia="仿宋"/>
                <w:bCs/>
                <w:sz w:val="24"/>
                <w:szCs w:val="24"/>
              </w:rPr>
            </w:pPr>
            <w:r>
              <w:rPr>
                <w:rFonts w:ascii="仿宋" w:hAnsi="仿宋" w:eastAsia="仿宋"/>
                <w:bCs/>
                <w:sz w:val="24"/>
                <w:szCs w:val="24"/>
              </w:rPr>
              <w:t>10</w:t>
            </w:r>
          </w:p>
        </w:tc>
        <w:tc>
          <w:tcPr>
            <w:tcW w:w="1088" w:type="dxa"/>
            <w:shd w:val="clear" w:color="auto" w:fill="auto"/>
            <w:vAlign w:val="center"/>
          </w:tcPr>
          <w:p>
            <w:pPr>
              <w:spacing w:line="360" w:lineRule="exact"/>
              <w:jc w:val="center"/>
              <w:rPr>
                <w:rFonts w:hint="eastAsia" w:ascii="仿宋" w:hAnsi="仿宋" w:eastAsia="仿宋"/>
                <w:bCs/>
                <w:sz w:val="24"/>
                <w:szCs w:val="24"/>
                <w:lang w:val="en-US" w:eastAsia="zh-CN"/>
              </w:rPr>
            </w:pPr>
            <w:r>
              <w:rPr>
                <w:rFonts w:hint="eastAsia" w:ascii="仿宋" w:hAnsi="仿宋" w:eastAsia="仿宋"/>
                <w:bCs/>
                <w:sz w:val="24"/>
                <w:szCs w:val="24"/>
                <w:lang w:val="en-US" w:eastAsia="zh-CN"/>
              </w:rPr>
              <w:t>-</w:t>
            </w:r>
          </w:p>
        </w:tc>
        <w:tc>
          <w:tcPr>
            <w:tcW w:w="1315" w:type="dxa"/>
            <w:vAlign w:val="center"/>
          </w:tcPr>
          <w:p>
            <w:pPr>
              <w:jc w:val="center"/>
              <w:rPr>
                <w:rFonts w:ascii="仿宋" w:hAnsi="仿宋" w:eastAsia="仿宋"/>
                <w:bCs/>
                <w:sz w:val="24"/>
                <w:szCs w:val="24"/>
              </w:rPr>
            </w:pPr>
            <w:r>
              <w:rPr>
                <w:rFonts w:ascii="仿宋" w:hAnsi="仿宋" w:eastAsia="仿宋"/>
                <w:bCs/>
                <w:sz w:val="24"/>
                <w:szCs w:val="24"/>
              </w:rPr>
              <w:t>预期性</w:t>
            </w:r>
          </w:p>
        </w:tc>
      </w:tr>
    </w:tbl>
    <w:p>
      <w:pPr>
        <w:spacing w:line="600" w:lineRule="exact"/>
        <w:ind w:firstLine="641"/>
        <w:rPr>
          <w:rFonts w:ascii="楷体_GB2312" w:hAnsi="楷体_GB2312" w:eastAsia="楷体_GB2312" w:cs="楷体_GB2312"/>
          <w:b/>
          <w:sz w:val="32"/>
          <w:szCs w:val="32"/>
        </w:rPr>
      </w:pPr>
      <w:r>
        <w:rPr>
          <w:rFonts w:hint="eastAsia" w:ascii="楷体_GB2312" w:hAnsi="楷体_GB2312" w:eastAsia="楷体_GB2312" w:cs="楷体_GB2312"/>
          <w:b/>
          <w:sz w:val="32"/>
          <w:szCs w:val="32"/>
        </w:rPr>
        <w:t>（二）“十四五”发展的机遇与挑战</w:t>
      </w:r>
    </w:p>
    <w:p>
      <w:pPr>
        <w:spacing w:line="600" w:lineRule="exact"/>
        <w:ind w:firstLine="641" w:firstLineChars="200"/>
        <w:rPr>
          <w:rFonts w:ascii="仿宋_GB2312" w:hAnsi="仿宋" w:eastAsia="仿宋_GB2312" w:cs="仿宋"/>
          <w:sz w:val="32"/>
          <w:szCs w:val="32"/>
        </w:rPr>
      </w:pPr>
      <w:r>
        <w:rPr>
          <w:rFonts w:hint="eastAsia" w:ascii="华文楷体" w:hAnsi="华文楷体" w:eastAsia="华文楷体"/>
          <w:b/>
          <w:sz w:val="32"/>
          <w:szCs w:val="32"/>
        </w:rPr>
        <w:t>1</w:t>
      </w:r>
      <w:r>
        <w:rPr>
          <w:rFonts w:ascii="华文楷体" w:hAnsi="华文楷体" w:eastAsia="华文楷体"/>
          <w:b/>
          <w:sz w:val="32"/>
          <w:szCs w:val="32"/>
        </w:rPr>
        <w:t>.</w:t>
      </w:r>
      <w:r>
        <w:rPr>
          <w:rFonts w:hint="eastAsia" w:ascii="华文楷体" w:hAnsi="华文楷体" w:eastAsia="华文楷体"/>
          <w:b/>
          <w:sz w:val="32"/>
          <w:szCs w:val="32"/>
        </w:rPr>
        <w:t>养老服务高质量发展进入攻坚期。</w:t>
      </w:r>
      <w:r>
        <w:rPr>
          <w:rFonts w:hint="eastAsia" w:ascii="仿宋_GB2312" w:hAnsi="仿宋" w:eastAsia="仿宋_GB2312" w:cs="仿宋"/>
          <w:sz w:val="32"/>
          <w:szCs w:val="32"/>
        </w:rPr>
        <w:t>“十四五”时期，是开启全面建设社会主义现代化国家新征程、向第二个百年奋斗目标进军的第一个五年，是全面贯彻落实积极应对人口老龄化国家战略的第一个五年，也是《杭州市居家养老服务条例》全面贯彻实施的启动期，市委市政府确立了在全省建设“重要窗口”中展现“头雁风采”的省会城市使命。杭州养老服务发展应找准新定位，站位历史新起点，定位新目标，主动融入到区域经济社会发展大格局中，围绕创新型城市、新型智慧城市、数字经济以及最具幸福感城市等杭州经济发展重点和城市建设目标定位，力促养老服务事业和产业的协同、融合发展，构建新格局中养老服务工作的着力点以及高质量发展的新标准。</w:t>
      </w:r>
    </w:p>
    <w:p>
      <w:pPr>
        <w:spacing w:line="600" w:lineRule="exact"/>
        <w:ind w:firstLine="641" w:firstLineChars="200"/>
        <w:rPr>
          <w:rFonts w:ascii="仿宋_GB2312" w:hAnsi="仿宋" w:eastAsia="仿宋_GB2312" w:cs="仿宋"/>
          <w:sz w:val="32"/>
          <w:szCs w:val="32"/>
        </w:rPr>
      </w:pPr>
      <w:r>
        <w:rPr>
          <w:rFonts w:hint="eastAsia" w:ascii="华文楷体" w:hAnsi="华文楷体" w:eastAsia="华文楷体"/>
          <w:b/>
          <w:sz w:val="32"/>
          <w:szCs w:val="32"/>
        </w:rPr>
        <w:t>2</w:t>
      </w:r>
      <w:r>
        <w:rPr>
          <w:rFonts w:ascii="华文楷体" w:hAnsi="华文楷体" w:eastAsia="华文楷体"/>
          <w:b/>
          <w:sz w:val="32"/>
          <w:szCs w:val="32"/>
        </w:rPr>
        <w:t>.</w:t>
      </w:r>
      <w:r>
        <w:rPr>
          <w:rFonts w:hint="eastAsia" w:ascii="华文楷体" w:hAnsi="华文楷体" w:eastAsia="华文楷体"/>
          <w:b/>
          <w:sz w:val="32"/>
          <w:szCs w:val="32"/>
        </w:rPr>
        <w:t>老龄化阶段新特征呈现窗口期。</w:t>
      </w:r>
      <w:r>
        <w:rPr>
          <w:rFonts w:hint="eastAsia" w:ascii="仿宋_GB2312" w:hAnsi="仿宋" w:eastAsia="仿宋_GB2312" w:cs="仿宋"/>
          <w:sz w:val="32"/>
          <w:szCs w:val="32"/>
        </w:rPr>
        <w:t>依人口发展规律及预测，上个世纪60年代第二波婴儿潮出生的人口在2022年进入老年期。“十四五”时期，人口老龄化的发展将呈现前期快速发展后期急速发展的特征；同时，自2015年开始全市80岁及以上高龄人口增长进入调整期，高龄化调整将持续到2030年前后。据预测，到2025年，杭州市老年人口将达到235万人，60岁及以上老年人预计达到27.10%。“十四五”时期，人口老龄化继续深化，进入深度老龄化社会后期，老年人口和高龄人口绝对数持续增长，其中老年人口快速增加，设施和服务供给仍处于增量阶段。高龄化发展进入调整期，为养老服务发展，尤其是长期照护服务体系建设带来战略窗口期。</w:t>
      </w:r>
    </w:p>
    <w:p>
      <w:pPr>
        <w:spacing w:line="600" w:lineRule="exact"/>
        <w:ind w:firstLine="641" w:firstLineChars="200"/>
      </w:pPr>
      <w:r>
        <w:rPr>
          <w:rFonts w:hint="eastAsia" w:ascii="华文楷体" w:hAnsi="华文楷体" w:eastAsia="华文楷体"/>
          <w:b/>
          <w:sz w:val="32"/>
          <w:szCs w:val="32"/>
        </w:rPr>
        <w:t>3</w:t>
      </w:r>
      <w:r>
        <w:rPr>
          <w:rFonts w:ascii="华文楷体" w:hAnsi="华文楷体" w:eastAsia="华文楷体"/>
          <w:b/>
          <w:sz w:val="32"/>
          <w:szCs w:val="32"/>
        </w:rPr>
        <w:t>.</w:t>
      </w:r>
      <w:r>
        <w:rPr>
          <w:rFonts w:hint="eastAsia" w:ascii="华文楷体" w:hAnsi="华文楷体" w:eastAsia="华文楷体"/>
          <w:b/>
          <w:sz w:val="32"/>
          <w:szCs w:val="32"/>
        </w:rPr>
        <w:t>养老服务深层次发展挑战重重。</w:t>
      </w:r>
      <w:r>
        <w:rPr>
          <w:rFonts w:hint="eastAsia" w:ascii="仿宋_GB2312" w:hAnsi="仿宋" w:eastAsia="仿宋_GB2312" w:cs="仿宋"/>
          <w:sz w:val="32"/>
          <w:szCs w:val="32"/>
        </w:rPr>
        <w:t>总体看，通过“十二五”的快速发展，“十三五”中期养老服务进入质量发展新阶段，与此同时，发展中的深层次问题逐渐暴露，其核心表现为：与老龄社会相适应的社会协同治理机制不够健全；作为养老服务核心的照护聚焦仍需加强，社区居家照护服务体系尚不健全；养老服务市场机制改革进程中，政府保基本制度内涵外延和职责边界不清，普惠性和互助性服务需要强化，公共和社会资源的公平、有序、有效配置有待提升；养老服务专业化和品质仍需加强，农村养老薄弱，数字化改革助推养老服务和管理实现革命和迭代机制尚未完备，与全面放开市场相对应的监管体系尚不健全。</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二、指导思想、基本原则和发展目标</w:t>
      </w:r>
    </w:p>
    <w:p>
      <w:pPr>
        <w:spacing w:line="60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（一）指导思想</w:t>
      </w:r>
    </w:p>
    <w:p>
      <w:pPr>
        <w:spacing w:line="600" w:lineRule="exact"/>
        <w:ind w:firstLine="640"/>
        <w:rPr>
          <w:rFonts w:ascii="仿宋_GB2312" w:hAnsi="仿宋" w:eastAsia="仿宋_GB2312" w:cs="仿宋"/>
          <w:sz w:val="32"/>
          <w:szCs w:val="32"/>
        </w:rPr>
      </w:pPr>
      <w:r>
        <w:rPr>
          <w:rFonts w:hint="eastAsia" w:ascii="仿宋_GB2312" w:hAnsi="仿宋" w:eastAsia="仿宋_GB2312" w:cs="仿宋"/>
          <w:sz w:val="32"/>
          <w:szCs w:val="32"/>
        </w:rPr>
        <w:t>全面贯彻习近平总书记关于养老工作的系列重要讲话精神</w:t>
      </w:r>
      <w:bookmarkStart w:id="0" w:name="_GoBack"/>
      <w:bookmarkEnd w:id="0"/>
      <w:r>
        <w:rPr>
          <w:rFonts w:hint="eastAsia" w:ascii="仿宋_GB2312" w:hAnsi="仿宋" w:eastAsia="仿宋_GB2312" w:cs="仿宋"/>
          <w:sz w:val="32"/>
          <w:szCs w:val="32"/>
        </w:rPr>
        <w:t>，深入贯彻党的十九大和十九届二中、三中、四中、五中全会精神，全面贯彻积极应对人口老龄化国家战略，全面落实《杭州市居家养老服务条例》，紧紧围绕“数智杭州·宜居天堂”发展导向，</w:t>
      </w:r>
      <w:r>
        <w:rPr>
          <w:rFonts w:hint="eastAsia" w:ascii="仿宋_GB2312" w:hAnsi="仿宋_GB2312" w:eastAsia="仿宋_GB2312" w:cs="仿宋_GB2312"/>
          <w:sz w:val="32"/>
          <w:szCs w:val="32"/>
        </w:rPr>
        <w:t>立足高质量发展总基调，</w:t>
      </w:r>
      <w:r>
        <w:rPr>
          <w:rFonts w:hint="eastAsia" w:ascii="仿宋_GB2312" w:hAnsi="仿宋" w:eastAsia="仿宋_GB2312" w:cs="仿宋"/>
          <w:sz w:val="32"/>
          <w:szCs w:val="32"/>
        </w:rPr>
        <w:t>以原居安养为理念，以供给侧结构改革为主线，以数字化改革为牵引，把养老服务发展融入到区域经济社会发展大格局中，积极培育养老服务新产业、新业态、新模式、新需求，助推最具幸福感城市建设，展示幸福颐养“重要窗口”头雁风采。</w:t>
      </w:r>
    </w:p>
    <w:p>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（二）基本原则</w:t>
      </w:r>
    </w:p>
    <w:p>
      <w:pPr>
        <w:ind w:firstLine="645"/>
        <w:rPr>
          <w:rFonts w:ascii="仿宋" w:hAnsi="仿宋" w:eastAsia="仿宋"/>
          <w:sz w:val="32"/>
          <w:szCs w:val="32"/>
        </w:rPr>
      </w:pPr>
      <w:r>
        <w:rPr>
          <w:rFonts w:hint="eastAsia" w:ascii="华文楷体" w:hAnsi="华文楷体" w:eastAsia="华文楷体"/>
          <w:b/>
          <w:sz w:val="32"/>
          <w:szCs w:val="32"/>
        </w:rPr>
        <w:t>坚持保障基本。</w:t>
      </w:r>
      <w:r>
        <w:rPr>
          <w:rFonts w:hint="eastAsia" w:ascii="仿宋_GB2312" w:hAnsi="仿宋_GB2312" w:eastAsia="仿宋_GB2312" w:cs="仿宋_GB2312"/>
          <w:sz w:val="32"/>
          <w:szCs w:val="32"/>
        </w:rPr>
        <w:t>明确政府保基本、兜底线、促公平职责，持续推进基本养老服务设施布局，</w:t>
      </w:r>
      <w:r>
        <w:rPr>
          <w:rFonts w:hint="eastAsia" w:ascii="仿宋" w:hAnsi="仿宋" w:eastAsia="仿宋"/>
          <w:sz w:val="32"/>
          <w:szCs w:val="32"/>
        </w:rPr>
        <w:t>加大投入，完善财政投入结构，聚焦失能失智老人基本照护，确保人人享有基本养老服务。</w:t>
      </w:r>
    </w:p>
    <w:p>
      <w:pPr>
        <w:spacing w:line="600" w:lineRule="exact"/>
        <w:ind w:firstLine="645"/>
        <w:rPr>
          <w:rFonts w:ascii="仿宋_GB2312" w:hAnsi="仿宋_GB2312" w:eastAsia="仿宋_GB2312" w:cs="仿宋_GB2312"/>
          <w:sz w:val="32"/>
          <w:szCs w:val="32"/>
        </w:rPr>
      </w:pPr>
      <w:r>
        <w:rPr>
          <w:rFonts w:hint="eastAsia" w:ascii="华文楷体" w:hAnsi="华文楷体" w:eastAsia="华文楷体"/>
          <w:b/>
          <w:color w:val="000000" w:themeColor="text1"/>
          <w:sz w:val="32"/>
          <w:szCs w:val="32"/>
          <w14:textFill>
            <w14:solidFill>
              <w14:schemeClr w14:val="tx1"/>
            </w14:solidFill>
          </w14:textFill>
        </w:rPr>
        <w:t>坚持居家照护</w:t>
      </w:r>
      <w:r>
        <w:rPr>
          <w:rFonts w:hint="eastAsia" w:ascii="华文楷体" w:hAnsi="华文楷体" w:eastAsia="华文楷体"/>
          <w:b/>
          <w:sz w:val="32"/>
          <w:szCs w:val="32"/>
        </w:rPr>
        <w:t>。</w:t>
      </w:r>
      <w:r>
        <w:rPr>
          <w:rFonts w:hint="eastAsia" w:ascii="仿宋" w:hAnsi="仿宋" w:eastAsia="仿宋"/>
          <w:sz w:val="32"/>
          <w:szCs w:val="32"/>
        </w:rPr>
        <w:t>坚持综合照护，</w:t>
      </w:r>
      <w:r>
        <w:rPr>
          <w:rFonts w:hint="eastAsia" w:ascii="仿宋_GB2312" w:hAnsi="仿宋_GB2312" w:eastAsia="仿宋_GB2312" w:cs="仿宋_GB2312"/>
          <w:sz w:val="32"/>
          <w:szCs w:val="32"/>
        </w:rPr>
        <w:t>完善社区居家养老服务网络，赋能社区和家庭，融通社区设施和服务，加快实现居家、社区、机构功能与机制协调，无缝隙满足老年人全生命周期需求。</w:t>
      </w:r>
    </w:p>
    <w:p>
      <w:pPr>
        <w:ind w:firstLine="645"/>
        <w:rPr>
          <w:rFonts w:ascii="仿宋" w:hAnsi="仿宋" w:eastAsia="仿宋"/>
          <w:color w:val="000000" w:themeColor="text1"/>
          <w:sz w:val="32"/>
          <w:szCs w:val="32"/>
          <w14:textFill>
            <w14:solidFill>
              <w14:schemeClr w14:val="tx1"/>
            </w14:solidFill>
          </w14:textFill>
        </w:rPr>
      </w:pPr>
      <w:r>
        <w:rPr>
          <w:rFonts w:hint="eastAsia" w:ascii="华文楷体" w:hAnsi="华文楷体" w:eastAsia="华文楷体"/>
          <w:b/>
          <w:sz w:val="32"/>
          <w:szCs w:val="32"/>
        </w:rPr>
        <w:t>坚持协同发展。</w:t>
      </w:r>
      <w:r>
        <w:rPr>
          <w:rFonts w:hint="eastAsia" w:ascii="仿宋_GB2312" w:hAnsi="仿宋_GB2312" w:eastAsia="仿宋_GB2312" w:cs="仿宋_GB2312"/>
          <w:sz w:val="32"/>
          <w:szCs w:val="32"/>
        </w:rPr>
        <w:t>健全应对人口老龄化社会治理机制，建立部门资源整合及服务链接机制；坚持城乡联动发展，不断推进基本公共养老服务均等化；坚持养老服务事业和产业协同，发展养老服务新业态。</w:t>
      </w:r>
    </w:p>
    <w:p>
      <w:pPr>
        <w:spacing w:line="600" w:lineRule="exact"/>
        <w:ind w:firstLine="645"/>
        <w:rPr>
          <w:rFonts w:hint="eastAsia" w:ascii="仿宋_GB2312" w:hAnsi="仿宋_GB2312" w:eastAsia="仿宋_GB2312" w:cs="仿宋_GB2312"/>
          <w:sz w:val="32"/>
          <w:szCs w:val="32"/>
        </w:rPr>
      </w:pPr>
      <w:r>
        <w:rPr>
          <w:rFonts w:hint="eastAsia" w:ascii="华文楷体" w:hAnsi="华文楷体" w:eastAsia="华文楷体"/>
          <w:b/>
          <w:sz w:val="32"/>
          <w:szCs w:val="32"/>
        </w:rPr>
        <w:t>坚持放管结合。</w:t>
      </w:r>
      <w:r>
        <w:rPr>
          <w:rFonts w:hint="eastAsia" w:ascii="仿宋_GB2312" w:hAnsi="仿宋_GB2312" w:eastAsia="仿宋_GB2312" w:cs="仿宋_GB2312"/>
          <w:sz w:val="32"/>
          <w:szCs w:val="32"/>
        </w:rPr>
        <w:t>持续优化营商环境，创建公平、透明的市场发展环境，加强区域合作和国际交流，加快建立与全面放开市场相适应的养老服务综合监管制度，切实保障老年人权益、提升服务品质。</w:t>
      </w:r>
    </w:p>
    <w:p>
      <w:pPr>
        <w:ind w:firstLine="641" w:firstLineChars="200"/>
        <w:rPr>
          <w:rFonts w:hint="eastAsia" w:ascii="仿宋_GB2312" w:hAnsi="仿宋_GB2312" w:eastAsia="仿宋_GB2312" w:cs="仿宋_GB2312"/>
          <w:sz w:val="32"/>
          <w:szCs w:val="32"/>
        </w:rPr>
      </w:pPr>
      <w:r>
        <w:rPr>
          <w:rFonts w:hint="eastAsia" w:ascii="华文楷体" w:hAnsi="华文楷体" w:eastAsia="华文楷体"/>
          <w:b/>
          <w:sz w:val="32"/>
          <w:szCs w:val="32"/>
        </w:rPr>
        <w:t>坚持数字赋能。</w:t>
      </w:r>
      <w:r>
        <w:rPr>
          <w:rFonts w:hint="eastAsia" w:ascii="仿宋_GB2312" w:hAnsi="仿宋_GB2312" w:eastAsia="仿宋_GB2312" w:cs="仿宋_GB2312"/>
          <w:sz w:val="32"/>
          <w:szCs w:val="32"/>
        </w:rPr>
        <w:t>加强科技创新与应用，力促人工智能、物联网、云计算、大数据等新一代信息技术和智能硬件在养老服务领域广泛应用，以数字化和智能化为改革引领，带动养老模式、服务方式及行业管理的迭代。</w:t>
      </w:r>
    </w:p>
    <w:p>
      <w:pPr>
        <w:spacing w:line="600" w:lineRule="exact"/>
        <w:rPr>
          <w:rFonts w:ascii="楷体_GB2312" w:hAnsi="楷体_GB2312" w:eastAsia="楷体_GB2312" w:cs="楷体_GB2312"/>
          <w:b/>
          <w:sz w:val="32"/>
          <w:szCs w:val="32"/>
        </w:rPr>
      </w:pPr>
      <w:r>
        <w:rPr>
          <w:rFonts w:hint="eastAsia" w:ascii="楷体_GB2312" w:hAnsi="楷体_GB2312" w:eastAsia="楷体_GB2312" w:cs="楷体_GB2312"/>
          <w:sz w:val="32"/>
          <w:szCs w:val="32"/>
        </w:rPr>
        <w:t xml:space="preserve">    </w:t>
      </w:r>
      <w:r>
        <w:rPr>
          <w:rFonts w:hint="eastAsia" w:ascii="楷体_GB2312" w:hAnsi="楷体_GB2312" w:eastAsia="楷体_GB2312" w:cs="楷体_GB2312"/>
          <w:b/>
          <w:sz w:val="32"/>
          <w:szCs w:val="32"/>
        </w:rPr>
        <w:t>（三）发展目标</w:t>
      </w:r>
    </w:p>
    <w:p>
      <w:pPr>
        <w:spacing w:line="600" w:lineRule="exact"/>
        <w:ind w:firstLine="640" w:firstLineChars="200"/>
        <w:rPr>
          <w:rFonts w:ascii="仿宋_GB2312" w:eastAsia="仿宋_GB2312"/>
          <w:spacing w:val="-6"/>
          <w:sz w:val="32"/>
          <w:szCs w:val="32"/>
        </w:rPr>
      </w:pPr>
      <w:r>
        <w:rPr>
          <w:rFonts w:ascii="仿宋_GB2312" w:hAnsi="仿宋_GB2312" w:eastAsia="仿宋_GB2312" w:cs="仿宋_GB2312"/>
          <w:sz w:val="32"/>
          <w:szCs w:val="32"/>
        </w:rPr>
        <w:t>到2025年，</w:t>
      </w:r>
      <w:r>
        <w:rPr>
          <w:rFonts w:hint="eastAsia" w:ascii="仿宋_GB2312" w:hAnsi="仿宋_GB2312" w:eastAsia="仿宋_GB2312" w:cs="仿宋_GB2312"/>
          <w:sz w:val="32"/>
          <w:szCs w:val="32"/>
        </w:rPr>
        <w:t>全面打造形成综合、整</w:t>
      </w:r>
      <w:r>
        <w:rPr>
          <w:rFonts w:hint="eastAsia" w:ascii="仿宋_GB2312" w:eastAsia="仿宋_GB2312"/>
          <w:spacing w:val="-6"/>
          <w:sz w:val="32"/>
          <w:szCs w:val="32"/>
        </w:rPr>
        <w:t>合、融合、可及的“大社区养老”新格局，实现基本养老服务人人享有、人人可及，高水平建成“</w:t>
      </w:r>
      <w:r>
        <w:rPr>
          <w:rFonts w:ascii="仿宋_GB2312" w:eastAsia="仿宋_GB2312"/>
          <w:spacing w:val="-6"/>
          <w:sz w:val="32"/>
          <w:szCs w:val="32"/>
        </w:rPr>
        <w:t>幸福</w:t>
      </w:r>
      <w:r>
        <w:rPr>
          <w:rFonts w:hint="eastAsia" w:ascii="仿宋_GB2312" w:eastAsia="仿宋_GB2312"/>
          <w:spacing w:val="-6"/>
          <w:sz w:val="32"/>
          <w:szCs w:val="32"/>
        </w:rPr>
        <w:t>养老”示范区</w:t>
      </w:r>
      <w:r>
        <w:rPr>
          <w:rFonts w:ascii="仿宋_GB2312" w:eastAsia="仿宋_GB2312"/>
          <w:spacing w:val="-6"/>
          <w:sz w:val="32"/>
          <w:szCs w:val="32"/>
        </w:rPr>
        <w:t>。</w:t>
      </w:r>
      <w:r>
        <w:rPr>
          <w:rFonts w:hint="eastAsia" w:ascii="仿宋_GB2312" w:eastAsia="仿宋_GB2312"/>
          <w:spacing w:val="-6"/>
          <w:sz w:val="32"/>
          <w:szCs w:val="32"/>
        </w:rPr>
        <w:t xml:space="preserve"> </w:t>
      </w:r>
    </w:p>
    <w:p>
      <w:pPr>
        <w:spacing w:line="600" w:lineRule="exact"/>
        <w:ind w:firstLine="643" w:firstLineChars="200"/>
        <w:rPr>
          <w:rFonts w:ascii="仿宋_GB2312" w:hAnsi="仿宋_GB2312" w:eastAsia="仿宋_GB2312" w:cs="仿宋_GB2312"/>
          <w:sz w:val="32"/>
          <w:szCs w:val="32"/>
        </w:rPr>
      </w:pPr>
      <w:r>
        <w:rPr>
          <w:rFonts w:ascii="楷体_GB2312" w:hAnsi="楷体_GB2312" w:eastAsia="楷体_GB2312" w:cs="楷体_GB2312"/>
          <w:b/>
          <w:sz w:val="32"/>
          <w:szCs w:val="32"/>
        </w:rPr>
        <w:t>基本养老普遍惠及</w:t>
      </w:r>
      <w:r>
        <w:rPr>
          <w:rFonts w:hint="eastAsia" w:ascii="楷体_GB2312" w:hAnsi="楷体_GB2312" w:eastAsia="楷体_GB2312" w:cs="楷体_GB2312"/>
          <w:b/>
          <w:sz w:val="32"/>
          <w:szCs w:val="32"/>
        </w:rPr>
        <w:t>。</w:t>
      </w:r>
      <w:r>
        <w:rPr>
          <w:rFonts w:ascii="仿宋_GB2312" w:hAnsi="仿宋_GB2312" w:eastAsia="仿宋_GB2312" w:cs="仿宋_GB2312"/>
          <w:sz w:val="32"/>
          <w:szCs w:val="32"/>
        </w:rPr>
        <w:t>初步建立体现福利梯度的基本养老服务保障制度</w:t>
      </w:r>
      <w:r>
        <w:rPr>
          <w:rFonts w:hint="eastAsia" w:ascii="仿宋_GB2312" w:hAnsi="仿宋_GB2312" w:eastAsia="仿宋_GB2312" w:cs="仿宋_GB2312"/>
          <w:sz w:val="32"/>
          <w:szCs w:val="32"/>
        </w:rPr>
        <w:t>，失能失智</w:t>
      </w:r>
      <w:r>
        <w:rPr>
          <w:rFonts w:ascii="仿宋_GB2312" w:hAnsi="仿宋_GB2312" w:eastAsia="仿宋_GB2312" w:cs="仿宋_GB2312"/>
          <w:sz w:val="32"/>
          <w:szCs w:val="32"/>
        </w:rPr>
        <w:t>老人</w:t>
      </w:r>
      <w:r>
        <w:rPr>
          <w:rFonts w:hint="eastAsia" w:ascii="仿宋_GB2312" w:hAnsi="仿宋_GB2312" w:eastAsia="仿宋_GB2312" w:cs="仿宋_GB2312"/>
          <w:sz w:val="32"/>
          <w:szCs w:val="32"/>
        </w:rPr>
        <w:t>得到</w:t>
      </w:r>
      <w:r>
        <w:rPr>
          <w:rFonts w:ascii="仿宋_GB2312" w:hAnsi="仿宋_GB2312" w:eastAsia="仿宋_GB2312" w:cs="仿宋_GB2312"/>
          <w:sz w:val="32"/>
          <w:szCs w:val="32"/>
        </w:rPr>
        <w:t>长期照护保障</w:t>
      </w:r>
      <w:r>
        <w:rPr>
          <w:rFonts w:hint="eastAsia" w:ascii="仿宋_GB2312" w:hAnsi="仿宋_GB2312" w:eastAsia="仿宋_GB2312" w:cs="仿宋_GB2312"/>
          <w:sz w:val="32"/>
          <w:szCs w:val="32"/>
        </w:rPr>
        <w:t>；</w:t>
      </w:r>
      <w:r>
        <w:rPr>
          <w:rFonts w:ascii="Times New Roman" w:hAnsi="Times New Roman" w:eastAsia="仿宋_GB2312" w:cs="Times New Roman"/>
          <w:bCs/>
          <w:sz w:val="32"/>
          <w:szCs w:val="32"/>
        </w:rPr>
        <w:t>设区市和50万人口以上县市</w:t>
      </w:r>
      <w:r>
        <w:rPr>
          <w:rFonts w:hint="eastAsia" w:ascii="Times New Roman" w:hAnsi="Times New Roman" w:eastAsia="仿宋_GB2312" w:cs="Times New Roman"/>
          <w:bCs/>
          <w:sz w:val="32"/>
          <w:szCs w:val="32"/>
        </w:rPr>
        <w:t>的</w:t>
      </w:r>
      <w:r>
        <w:rPr>
          <w:rFonts w:ascii="Times New Roman" w:hAnsi="Times New Roman" w:eastAsia="仿宋_GB2312" w:cs="Times New Roman"/>
          <w:bCs/>
          <w:sz w:val="32"/>
          <w:szCs w:val="32"/>
        </w:rPr>
        <w:t>主城区每1名老年人1公里范围内有1家养老机构</w:t>
      </w:r>
      <w:r>
        <w:rPr>
          <w:rFonts w:hint="eastAsia" w:ascii="仿宋_GB2312" w:hAnsi="仿宋_GB2312" w:eastAsia="仿宋_GB2312" w:cs="仿宋_GB2312"/>
          <w:sz w:val="32"/>
          <w:szCs w:val="32"/>
        </w:rPr>
        <w:t>。</w:t>
      </w:r>
    </w:p>
    <w:p>
      <w:pPr>
        <w:spacing w:line="600" w:lineRule="exact"/>
        <w:ind w:firstLine="643" w:firstLineChars="200"/>
        <w:rPr>
          <w:rFonts w:ascii="仿宋_GB2312" w:hAnsi="仿宋_GB2312" w:eastAsia="仿宋_GB2312" w:cs="仿宋_GB2312"/>
          <w:sz w:val="32"/>
          <w:szCs w:val="32"/>
        </w:rPr>
      </w:pPr>
      <w:r>
        <w:rPr>
          <w:rFonts w:ascii="楷体_GB2312" w:hAnsi="楷体_GB2312" w:eastAsia="楷体_GB2312" w:cs="楷体_GB2312"/>
          <w:b/>
          <w:sz w:val="32"/>
          <w:szCs w:val="32"/>
        </w:rPr>
        <w:t>服务供给精准可及</w:t>
      </w:r>
      <w:r>
        <w:rPr>
          <w:rFonts w:hint="eastAsia" w:ascii="楷体_GB2312" w:hAnsi="楷体_GB2312" w:eastAsia="楷体_GB2312" w:cs="楷体_GB2312"/>
          <w:b/>
          <w:sz w:val="32"/>
          <w:szCs w:val="32"/>
        </w:rPr>
        <w:t>。</w:t>
      </w:r>
      <w:r>
        <w:rPr>
          <w:rFonts w:hint="eastAsia" w:ascii="仿宋_GB2312" w:hAnsi="仿宋_GB2312" w:eastAsia="仿宋_GB2312" w:cs="仿宋_GB2312"/>
          <w:sz w:val="32"/>
          <w:szCs w:val="32"/>
        </w:rPr>
        <w:t>构建覆盖城乡、贴合需求的</w:t>
      </w:r>
      <w:r>
        <w:rPr>
          <w:rFonts w:ascii="仿宋_GB2312" w:hAnsi="仿宋_GB2312" w:eastAsia="仿宋_GB2312" w:cs="仿宋_GB2312"/>
          <w:sz w:val="32"/>
          <w:szCs w:val="32"/>
        </w:rPr>
        <w:t>综合、整合、融合、可及“大社区养老”新格局</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养老服务实现由生活照料为主向专业康复照护转变</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建成康养联合体</w:t>
      </w:r>
      <w:r>
        <w:rPr>
          <w:rFonts w:hint="eastAsia" w:ascii="仿宋_GB2312" w:hAnsi="仿宋_GB2312" w:eastAsia="仿宋_GB2312" w:cs="仿宋_GB2312"/>
          <w:sz w:val="32"/>
          <w:szCs w:val="32"/>
        </w:rPr>
        <w:t>100个，</w:t>
      </w:r>
      <w:r>
        <w:rPr>
          <w:rFonts w:ascii="仿宋_GB2312" w:hAnsi="仿宋_GB2312" w:eastAsia="仿宋_GB2312" w:cs="仿宋_GB2312"/>
          <w:sz w:val="32"/>
          <w:szCs w:val="32"/>
        </w:rPr>
        <w:t>家庭照护床位</w:t>
      </w:r>
      <w:r>
        <w:rPr>
          <w:rFonts w:hint="eastAsia" w:ascii="仿宋_GB2312" w:hAnsi="仿宋_GB2312" w:eastAsia="仿宋_GB2312" w:cs="仿宋_GB2312"/>
          <w:sz w:val="32"/>
          <w:szCs w:val="32"/>
        </w:rPr>
        <w:t>2000</w:t>
      </w:r>
      <w:r>
        <w:rPr>
          <w:rFonts w:ascii="仿宋_GB2312" w:hAnsi="仿宋_GB2312" w:eastAsia="仿宋_GB2312" w:cs="仿宋_GB2312"/>
          <w:sz w:val="32"/>
          <w:szCs w:val="32"/>
        </w:rPr>
        <w:t>张</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养老机构床位实现结构性调整</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充分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均等化发展，照护型养老床位达到60%</w:t>
      </w:r>
      <w:r>
        <w:rPr>
          <w:rFonts w:hint="eastAsia" w:ascii="仿宋_GB2312" w:hAnsi="仿宋_GB2312" w:eastAsia="仿宋_GB2312" w:cs="仿宋_GB2312"/>
          <w:sz w:val="32"/>
          <w:szCs w:val="32"/>
        </w:rPr>
        <w:t>。</w:t>
      </w:r>
    </w:p>
    <w:p>
      <w:pPr>
        <w:spacing w:line="600" w:lineRule="exact"/>
        <w:ind w:firstLine="645"/>
        <w:rPr>
          <w:rFonts w:ascii="仿宋_GB2312" w:hAnsi="仿宋_GB2312" w:eastAsia="仿宋_GB2312" w:cs="仿宋_GB2312"/>
          <w:sz w:val="32"/>
          <w:szCs w:val="32"/>
        </w:rPr>
      </w:pPr>
      <w:r>
        <w:rPr>
          <w:rFonts w:ascii="楷体_GB2312" w:hAnsi="楷体_GB2312" w:eastAsia="楷体_GB2312" w:cs="楷体_GB2312"/>
          <w:b/>
          <w:sz w:val="32"/>
          <w:szCs w:val="32"/>
        </w:rPr>
        <w:t>数智水平迭代升级</w:t>
      </w:r>
      <w:r>
        <w:rPr>
          <w:rFonts w:hint="eastAsia" w:ascii="楷体_GB2312" w:hAnsi="楷体_GB2312" w:eastAsia="楷体_GB2312" w:cs="楷体_GB2312"/>
          <w:b/>
          <w:sz w:val="32"/>
          <w:szCs w:val="32"/>
        </w:rPr>
        <w:t>。</w:t>
      </w:r>
      <w:r>
        <w:rPr>
          <w:rFonts w:ascii="仿宋_GB2312" w:hAnsi="仿宋_GB2312" w:eastAsia="仿宋_GB2312" w:cs="仿宋_GB2312"/>
          <w:sz w:val="32"/>
          <w:szCs w:val="32"/>
        </w:rPr>
        <w:t>以杭州城市大脑为依托，智慧养老</w:t>
      </w:r>
      <w:r>
        <w:rPr>
          <w:rFonts w:hint="eastAsia" w:ascii="仿宋_GB2312" w:hAnsi="仿宋_GB2312" w:eastAsia="仿宋_GB2312" w:cs="仿宋_GB2312"/>
          <w:sz w:val="32"/>
          <w:szCs w:val="32"/>
        </w:rPr>
        <w:t>实现3.0</w:t>
      </w:r>
      <w:r>
        <w:rPr>
          <w:rFonts w:ascii="仿宋_GB2312" w:hAnsi="仿宋_GB2312" w:eastAsia="仿宋_GB2312" w:cs="仿宋_GB2312"/>
          <w:sz w:val="32"/>
          <w:szCs w:val="32"/>
        </w:rPr>
        <w:t>版迭代，</w:t>
      </w:r>
      <w:r>
        <w:rPr>
          <w:rFonts w:hint="eastAsia" w:ascii="仿宋_GB2312" w:eastAsia="仿宋_GB2312"/>
          <w:spacing w:val="-6"/>
          <w:sz w:val="32"/>
          <w:szCs w:val="32"/>
        </w:rPr>
        <w:t>人工智能、虚拟现实等新技术在养老服务领域深度集成应用与</w:t>
      </w:r>
      <w:r>
        <w:rPr>
          <w:rFonts w:ascii="仿宋_GB2312" w:eastAsia="仿宋_GB2312"/>
          <w:spacing w:val="-6"/>
          <w:sz w:val="32"/>
          <w:szCs w:val="32"/>
        </w:rPr>
        <w:t>研发</w:t>
      </w:r>
      <w:r>
        <w:rPr>
          <w:rFonts w:hint="eastAsia" w:ascii="仿宋_GB2312" w:eastAsia="仿宋_GB2312"/>
          <w:spacing w:val="-6"/>
          <w:sz w:val="32"/>
          <w:szCs w:val="32"/>
        </w:rPr>
        <w:t>推广，</w:t>
      </w:r>
      <w:r>
        <w:rPr>
          <w:rFonts w:hint="eastAsia" w:ascii="Times New Roman" w:hAnsi="Times New Roman" w:eastAsia="仿宋_GB2312" w:cs="Times New Roman"/>
          <w:bCs/>
          <w:sz w:val="32"/>
          <w:szCs w:val="32"/>
        </w:rPr>
        <w:t>智慧场景高频应用，</w:t>
      </w:r>
      <w:r>
        <w:rPr>
          <w:rFonts w:hint="eastAsia" w:ascii="Calibri" w:hAnsi="Calibri" w:eastAsia="仿宋_GB2312" w:cs="Calibri"/>
          <w:bCs/>
          <w:sz w:val="32"/>
          <w:szCs w:val="32"/>
        </w:rPr>
        <w:t>每个</w:t>
      </w:r>
      <w:r>
        <w:rPr>
          <w:rFonts w:hint="eastAsia" w:ascii="Times New Roman" w:hAnsi="Times New Roman" w:eastAsia="仿宋_GB2312" w:cs="Times New Roman"/>
          <w:bCs/>
          <w:sz w:val="32"/>
          <w:szCs w:val="32"/>
        </w:rPr>
        <w:t>区县</w:t>
      </w:r>
      <w:r>
        <w:rPr>
          <w:rFonts w:hint="eastAsia" w:ascii="Calibri" w:hAnsi="Calibri" w:eastAsia="仿宋_GB2312" w:cs="Calibri"/>
          <w:bCs/>
          <w:sz w:val="32"/>
          <w:szCs w:val="32"/>
        </w:rPr>
        <w:t>市建成</w:t>
      </w:r>
      <w:r>
        <w:rPr>
          <w:rFonts w:hint="eastAsia" w:ascii="Times New Roman" w:hAnsi="Times New Roman" w:eastAsia="仿宋_GB2312" w:cs="Times New Roman"/>
          <w:bCs/>
          <w:sz w:val="32"/>
          <w:szCs w:val="32"/>
        </w:rPr>
        <w:t>智慧</w:t>
      </w:r>
      <w:r>
        <w:rPr>
          <w:rFonts w:ascii="仿宋_GB2312" w:hAnsi="仿宋_GB2312" w:eastAsia="仿宋_GB2312" w:cs="仿宋_GB2312"/>
          <w:sz w:val="32"/>
          <w:szCs w:val="32"/>
        </w:rPr>
        <w:t>养老</w:t>
      </w:r>
      <w:r>
        <w:rPr>
          <w:rFonts w:ascii="仿宋_GB2312" w:eastAsia="仿宋_GB2312"/>
          <w:spacing w:val="-6"/>
          <w:sz w:val="32"/>
          <w:szCs w:val="32"/>
        </w:rPr>
        <w:t>院</w:t>
      </w:r>
      <w:r>
        <w:rPr>
          <w:rFonts w:hint="eastAsia" w:ascii="仿宋_GB2312" w:eastAsia="仿宋_GB2312"/>
          <w:spacing w:val="-6"/>
          <w:sz w:val="32"/>
          <w:szCs w:val="32"/>
        </w:rPr>
        <w:t>2家。</w:t>
      </w:r>
    </w:p>
    <w:p>
      <w:pPr>
        <w:spacing w:line="600" w:lineRule="exact"/>
        <w:ind w:firstLine="645"/>
        <w:rPr>
          <w:rFonts w:ascii="Times New Roman" w:hAnsi="Times New Roman" w:eastAsia="仿宋_GB2312" w:cs="Times New Roman"/>
          <w:bCs/>
          <w:sz w:val="32"/>
          <w:szCs w:val="32"/>
        </w:rPr>
      </w:pPr>
      <w:r>
        <w:rPr>
          <w:rFonts w:ascii="楷体_GB2312" w:hAnsi="楷体_GB2312" w:eastAsia="楷体_GB2312" w:cs="楷体_GB2312"/>
          <w:b/>
          <w:sz w:val="32"/>
          <w:szCs w:val="32"/>
        </w:rPr>
        <w:t>人才队伍量质齐升</w:t>
      </w:r>
      <w:r>
        <w:rPr>
          <w:rFonts w:hint="eastAsia" w:ascii="楷体_GB2312" w:hAnsi="楷体_GB2312" w:eastAsia="楷体_GB2312" w:cs="楷体_GB2312"/>
          <w:b/>
          <w:sz w:val="32"/>
          <w:szCs w:val="32"/>
        </w:rPr>
        <w:t>。</w:t>
      </w:r>
      <w:r>
        <w:rPr>
          <w:rFonts w:hint="eastAsia" w:ascii="仿宋_GB2312" w:hAnsi="仿宋_GB2312" w:eastAsia="仿宋_GB2312" w:cs="仿宋_GB2312"/>
          <w:sz w:val="32"/>
          <w:szCs w:val="32"/>
        </w:rPr>
        <w:t>涵盖</w:t>
      </w:r>
      <w:r>
        <w:rPr>
          <w:rFonts w:ascii="仿宋_GB2312" w:hAnsi="仿宋_GB2312" w:eastAsia="仿宋_GB2312" w:cs="仿宋_GB2312"/>
          <w:sz w:val="32"/>
          <w:szCs w:val="32"/>
        </w:rPr>
        <w:t>多学科照护队伍</w:t>
      </w:r>
      <w:r>
        <w:rPr>
          <w:rFonts w:hint="eastAsia" w:ascii="仿宋_GB2312" w:hAnsi="仿宋_GB2312" w:eastAsia="仿宋_GB2312" w:cs="仿宋_GB2312"/>
          <w:sz w:val="32"/>
          <w:szCs w:val="32"/>
        </w:rPr>
        <w:t>的</w:t>
      </w:r>
      <w:r>
        <w:rPr>
          <w:rFonts w:ascii="仿宋_GB2312" w:hAnsi="仿宋_GB2312" w:eastAsia="仿宋_GB2312" w:cs="仿宋_GB2312"/>
          <w:sz w:val="32"/>
          <w:szCs w:val="32"/>
        </w:rPr>
        <w:t>养老</w:t>
      </w:r>
      <w:r>
        <w:rPr>
          <w:rFonts w:hint="eastAsia" w:ascii="仿宋_GB2312" w:hAnsi="仿宋_GB2312" w:eastAsia="仿宋_GB2312" w:cs="仿宋_GB2312"/>
          <w:sz w:val="32"/>
          <w:szCs w:val="32"/>
        </w:rPr>
        <w:t>服务人才</w:t>
      </w:r>
      <w:r>
        <w:rPr>
          <w:rFonts w:ascii="仿宋_GB2312" w:hAnsi="仿宋_GB2312" w:eastAsia="仿宋_GB2312" w:cs="仿宋_GB2312"/>
          <w:sz w:val="32"/>
          <w:szCs w:val="32"/>
        </w:rPr>
        <w:t>队伍结构</w:t>
      </w:r>
      <w:r>
        <w:rPr>
          <w:rFonts w:hint="eastAsia" w:ascii="仿宋_GB2312" w:hAnsi="仿宋_GB2312" w:eastAsia="仿宋_GB2312" w:cs="仿宋_GB2312"/>
          <w:sz w:val="32"/>
          <w:szCs w:val="32"/>
        </w:rPr>
        <w:t>不断</w:t>
      </w:r>
      <w:r>
        <w:rPr>
          <w:rFonts w:ascii="仿宋_GB2312" w:hAnsi="仿宋_GB2312" w:eastAsia="仿宋_GB2312" w:cs="仿宋_GB2312"/>
          <w:sz w:val="32"/>
          <w:szCs w:val="32"/>
        </w:rPr>
        <w:t>优化；</w:t>
      </w:r>
      <w:r>
        <w:rPr>
          <w:rFonts w:hint="eastAsia" w:ascii="仿宋_GB2312" w:hAnsi="仿宋_GB2312" w:eastAsia="仿宋_GB2312" w:cs="仿宋_GB2312"/>
          <w:sz w:val="32"/>
          <w:szCs w:val="32"/>
        </w:rPr>
        <w:t>形成更为完善</w:t>
      </w:r>
      <w:r>
        <w:rPr>
          <w:rFonts w:ascii="仿宋_GB2312" w:hAnsi="仿宋_GB2312" w:eastAsia="仿宋_GB2312" w:cs="仿宋_GB2312"/>
          <w:sz w:val="32"/>
          <w:szCs w:val="32"/>
        </w:rPr>
        <w:t>的</w:t>
      </w:r>
      <w:r>
        <w:rPr>
          <w:rFonts w:hint="eastAsia" w:ascii="仿宋_GB2312" w:hAnsi="仿宋_GB2312" w:eastAsia="仿宋_GB2312" w:cs="仿宋_GB2312"/>
          <w:sz w:val="32"/>
          <w:szCs w:val="32"/>
        </w:rPr>
        <w:t>养老服务人才队伍</w:t>
      </w:r>
      <w:r>
        <w:rPr>
          <w:rFonts w:ascii="仿宋_GB2312" w:hAnsi="仿宋_GB2312" w:eastAsia="仿宋_GB2312" w:cs="仿宋_GB2312"/>
          <w:sz w:val="32"/>
          <w:szCs w:val="32"/>
        </w:rPr>
        <w:t>培养培训体系</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薪资待遇保障机制</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每万老年人拥有持证养老护理员数达到25人</w:t>
      </w:r>
      <w:r>
        <w:rPr>
          <w:rFonts w:hint="eastAsia" w:ascii="仿宋_GB2312" w:hAnsi="仿宋_GB2312" w:eastAsia="仿宋_GB2312" w:cs="仿宋_GB2312"/>
          <w:sz w:val="32"/>
          <w:szCs w:val="32"/>
        </w:rPr>
        <w:t>，</w:t>
      </w:r>
      <w:r>
        <w:rPr>
          <w:rFonts w:ascii="Times New Roman" w:hAnsi="Times New Roman" w:eastAsia="仿宋_GB2312" w:cs="Times New Roman"/>
          <w:bCs/>
          <w:sz w:val="32"/>
          <w:szCs w:val="32"/>
        </w:rPr>
        <w:t>高级和技师级护理员</w:t>
      </w:r>
      <w:r>
        <w:rPr>
          <w:rFonts w:ascii="Calibri" w:hAnsi="Calibri" w:eastAsia="仿宋_GB2312" w:cs="Calibri"/>
          <w:bCs/>
          <w:sz w:val="32"/>
          <w:szCs w:val="32"/>
        </w:rPr>
        <w:t>在</w:t>
      </w:r>
      <w:r>
        <w:rPr>
          <w:rFonts w:ascii="Times New Roman" w:hAnsi="Times New Roman" w:eastAsia="仿宋_GB2312" w:cs="Times New Roman"/>
          <w:bCs/>
          <w:sz w:val="32"/>
          <w:szCs w:val="32"/>
        </w:rPr>
        <w:t>护理员队伍</w:t>
      </w:r>
      <w:r>
        <w:rPr>
          <w:rFonts w:ascii="Calibri" w:hAnsi="Calibri" w:eastAsia="仿宋_GB2312" w:cs="Calibri"/>
          <w:bCs/>
          <w:sz w:val="32"/>
          <w:szCs w:val="32"/>
        </w:rPr>
        <w:t>中的比例</w:t>
      </w:r>
      <w:r>
        <w:rPr>
          <w:rFonts w:ascii="Times New Roman" w:hAnsi="Times New Roman" w:eastAsia="仿宋_GB2312" w:cs="Times New Roman"/>
          <w:bCs/>
          <w:sz w:val="32"/>
          <w:szCs w:val="32"/>
        </w:rPr>
        <w:t>达到18%以上。</w:t>
      </w:r>
    </w:p>
    <w:p>
      <w:pPr>
        <w:spacing w:line="600" w:lineRule="exact"/>
        <w:ind w:firstLine="645"/>
        <w:rPr>
          <w:rFonts w:ascii="仿宋_GB2312" w:hAnsi="仿宋_GB2312" w:eastAsia="仿宋_GB2312" w:cs="仿宋_GB2312"/>
          <w:sz w:val="32"/>
          <w:szCs w:val="32"/>
        </w:rPr>
      </w:pPr>
      <w:r>
        <w:rPr>
          <w:rFonts w:hint="eastAsia" w:ascii="楷体_GB2312" w:hAnsi="楷体_GB2312" w:eastAsia="楷体_GB2312" w:cs="楷体_GB2312"/>
          <w:b/>
          <w:sz w:val="32"/>
          <w:szCs w:val="32"/>
        </w:rPr>
        <w:t>农村养老明显改善。</w:t>
      </w:r>
      <w:r>
        <w:rPr>
          <w:rFonts w:hint="eastAsia" w:ascii="仿宋_GB2312" w:hAnsi="仿宋_GB2312" w:eastAsia="仿宋_GB2312" w:cs="仿宋_GB2312"/>
          <w:sz w:val="32"/>
          <w:szCs w:val="32"/>
        </w:rPr>
        <w:t>城乡设施布局更加均衡，区县市建有1家以护理型为主的公办养老机构，每个乡镇至少建有1家养老机构，基本养老服务保障实现市级统筹；“党建+幸福颐养”机制建立，形成一批农村互助养老典型。</w:t>
      </w:r>
    </w:p>
    <w:p>
      <w:pPr>
        <w:spacing w:line="600" w:lineRule="exact"/>
        <w:ind w:firstLine="645"/>
        <w:rPr>
          <w:rFonts w:ascii="仿宋_GB2312" w:hAnsi="仿宋_GB2312" w:eastAsia="仿宋_GB2312" w:cs="仿宋_GB2312"/>
          <w:sz w:val="32"/>
          <w:szCs w:val="32"/>
        </w:rPr>
      </w:pPr>
      <w:r>
        <w:rPr>
          <w:rFonts w:hint="eastAsia" w:ascii="楷体_GB2312" w:hAnsi="楷体_GB2312" w:eastAsia="楷体_GB2312" w:cs="楷体_GB2312"/>
          <w:b/>
          <w:sz w:val="32"/>
          <w:szCs w:val="32"/>
        </w:rPr>
        <w:t>产业发展活跃有序。</w:t>
      </w:r>
      <w:r>
        <w:rPr>
          <w:rFonts w:hint="eastAsia" w:ascii="仿宋_GB2312" w:hAnsi="仿宋_GB2312" w:eastAsia="仿宋_GB2312" w:cs="仿宋_GB2312"/>
          <w:sz w:val="32"/>
          <w:szCs w:val="32"/>
        </w:rPr>
        <w:t>扶持与监管并举，形成高效协同的养老服务综合监管格局；养老服务新业态不断呈现，社会有效投资明显扩大，老年用品供给更加优质创新，老年人消费潜能有效激发；</w:t>
      </w:r>
      <w:r>
        <w:rPr>
          <w:rFonts w:ascii="仿宋_GB2312" w:hAnsi="仿宋_GB2312" w:eastAsia="仿宋_GB2312" w:cs="仿宋_GB2312"/>
          <w:sz w:val="32"/>
          <w:szCs w:val="32"/>
        </w:rPr>
        <w:t>社区化、高品质、个性化、数智化、国际化和具有包容性的省会城市现代养老服务形象</w:t>
      </w:r>
      <w:r>
        <w:rPr>
          <w:rFonts w:hint="eastAsia" w:ascii="仿宋_GB2312" w:hAnsi="仿宋_GB2312" w:eastAsia="仿宋_GB2312" w:cs="仿宋_GB2312"/>
          <w:sz w:val="32"/>
          <w:szCs w:val="32"/>
        </w:rPr>
        <w:t>充分</w:t>
      </w:r>
      <w:r>
        <w:rPr>
          <w:rFonts w:ascii="仿宋_GB2312" w:hAnsi="仿宋_GB2312" w:eastAsia="仿宋_GB2312" w:cs="仿宋_GB2312"/>
          <w:sz w:val="32"/>
          <w:szCs w:val="32"/>
        </w:rPr>
        <w:t>彰显</w:t>
      </w:r>
      <w:r>
        <w:rPr>
          <w:rFonts w:hint="eastAsia" w:ascii="仿宋_GB2312" w:hAnsi="仿宋_GB2312" w:eastAsia="仿宋_GB2312" w:cs="仿宋_GB2312"/>
          <w:sz w:val="32"/>
          <w:szCs w:val="32"/>
        </w:rPr>
        <w:t>。</w:t>
      </w:r>
    </w:p>
    <w:p>
      <w:pPr>
        <w:adjustRightInd w:val="0"/>
        <w:snapToGrid w:val="0"/>
        <w:spacing w:before="240" w:line="600" w:lineRule="exact"/>
        <w:jc w:val="center"/>
        <w:rPr>
          <w:rFonts w:ascii="黑体" w:hAnsi="黑体" w:eastAsia="黑体" w:cs="黑体"/>
          <w:sz w:val="28"/>
          <w:szCs w:val="28"/>
        </w:rPr>
      </w:pPr>
      <w:r>
        <w:rPr>
          <w:rFonts w:hint="eastAsia" w:ascii="黑体" w:hAnsi="黑体" w:eastAsia="黑体" w:cs="黑体"/>
          <w:sz w:val="28"/>
          <w:szCs w:val="28"/>
        </w:rPr>
        <w:t>表2：杭州市养老服务发展“十四五”主要指标</w:t>
      </w:r>
    </w:p>
    <w:tbl>
      <w:tblPr>
        <w:tblStyle w:val="7"/>
        <w:tblW w:w="906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9"/>
        <w:gridCol w:w="3686"/>
        <w:gridCol w:w="992"/>
        <w:gridCol w:w="1134"/>
        <w:gridCol w:w="1417"/>
        <w:gridCol w:w="11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7" w:hRule="atLeast"/>
          <w:jc w:val="center"/>
        </w:trPr>
        <w:tc>
          <w:tcPr>
            <w:tcW w:w="699" w:type="dxa"/>
            <w:vAlign w:val="center"/>
          </w:tcPr>
          <w:p>
            <w:pPr>
              <w:widowControl/>
              <w:adjustRightInd w:val="0"/>
              <w:snapToGrid w:val="0"/>
              <w:jc w:val="center"/>
              <w:rPr>
                <w:rFonts w:ascii="黑体" w:hAnsi="黑体" w:eastAsia="黑体"/>
                <w:b/>
                <w:sz w:val="18"/>
                <w:szCs w:val="18"/>
              </w:rPr>
            </w:pPr>
            <w:r>
              <w:rPr>
                <w:rFonts w:hint="eastAsia" w:ascii="黑体" w:hAnsi="黑体" w:eastAsia="黑体"/>
                <w:b/>
                <w:sz w:val="18"/>
                <w:szCs w:val="18"/>
              </w:rPr>
              <w:t>序号</w:t>
            </w:r>
          </w:p>
        </w:tc>
        <w:tc>
          <w:tcPr>
            <w:tcW w:w="3686" w:type="dxa"/>
            <w:vAlign w:val="center"/>
          </w:tcPr>
          <w:p>
            <w:pPr>
              <w:widowControl/>
              <w:adjustRightInd w:val="0"/>
              <w:snapToGrid w:val="0"/>
              <w:jc w:val="center"/>
              <w:rPr>
                <w:rFonts w:ascii="黑体" w:hAnsi="黑体" w:eastAsia="黑体"/>
                <w:b/>
                <w:sz w:val="18"/>
                <w:szCs w:val="18"/>
              </w:rPr>
            </w:pPr>
            <w:r>
              <w:rPr>
                <w:rFonts w:hint="eastAsia" w:ascii="黑体" w:hAnsi="黑体" w:eastAsia="黑体"/>
                <w:b/>
                <w:sz w:val="18"/>
                <w:szCs w:val="18"/>
              </w:rPr>
              <w:t>指标名称</w:t>
            </w:r>
          </w:p>
        </w:tc>
        <w:tc>
          <w:tcPr>
            <w:tcW w:w="992" w:type="dxa"/>
            <w:vAlign w:val="center"/>
          </w:tcPr>
          <w:p>
            <w:pPr>
              <w:widowControl/>
              <w:adjustRightInd w:val="0"/>
              <w:snapToGrid w:val="0"/>
              <w:jc w:val="center"/>
              <w:rPr>
                <w:rFonts w:ascii="黑体" w:hAnsi="黑体" w:eastAsia="黑体"/>
                <w:b/>
                <w:sz w:val="18"/>
                <w:szCs w:val="18"/>
              </w:rPr>
            </w:pPr>
            <w:r>
              <w:rPr>
                <w:rFonts w:hint="eastAsia" w:ascii="黑体" w:hAnsi="黑体" w:eastAsia="黑体"/>
                <w:b/>
                <w:sz w:val="18"/>
                <w:szCs w:val="18"/>
              </w:rPr>
              <w:t>单位</w:t>
            </w:r>
          </w:p>
        </w:tc>
        <w:tc>
          <w:tcPr>
            <w:tcW w:w="1134" w:type="dxa"/>
            <w:shd w:val="clear" w:color="auto" w:fill="FEF2CC" w:themeFill="accent4" w:themeFillTint="33"/>
            <w:vAlign w:val="center"/>
          </w:tcPr>
          <w:p>
            <w:pPr>
              <w:widowControl/>
              <w:adjustRightInd w:val="0"/>
              <w:snapToGrid w:val="0"/>
              <w:jc w:val="center"/>
              <w:rPr>
                <w:rFonts w:ascii="黑体" w:hAnsi="黑体" w:eastAsia="黑体"/>
                <w:b/>
                <w:sz w:val="18"/>
                <w:szCs w:val="18"/>
              </w:rPr>
            </w:pPr>
            <w:r>
              <w:rPr>
                <w:rFonts w:hint="eastAsia" w:ascii="黑体" w:hAnsi="黑体" w:eastAsia="黑体"/>
                <w:b/>
                <w:sz w:val="18"/>
                <w:szCs w:val="18"/>
              </w:rPr>
              <w:t>2020年</w:t>
            </w:r>
          </w:p>
          <w:p>
            <w:pPr>
              <w:widowControl/>
              <w:adjustRightInd w:val="0"/>
              <w:snapToGrid w:val="0"/>
              <w:jc w:val="center"/>
              <w:rPr>
                <w:rFonts w:ascii="黑体" w:hAnsi="黑体" w:eastAsia="黑体"/>
                <w:b/>
                <w:sz w:val="18"/>
                <w:szCs w:val="18"/>
              </w:rPr>
            </w:pPr>
            <w:r>
              <w:rPr>
                <w:rFonts w:hint="eastAsia" w:ascii="黑体" w:hAnsi="黑体" w:eastAsia="黑体"/>
                <w:b/>
                <w:sz w:val="18"/>
                <w:szCs w:val="18"/>
              </w:rPr>
              <w:t>完成值</w:t>
            </w:r>
          </w:p>
        </w:tc>
        <w:tc>
          <w:tcPr>
            <w:tcW w:w="1417" w:type="dxa"/>
            <w:vAlign w:val="center"/>
          </w:tcPr>
          <w:p>
            <w:pPr>
              <w:widowControl/>
              <w:adjustRightInd w:val="0"/>
              <w:snapToGrid w:val="0"/>
              <w:jc w:val="center"/>
              <w:rPr>
                <w:rFonts w:ascii="黑体" w:hAnsi="黑体" w:eastAsia="黑体"/>
                <w:b/>
                <w:sz w:val="18"/>
                <w:szCs w:val="18"/>
              </w:rPr>
            </w:pPr>
            <w:r>
              <w:rPr>
                <w:rFonts w:hint="eastAsia" w:ascii="黑体" w:hAnsi="黑体" w:eastAsia="黑体"/>
                <w:b/>
                <w:sz w:val="18"/>
                <w:szCs w:val="18"/>
              </w:rPr>
              <w:t>2022年</w:t>
            </w:r>
          </w:p>
          <w:p>
            <w:pPr>
              <w:widowControl/>
              <w:adjustRightInd w:val="0"/>
              <w:snapToGrid w:val="0"/>
              <w:jc w:val="center"/>
              <w:rPr>
                <w:rFonts w:ascii="黑体" w:hAnsi="黑体" w:eastAsia="黑体"/>
                <w:b/>
                <w:sz w:val="18"/>
                <w:szCs w:val="18"/>
              </w:rPr>
            </w:pPr>
            <w:r>
              <w:rPr>
                <w:rFonts w:hint="eastAsia" w:ascii="黑体" w:hAnsi="黑体" w:eastAsia="黑体"/>
                <w:b/>
                <w:sz w:val="18"/>
                <w:szCs w:val="18"/>
              </w:rPr>
              <w:t>目标值</w:t>
            </w:r>
          </w:p>
        </w:tc>
        <w:tc>
          <w:tcPr>
            <w:tcW w:w="1134" w:type="dxa"/>
            <w:vAlign w:val="center"/>
          </w:tcPr>
          <w:p>
            <w:pPr>
              <w:widowControl/>
              <w:adjustRightInd w:val="0"/>
              <w:snapToGrid w:val="0"/>
              <w:jc w:val="center"/>
              <w:rPr>
                <w:rFonts w:ascii="黑体" w:hAnsi="黑体" w:eastAsia="黑体"/>
                <w:b/>
                <w:sz w:val="18"/>
                <w:szCs w:val="18"/>
              </w:rPr>
            </w:pPr>
            <w:r>
              <w:rPr>
                <w:rFonts w:hint="eastAsia" w:ascii="黑体" w:hAnsi="黑体" w:eastAsia="黑体"/>
                <w:b/>
                <w:sz w:val="18"/>
                <w:szCs w:val="18"/>
              </w:rPr>
              <w:t>2025年</w:t>
            </w:r>
          </w:p>
          <w:p>
            <w:pPr>
              <w:widowControl/>
              <w:adjustRightInd w:val="0"/>
              <w:snapToGrid w:val="0"/>
              <w:jc w:val="center"/>
              <w:rPr>
                <w:rFonts w:ascii="黑体" w:hAnsi="黑体" w:eastAsia="黑体"/>
                <w:b/>
                <w:sz w:val="18"/>
                <w:szCs w:val="18"/>
              </w:rPr>
            </w:pPr>
            <w:r>
              <w:rPr>
                <w:rFonts w:hint="eastAsia" w:ascii="黑体" w:hAnsi="黑体" w:eastAsia="黑体"/>
                <w:b/>
                <w:sz w:val="18"/>
                <w:szCs w:val="18"/>
              </w:rPr>
              <w:t>目标值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3" w:hRule="atLeast"/>
          <w:jc w:val="center"/>
        </w:trPr>
        <w:tc>
          <w:tcPr>
            <w:tcW w:w="699" w:type="dxa"/>
            <w:vAlign w:val="center"/>
          </w:tcPr>
          <w:p>
            <w:pPr>
              <w:widowControl/>
              <w:adjustRightInd w:val="0"/>
              <w:snapToGrid w:val="0"/>
              <w:jc w:val="center"/>
              <w:rPr>
                <w:sz w:val="18"/>
                <w:szCs w:val="18"/>
              </w:rPr>
            </w:pPr>
            <w:r>
              <w:rPr>
                <w:sz w:val="18"/>
                <w:szCs w:val="18"/>
              </w:rPr>
              <w:t>1</w:t>
            </w:r>
          </w:p>
        </w:tc>
        <w:tc>
          <w:tcPr>
            <w:tcW w:w="3686" w:type="dxa"/>
            <w:vAlign w:val="center"/>
          </w:tcPr>
          <w:p>
            <w:pPr>
              <w:widowControl/>
              <w:adjustRightInd w:val="0"/>
              <w:snapToGrid w:val="0"/>
              <w:jc w:val="center"/>
              <w:rPr>
                <w:sz w:val="18"/>
                <w:szCs w:val="18"/>
              </w:rPr>
            </w:pPr>
            <w:r>
              <w:rPr>
                <w:rFonts w:hint="eastAsia"/>
                <w:sz w:val="18"/>
                <w:szCs w:val="18"/>
              </w:rPr>
              <w:t>照护型床位占养老机构床位比例</w:t>
            </w:r>
          </w:p>
        </w:tc>
        <w:tc>
          <w:tcPr>
            <w:tcW w:w="992" w:type="dxa"/>
            <w:vAlign w:val="center"/>
          </w:tcPr>
          <w:p>
            <w:pPr>
              <w:widowControl/>
              <w:adjustRightInd w:val="0"/>
              <w:snapToGrid w:val="0"/>
              <w:jc w:val="center"/>
              <w:rPr>
                <w:sz w:val="18"/>
                <w:szCs w:val="18"/>
              </w:rPr>
            </w:pPr>
            <w:r>
              <w:rPr>
                <w:rFonts w:hint="eastAsia"/>
                <w:sz w:val="18"/>
                <w:szCs w:val="18"/>
              </w:rPr>
              <w:t>%</w:t>
            </w:r>
          </w:p>
        </w:tc>
        <w:tc>
          <w:tcPr>
            <w:tcW w:w="1134" w:type="dxa"/>
            <w:shd w:val="clear" w:color="auto" w:fill="FEF2CC" w:themeFill="accent4" w:themeFillTint="33"/>
            <w:vAlign w:val="center"/>
          </w:tcPr>
          <w:p>
            <w:pPr>
              <w:widowControl/>
              <w:adjustRightInd w:val="0"/>
              <w:snapToGrid w:val="0"/>
              <w:jc w:val="center"/>
              <w:rPr>
                <w:rFonts w:hint="default" w:eastAsiaTheme="minorEastAsia"/>
                <w:sz w:val="18"/>
                <w:szCs w:val="18"/>
                <w:lang w:val="en-US" w:eastAsia="zh-CN"/>
              </w:rPr>
            </w:pPr>
            <w:r>
              <w:rPr>
                <w:rFonts w:hint="eastAsia"/>
                <w:sz w:val="18"/>
                <w:szCs w:val="18"/>
                <w:lang w:val="en-US" w:eastAsia="zh-CN"/>
              </w:rPr>
              <w:t>--</w:t>
            </w:r>
          </w:p>
        </w:tc>
        <w:tc>
          <w:tcPr>
            <w:tcW w:w="1417" w:type="dxa"/>
            <w:vAlign w:val="center"/>
          </w:tcPr>
          <w:p>
            <w:pPr>
              <w:widowControl/>
              <w:adjustRightInd w:val="0"/>
              <w:snapToGrid w:val="0"/>
              <w:jc w:val="center"/>
              <w:rPr>
                <w:sz w:val="18"/>
                <w:szCs w:val="18"/>
              </w:rPr>
            </w:pPr>
            <w:r>
              <w:rPr>
                <w:rFonts w:hint="eastAsia"/>
                <w:sz w:val="18"/>
                <w:szCs w:val="18"/>
              </w:rPr>
              <w:t>56</w:t>
            </w:r>
          </w:p>
        </w:tc>
        <w:tc>
          <w:tcPr>
            <w:tcW w:w="1134" w:type="dxa"/>
            <w:vAlign w:val="center"/>
          </w:tcPr>
          <w:p>
            <w:pPr>
              <w:widowControl/>
              <w:adjustRightInd w:val="0"/>
              <w:snapToGrid w:val="0"/>
              <w:jc w:val="center"/>
              <w:rPr>
                <w:sz w:val="18"/>
                <w:szCs w:val="18"/>
              </w:rPr>
            </w:pPr>
            <w:r>
              <w:rPr>
                <w:rFonts w:hint="eastAsia"/>
                <w:sz w:val="18"/>
                <w:szCs w:val="18"/>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3" w:hRule="atLeast"/>
          <w:jc w:val="center"/>
        </w:trPr>
        <w:tc>
          <w:tcPr>
            <w:tcW w:w="699" w:type="dxa"/>
            <w:vAlign w:val="center"/>
          </w:tcPr>
          <w:p>
            <w:pPr>
              <w:widowControl/>
              <w:adjustRightInd w:val="0"/>
              <w:snapToGrid w:val="0"/>
              <w:jc w:val="center"/>
              <w:rPr>
                <w:sz w:val="18"/>
                <w:szCs w:val="18"/>
              </w:rPr>
            </w:pPr>
            <w:r>
              <w:rPr>
                <w:rFonts w:hint="eastAsia"/>
                <w:sz w:val="18"/>
                <w:szCs w:val="18"/>
              </w:rPr>
              <w:t>2</w:t>
            </w:r>
          </w:p>
        </w:tc>
        <w:tc>
          <w:tcPr>
            <w:tcW w:w="3686" w:type="dxa"/>
            <w:vAlign w:val="center"/>
          </w:tcPr>
          <w:p>
            <w:pPr>
              <w:widowControl/>
              <w:adjustRightInd w:val="0"/>
              <w:snapToGrid w:val="0"/>
              <w:jc w:val="center"/>
              <w:rPr>
                <w:sz w:val="18"/>
                <w:szCs w:val="18"/>
              </w:rPr>
            </w:pPr>
            <w:r>
              <w:rPr>
                <w:rFonts w:hint="eastAsia"/>
                <w:sz w:val="18"/>
                <w:szCs w:val="18"/>
              </w:rPr>
              <w:t>每万老年人拥有养老机构认知障碍床位数</w:t>
            </w:r>
          </w:p>
        </w:tc>
        <w:tc>
          <w:tcPr>
            <w:tcW w:w="992" w:type="dxa"/>
            <w:vAlign w:val="center"/>
          </w:tcPr>
          <w:p>
            <w:pPr>
              <w:widowControl/>
              <w:adjustRightInd w:val="0"/>
              <w:snapToGrid w:val="0"/>
              <w:jc w:val="center"/>
              <w:rPr>
                <w:sz w:val="18"/>
                <w:szCs w:val="18"/>
              </w:rPr>
            </w:pPr>
            <w:r>
              <w:rPr>
                <w:rFonts w:hint="eastAsia"/>
                <w:sz w:val="18"/>
                <w:szCs w:val="18"/>
              </w:rPr>
              <w:t>张</w:t>
            </w:r>
          </w:p>
        </w:tc>
        <w:tc>
          <w:tcPr>
            <w:tcW w:w="1134" w:type="dxa"/>
            <w:shd w:val="clear" w:color="auto" w:fill="FEF2CC" w:themeFill="accent4" w:themeFillTint="33"/>
            <w:vAlign w:val="center"/>
          </w:tcPr>
          <w:p>
            <w:pPr>
              <w:widowControl/>
              <w:adjustRightInd w:val="0"/>
              <w:snapToGrid w:val="0"/>
              <w:jc w:val="center"/>
              <w:rPr>
                <w:rFonts w:hint="default" w:eastAsiaTheme="minorEastAsia"/>
                <w:sz w:val="18"/>
                <w:szCs w:val="18"/>
                <w:lang w:val="en-US" w:eastAsia="zh-CN"/>
              </w:rPr>
            </w:pPr>
            <w:r>
              <w:rPr>
                <w:rFonts w:hint="eastAsia"/>
                <w:sz w:val="18"/>
                <w:szCs w:val="18"/>
                <w:lang w:val="en-US" w:eastAsia="zh-CN"/>
              </w:rPr>
              <w:t>--</w:t>
            </w:r>
          </w:p>
        </w:tc>
        <w:tc>
          <w:tcPr>
            <w:tcW w:w="1417" w:type="dxa"/>
            <w:vAlign w:val="center"/>
          </w:tcPr>
          <w:p>
            <w:pPr>
              <w:widowControl/>
              <w:adjustRightInd w:val="0"/>
              <w:snapToGrid w:val="0"/>
              <w:jc w:val="center"/>
              <w:rPr>
                <w:sz w:val="18"/>
                <w:szCs w:val="18"/>
                <w:highlight w:val="yellow"/>
              </w:rPr>
            </w:pPr>
            <w:r>
              <w:rPr>
                <w:sz w:val="18"/>
                <w:szCs w:val="18"/>
              </w:rPr>
              <w:t>10</w:t>
            </w:r>
          </w:p>
        </w:tc>
        <w:tc>
          <w:tcPr>
            <w:tcW w:w="1134" w:type="dxa"/>
            <w:vAlign w:val="center"/>
          </w:tcPr>
          <w:p>
            <w:pPr>
              <w:widowControl/>
              <w:adjustRightInd w:val="0"/>
              <w:snapToGrid w:val="0"/>
              <w:jc w:val="center"/>
              <w:rPr>
                <w:sz w:val="18"/>
                <w:szCs w:val="18"/>
              </w:rPr>
            </w:pPr>
            <w:r>
              <w:rPr>
                <w:sz w:val="18"/>
                <w:szCs w:val="18"/>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8" w:hRule="atLeast"/>
          <w:jc w:val="center"/>
        </w:trPr>
        <w:tc>
          <w:tcPr>
            <w:tcW w:w="699" w:type="dxa"/>
            <w:vAlign w:val="center"/>
          </w:tcPr>
          <w:p>
            <w:pPr>
              <w:widowControl/>
              <w:adjustRightInd w:val="0"/>
              <w:snapToGrid w:val="0"/>
              <w:jc w:val="center"/>
              <w:rPr>
                <w:sz w:val="18"/>
                <w:szCs w:val="18"/>
              </w:rPr>
            </w:pPr>
            <w:r>
              <w:rPr>
                <w:rFonts w:hint="eastAsia"/>
                <w:sz w:val="18"/>
                <w:szCs w:val="18"/>
              </w:rPr>
              <w:t>3</w:t>
            </w:r>
          </w:p>
        </w:tc>
        <w:tc>
          <w:tcPr>
            <w:tcW w:w="3686" w:type="dxa"/>
            <w:vAlign w:val="center"/>
          </w:tcPr>
          <w:p>
            <w:pPr>
              <w:widowControl/>
              <w:adjustRightInd w:val="0"/>
              <w:snapToGrid w:val="0"/>
              <w:jc w:val="center"/>
              <w:rPr>
                <w:rFonts w:ascii="宋体" w:hAnsi="宋体"/>
                <w:sz w:val="18"/>
                <w:szCs w:val="18"/>
              </w:rPr>
            </w:pPr>
            <w:r>
              <w:rPr>
                <w:rFonts w:hint="eastAsia" w:ascii="宋体" w:hAnsi="宋体"/>
                <w:sz w:val="18"/>
                <w:szCs w:val="18"/>
              </w:rPr>
              <w:t>街道社区照护中心数</w:t>
            </w:r>
          </w:p>
        </w:tc>
        <w:tc>
          <w:tcPr>
            <w:tcW w:w="992" w:type="dxa"/>
            <w:vAlign w:val="center"/>
          </w:tcPr>
          <w:p>
            <w:pPr>
              <w:widowControl/>
              <w:adjustRightInd w:val="0"/>
              <w:snapToGrid w:val="0"/>
              <w:jc w:val="center"/>
              <w:rPr>
                <w:sz w:val="18"/>
                <w:szCs w:val="18"/>
              </w:rPr>
            </w:pPr>
            <w:r>
              <w:rPr>
                <w:rFonts w:hint="eastAsia"/>
                <w:sz w:val="18"/>
                <w:szCs w:val="18"/>
              </w:rPr>
              <w:t>个</w:t>
            </w:r>
          </w:p>
        </w:tc>
        <w:tc>
          <w:tcPr>
            <w:tcW w:w="1134" w:type="dxa"/>
            <w:shd w:val="clear" w:color="auto" w:fill="FEF2CC" w:themeFill="accent4" w:themeFillTint="33"/>
            <w:vAlign w:val="center"/>
          </w:tcPr>
          <w:p>
            <w:pPr>
              <w:widowControl/>
              <w:adjustRightInd w:val="0"/>
              <w:snapToGrid w:val="0"/>
              <w:jc w:val="center"/>
              <w:rPr>
                <w:rFonts w:hint="default" w:eastAsiaTheme="minorEastAsia"/>
                <w:sz w:val="18"/>
                <w:szCs w:val="18"/>
                <w:lang w:val="en-US" w:eastAsia="zh-CN"/>
              </w:rPr>
            </w:pPr>
            <w:r>
              <w:rPr>
                <w:rFonts w:hint="eastAsia"/>
                <w:sz w:val="18"/>
                <w:szCs w:val="18"/>
                <w:lang w:val="en-US" w:eastAsia="zh-CN"/>
              </w:rPr>
              <w:t>--</w:t>
            </w:r>
          </w:p>
        </w:tc>
        <w:tc>
          <w:tcPr>
            <w:tcW w:w="1417" w:type="dxa"/>
            <w:vAlign w:val="center"/>
          </w:tcPr>
          <w:p>
            <w:pPr>
              <w:widowControl/>
              <w:adjustRightInd w:val="0"/>
              <w:snapToGrid w:val="0"/>
              <w:jc w:val="center"/>
              <w:rPr>
                <w:sz w:val="18"/>
                <w:szCs w:val="18"/>
              </w:rPr>
            </w:pPr>
            <w:r>
              <w:rPr>
                <w:sz w:val="18"/>
                <w:szCs w:val="18"/>
              </w:rPr>
              <w:t>1</w:t>
            </w:r>
          </w:p>
        </w:tc>
        <w:tc>
          <w:tcPr>
            <w:tcW w:w="1134" w:type="dxa"/>
            <w:vAlign w:val="center"/>
          </w:tcPr>
          <w:p>
            <w:pPr>
              <w:widowControl/>
              <w:adjustRightInd w:val="0"/>
              <w:snapToGrid w:val="0"/>
              <w:jc w:val="center"/>
              <w:rPr>
                <w:sz w:val="18"/>
                <w:szCs w:val="18"/>
              </w:rPr>
            </w:pPr>
            <w:r>
              <w:rPr>
                <w:rFonts w:hint="eastAsia"/>
                <w:sz w:val="18"/>
                <w:szCs w:val="18"/>
              </w:rPr>
              <w:t>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8" w:hRule="atLeast"/>
          <w:jc w:val="center"/>
        </w:trPr>
        <w:tc>
          <w:tcPr>
            <w:tcW w:w="699" w:type="dxa"/>
            <w:vAlign w:val="center"/>
          </w:tcPr>
          <w:p>
            <w:pPr>
              <w:widowControl/>
              <w:adjustRightInd w:val="0"/>
              <w:snapToGrid w:val="0"/>
              <w:jc w:val="center"/>
              <w:rPr>
                <w:sz w:val="18"/>
                <w:szCs w:val="18"/>
              </w:rPr>
            </w:pPr>
            <w:r>
              <w:rPr>
                <w:sz w:val="18"/>
                <w:szCs w:val="18"/>
              </w:rPr>
              <w:t>4</w:t>
            </w:r>
          </w:p>
        </w:tc>
        <w:tc>
          <w:tcPr>
            <w:tcW w:w="3686" w:type="dxa"/>
            <w:vAlign w:val="center"/>
          </w:tcPr>
          <w:p>
            <w:pPr>
              <w:widowControl/>
              <w:adjustRightInd w:val="0"/>
              <w:snapToGrid w:val="0"/>
              <w:jc w:val="center"/>
              <w:rPr>
                <w:rFonts w:ascii="宋体" w:hAnsi="宋体"/>
                <w:sz w:val="18"/>
                <w:szCs w:val="18"/>
              </w:rPr>
            </w:pPr>
            <w:r>
              <w:rPr>
                <w:rFonts w:hint="eastAsia" w:ascii="宋体" w:hAnsi="宋体"/>
                <w:sz w:val="18"/>
                <w:szCs w:val="18"/>
              </w:rPr>
              <w:t>康养联合体数</w:t>
            </w:r>
          </w:p>
        </w:tc>
        <w:tc>
          <w:tcPr>
            <w:tcW w:w="992" w:type="dxa"/>
            <w:vAlign w:val="center"/>
          </w:tcPr>
          <w:p>
            <w:pPr>
              <w:widowControl/>
              <w:adjustRightInd w:val="0"/>
              <w:snapToGrid w:val="0"/>
              <w:jc w:val="center"/>
              <w:rPr>
                <w:sz w:val="18"/>
                <w:szCs w:val="18"/>
              </w:rPr>
            </w:pPr>
            <w:r>
              <w:rPr>
                <w:rFonts w:hint="eastAsia"/>
                <w:sz w:val="18"/>
                <w:szCs w:val="18"/>
              </w:rPr>
              <w:t>个</w:t>
            </w:r>
          </w:p>
        </w:tc>
        <w:tc>
          <w:tcPr>
            <w:tcW w:w="1134" w:type="dxa"/>
            <w:shd w:val="clear" w:color="auto" w:fill="FEF2CC" w:themeFill="accent4" w:themeFillTint="33"/>
            <w:vAlign w:val="center"/>
          </w:tcPr>
          <w:p>
            <w:pPr>
              <w:widowControl/>
              <w:adjustRightInd w:val="0"/>
              <w:snapToGrid w:val="0"/>
              <w:jc w:val="center"/>
              <w:rPr>
                <w:sz w:val="18"/>
                <w:szCs w:val="18"/>
              </w:rPr>
            </w:pPr>
            <w:r>
              <w:rPr>
                <w:sz w:val="18"/>
                <w:szCs w:val="18"/>
              </w:rPr>
              <w:t>--</w:t>
            </w:r>
          </w:p>
        </w:tc>
        <w:tc>
          <w:tcPr>
            <w:tcW w:w="1417" w:type="dxa"/>
            <w:vAlign w:val="center"/>
          </w:tcPr>
          <w:p>
            <w:pPr>
              <w:widowControl/>
              <w:adjustRightInd w:val="0"/>
              <w:snapToGrid w:val="0"/>
              <w:jc w:val="center"/>
              <w:rPr>
                <w:sz w:val="18"/>
                <w:szCs w:val="18"/>
              </w:rPr>
            </w:pPr>
            <w:r>
              <w:rPr>
                <w:rFonts w:hint="eastAsia"/>
                <w:sz w:val="18"/>
                <w:szCs w:val="18"/>
              </w:rPr>
              <w:t>40</w:t>
            </w:r>
          </w:p>
        </w:tc>
        <w:tc>
          <w:tcPr>
            <w:tcW w:w="1134" w:type="dxa"/>
            <w:vAlign w:val="center"/>
          </w:tcPr>
          <w:p>
            <w:pPr>
              <w:widowControl/>
              <w:adjustRightInd w:val="0"/>
              <w:snapToGrid w:val="0"/>
              <w:jc w:val="center"/>
              <w:rPr>
                <w:sz w:val="18"/>
                <w:szCs w:val="18"/>
              </w:rPr>
            </w:pPr>
            <w:r>
              <w:rPr>
                <w:rFonts w:hint="eastAsia"/>
                <w:sz w:val="18"/>
                <w:szCs w:val="18"/>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8" w:hRule="atLeast"/>
          <w:jc w:val="center"/>
        </w:trPr>
        <w:tc>
          <w:tcPr>
            <w:tcW w:w="699" w:type="dxa"/>
            <w:vAlign w:val="center"/>
          </w:tcPr>
          <w:p>
            <w:pPr>
              <w:widowControl/>
              <w:adjustRightInd w:val="0"/>
              <w:snapToGrid w:val="0"/>
              <w:jc w:val="center"/>
              <w:rPr>
                <w:sz w:val="18"/>
                <w:szCs w:val="18"/>
              </w:rPr>
            </w:pPr>
            <w:r>
              <w:rPr>
                <w:sz w:val="18"/>
                <w:szCs w:val="18"/>
              </w:rPr>
              <w:t>5</w:t>
            </w:r>
          </w:p>
        </w:tc>
        <w:tc>
          <w:tcPr>
            <w:tcW w:w="3686" w:type="dxa"/>
            <w:vAlign w:val="center"/>
          </w:tcPr>
          <w:p>
            <w:pPr>
              <w:widowControl/>
              <w:adjustRightInd w:val="0"/>
              <w:snapToGrid w:val="0"/>
              <w:jc w:val="center"/>
              <w:rPr>
                <w:rFonts w:ascii="宋体" w:hAnsi="宋体"/>
                <w:sz w:val="18"/>
                <w:szCs w:val="18"/>
              </w:rPr>
            </w:pPr>
            <w:r>
              <w:rPr>
                <w:rFonts w:hint="eastAsia" w:ascii="宋体" w:hAnsi="宋体"/>
                <w:sz w:val="18"/>
                <w:szCs w:val="18"/>
              </w:rPr>
              <w:t>市县区康复辅具租赁销售中心覆盖率</w:t>
            </w:r>
          </w:p>
        </w:tc>
        <w:tc>
          <w:tcPr>
            <w:tcW w:w="992" w:type="dxa"/>
            <w:vAlign w:val="center"/>
          </w:tcPr>
          <w:p>
            <w:pPr>
              <w:widowControl/>
              <w:adjustRightInd w:val="0"/>
              <w:snapToGrid w:val="0"/>
              <w:jc w:val="center"/>
              <w:rPr>
                <w:sz w:val="18"/>
                <w:szCs w:val="18"/>
              </w:rPr>
            </w:pPr>
            <w:r>
              <w:rPr>
                <w:rFonts w:hint="eastAsia"/>
                <w:sz w:val="18"/>
                <w:szCs w:val="18"/>
              </w:rPr>
              <w:t>%</w:t>
            </w:r>
          </w:p>
        </w:tc>
        <w:tc>
          <w:tcPr>
            <w:tcW w:w="1134" w:type="dxa"/>
            <w:shd w:val="clear" w:color="auto" w:fill="FEF2CC" w:themeFill="accent4" w:themeFillTint="33"/>
            <w:vAlign w:val="center"/>
          </w:tcPr>
          <w:p>
            <w:pPr>
              <w:widowControl/>
              <w:adjustRightInd w:val="0"/>
              <w:snapToGrid w:val="0"/>
              <w:jc w:val="center"/>
              <w:rPr>
                <w:rFonts w:hint="default" w:eastAsiaTheme="minorEastAsia"/>
                <w:sz w:val="18"/>
                <w:szCs w:val="18"/>
                <w:lang w:val="en-US" w:eastAsia="zh-CN"/>
              </w:rPr>
            </w:pPr>
            <w:r>
              <w:rPr>
                <w:rFonts w:hint="eastAsia"/>
                <w:sz w:val="18"/>
                <w:szCs w:val="18"/>
                <w:lang w:val="en-US" w:eastAsia="zh-CN"/>
              </w:rPr>
              <w:t>--</w:t>
            </w:r>
          </w:p>
        </w:tc>
        <w:tc>
          <w:tcPr>
            <w:tcW w:w="1417" w:type="dxa"/>
            <w:vAlign w:val="center"/>
          </w:tcPr>
          <w:p>
            <w:pPr>
              <w:widowControl/>
              <w:adjustRightInd w:val="0"/>
              <w:snapToGrid w:val="0"/>
              <w:jc w:val="center"/>
              <w:rPr>
                <w:sz w:val="18"/>
                <w:szCs w:val="18"/>
              </w:rPr>
            </w:pPr>
            <w:r>
              <w:rPr>
                <w:rFonts w:hint="eastAsia"/>
                <w:sz w:val="18"/>
                <w:szCs w:val="18"/>
              </w:rPr>
              <w:t>40</w:t>
            </w:r>
          </w:p>
        </w:tc>
        <w:tc>
          <w:tcPr>
            <w:tcW w:w="1134" w:type="dxa"/>
            <w:vAlign w:val="center"/>
          </w:tcPr>
          <w:p>
            <w:pPr>
              <w:widowControl/>
              <w:adjustRightInd w:val="0"/>
              <w:snapToGrid w:val="0"/>
              <w:jc w:val="center"/>
              <w:rPr>
                <w:sz w:val="18"/>
                <w:szCs w:val="18"/>
              </w:rPr>
            </w:pPr>
            <w:r>
              <w:rPr>
                <w:rFonts w:hint="eastAsia"/>
                <w:sz w:val="18"/>
                <w:szCs w:val="18"/>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8" w:hRule="atLeast"/>
          <w:jc w:val="center"/>
        </w:trPr>
        <w:tc>
          <w:tcPr>
            <w:tcW w:w="699" w:type="dxa"/>
            <w:vAlign w:val="center"/>
          </w:tcPr>
          <w:p>
            <w:pPr>
              <w:widowControl/>
              <w:adjustRightInd w:val="0"/>
              <w:snapToGrid w:val="0"/>
              <w:jc w:val="center"/>
              <w:rPr>
                <w:sz w:val="18"/>
                <w:szCs w:val="18"/>
              </w:rPr>
            </w:pPr>
            <w:r>
              <w:rPr>
                <w:rFonts w:hint="eastAsia"/>
                <w:sz w:val="18"/>
                <w:szCs w:val="18"/>
              </w:rPr>
              <w:t>6</w:t>
            </w:r>
          </w:p>
        </w:tc>
        <w:tc>
          <w:tcPr>
            <w:tcW w:w="3686" w:type="dxa"/>
            <w:vAlign w:val="center"/>
          </w:tcPr>
          <w:p>
            <w:pPr>
              <w:widowControl/>
              <w:adjustRightInd w:val="0"/>
              <w:snapToGrid w:val="0"/>
              <w:jc w:val="center"/>
              <w:rPr>
                <w:rFonts w:ascii="宋体" w:hAnsi="宋体"/>
                <w:sz w:val="18"/>
                <w:szCs w:val="18"/>
              </w:rPr>
            </w:pPr>
            <w:r>
              <w:rPr>
                <w:rFonts w:hint="eastAsia" w:ascii="宋体" w:hAnsi="宋体"/>
                <w:sz w:val="18"/>
                <w:szCs w:val="18"/>
              </w:rPr>
              <w:t xml:space="preserve">智慧/AI养老应用场景数       </w:t>
            </w:r>
            <w:r>
              <w:rPr>
                <w:rFonts w:ascii="宋体" w:hAnsi="宋体"/>
                <w:sz w:val="18"/>
                <w:szCs w:val="18"/>
              </w:rPr>
              <w:t xml:space="preserve">                  </w:t>
            </w:r>
          </w:p>
        </w:tc>
        <w:tc>
          <w:tcPr>
            <w:tcW w:w="992" w:type="dxa"/>
            <w:vAlign w:val="center"/>
          </w:tcPr>
          <w:p>
            <w:pPr>
              <w:widowControl/>
              <w:adjustRightInd w:val="0"/>
              <w:snapToGrid w:val="0"/>
              <w:jc w:val="center"/>
              <w:rPr>
                <w:sz w:val="18"/>
                <w:szCs w:val="18"/>
              </w:rPr>
            </w:pPr>
            <w:r>
              <w:rPr>
                <w:rFonts w:hint="eastAsia"/>
                <w:sz w:val="18"/>
                <w:szCs w:val="18"/>
              </w:rPr>
              <w:t>个</w:t>
            </w:r>
          </w:p>
        </w:tc>
        <w:tc>
          <w:tcPr>
            <w:tcW w:w="1134" w:type="dxa"/>
            <w:shd w:val="clear" w:color="auto" w:fill="FEF2CC" w:themeFill="accent4" w:themeFillTint="33"/>
            <w:vAlign w:val="center"/>
          </w:tcPr>
          <w:p>
            <w:pPr>
              <w:widowControl/>
              <w:adjustRightInd w:val="0"/>
              <w:snapToGrid w:val="0"/>
              <w:jc w:val="center"/>
              <w:rPr>
                <w:sz w:val="18"/>
                <w:szCs w:val="18"/>
              </w:rPr>
            </w:pPr>
            <w:r>
              <w:rPr>
                <w:sz w:val="18"/>
                <w:szCs w:val="18"/>
              </w:rPr>
              <w:t>--</w:t>
            </w:r>
          </w:p>
        </w:tc>
        <w:tc>
          <w:tcPr>
            <w:tcW w:w="1417" w:type="dxa"/>
            <w:vAlign w:val="center"/>
          </w:tcPr>
          <w:p>
            <w:pPr>
              <w:widowControl/>
              <w:adjustRightInd w:val="0"/>
              <w:snapToGrid w:val="0"/>
              <w:jc w:val="center"/>
              <w:rPr>
                <w:sz w:val="18"/>
                <w:szCs w:val="18"/>
              </w:rPr>
            </w:pPr>
            <w:r>
              <w:rPr>
                <w:rFonts w:hint="eastAsia"/>
                <w:sz w:val="18"/>
                <w:szCs w:val="18"/>
              </w:rPr>
              <w:t>1</w:t>
            </w:r>
          </w:p>
        </w:tc>
        <w:tc>
          <w:tcPr>
            <w:tcW w:w="1134" w:type="dxa"/>
            <w:vAlign w:val="center"/>
          </w:tcPr>
          <w:p>
            <w:pPr>
              <w:widowControl/>
              <w:adjustRightInd w:val="0"/>
              <w:snapToGrid w:val="0"/>
              <w:jc w:val="center"/>
              <w:rPr>
                <w:sz w:val="18"/>
                <w:szCs w:val="18"/>
              </w:rPr>
            </w:pPr>
            <w:r>
              <w:rPr>
                <w:rFonts w:hint="eastAsia"/>
                <w:sz w:val="18"/>
                <w:szCs w:val="18"/>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8" w:hRule="atLeast"/>
          <w:jc w:val="center"/>
        </w:trPr>
        <w:tc>
          <w:tcPr>
            <w:tcW w:w="699" w:type="dxa"/>
            <w:vAlign w:val="center"/>
          </w:tcPr>
          <w:p>
            <w:pPr>
              <w:widowControl/>
              <w:adjustRightInd w:val="0"/>
              <w:snapToGrid w:val="0"/>
              <w:jc w:val="center"/>
              <w:rPr>
                <w:sz w:val="18"/>
                <w:szCs w:val="18"/>
              </w:rPr>
            </w:pPr>
            <w:r>
              <w:rPr>
                <w:rFonts w:hint="eastAsia"/>
                <w:sz w:val="18"/>
                <w:szCs w:val="18"/>
              </w:rPr>
              <w:t>7</w:t>
            </w:r>
          </w:p>
        </w:tc>
        <w:tc>
          <w:tcPr>
            <w:tcW w:w="3686" w:type="dxa"/>
            <w:vAlign w:val="center"/>
          </w:tcPr>
          <w:p>
            <w:pPr>
              <w:widowControl/>
              <w:adjustRightInd w:val="0"/>
              <w:snapToGrid w:val="0"/>
              <w:jc w:val="center"/>
              <w:rPr>
                <w:rFonts w:ascii="宋体" w:hAnsi="宋体"/>
                <w:sz w:val="18"/>
                <w:szCs w:val="18"/>
              </w:rPr>
            </w:pPr>
            <w:r>
              <w:rPr>
                <w:rFonts w:hint="eastAsia" w:ascii="宋体" w:hAnsi="宋体"/>
                <w:sz w:val="18"/>
                <w:szCs w:val="18"/>
              </w:rPr>
              <w:t>市县区智慧养老院数</w:t>
            </w:r>
          </w:p>
        </w:tc>
        <w:tc>
          <w:tcPr>
            <w:tcW w:w="992" w:type="dxa"/>
            <w:vAlign w:val="center"/>
          </w:tcPr>
          <w:p>
            <w:pPr>
              <w:widowControl/>
              <w:adjustRightInd w:val="0"/>
              <w:snapToGrid w:val="0"/>
              <w:jc w:val="center"/>
              <w:rPr>
                <w:sz w:val="18"/>
                <w:szCs w:val="18"/>
              </w:rPr>
            </w:pPr>
            <w:r>
              <w:rPr>
                <w:rFonts w:hint="eastAsia"/>
                <w:sz w:val="18"/>
                <w:szCs w:val="18"/>
              </w:rPr>
              <w:t>个</w:t>
            </w:r>
          </w:p>
        </w:tc>
        <w:tc>
          <w:tcPr>
            <w:tcW w:w="1134" w:type="dxa"/>
            <w:shd w:val="clear" w:color="auto" w:fill="FEF2CC" w:themeFill="accent4" w:themeFillTint="33"/>
            <w:vAlign w:val="center"/>
          </w:tcPr>
          <w:p>
            <w:pPr>
              <w:widowControl/>
              <w:adjustRightInd w:val="0"/>
              <w:snapToGrid w:val="0"/>
              <w:jc w:val="center"/>
              <w:rPr>
                <w:rFonts w:hint="default" w:eastAsiaTheme="minorEastAsia"/>
                <w:sz w:val="18"/>
                <w:szCs w:val="18"/>
                <w:lang w:val="en-US" w:eastAsia="zh-CN"/>
              </w:rPr>
            </w:pPr>
            <w:r>
              <w:rPr>
                <w:rFonts w:hint="eastAsia"/>
                <w:sz w:val="18"/>
                <w:szCs w:val="18"/>
                <w:lang w:val="en-US" w:eastAsia="zh-CN"/>
              </w:rPr>
              <w:t>--</w:t>
            </w:r>
          </w:p>
        </w:tc>
        <w:tc>
          <w:tcPr>
            <w:tcW w:w="1417" w:type="dxa"/>
            <w:vAlign w:val="center"/>
          </w:tcPr>
          <w:p>
            <w:pPr>
              <w:widowControl/>
              <w:adjustRightInd w:val="0"/>
              <w:snapToGrid w:val="0"/>
              <w:jc w:val="center"/>
              <w:rPr>
                <w:sz w:val="18"/>
                <w:szCs w:val="18"/>
              </w:rPr>
            </w:pPr>
            <w:r>
              <w:rPr>
                <w:sz w:val="18"/>
                <w:szCs w:val="18"/>
              </w:rPr>
              <w:t>1</w:t>
            </w:r>
          </w:p>
        </w:tc>
        <w:tc>
          <w:tcPr>
            <w:tcW w:w="1134" w:type="dxa"/>
            <w:vAlign w:val="center"/>
          </w:tcPr>
          <w:p>
            <w:pPr>
              <w:widowControl/>
              <w:adjustRightInd w:val="0"/>
              <w:snapToGrid w:val="0"/>
              <w:jc w:val="center"/>
              <w:rPr>
                <w:sz w:val="18"/>
                <w:szCs w:val="18"/>
              </w:rPr>
            </w:pPr>
            <w:r>
              <w:rPr>
                <w:rFonts w:hint="eastAsia"/>
                <w:sz w:val="18"/>
                <w:szCs w:val="18"/>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atLeast"/>
          <w:jc w:val="center"/>
        </w:trPr>
        <w:tc>
          <w:tcPr>
            <w:tcW w:w="699" w:type="dxa"/>
            <w:vAlign w:val="center"/>
          </w:tcPr>
          <w:p>
            <w:pPr>
              <w:widowControl/>
              <w:adjustRightInd w:val="0"/>
              <w:snapToGrid w:val="0"/>
              <w:jc w:val="center"/>
              <w:rPr>
                <w:sz w:val="18"/>
                <w:szCs w:val="18"/>
              </w:rPr>
            </w:pPr>
            <w:r>
              <w:rPr>
                <w:rFonts w:hint="eastAsia"/>
                <w:sz w:val="18"/>
                <w:szCs w:val="18"/>
              </w:rPr>
              <w:t>8</w:t>
            </w:r>
          </w:p>
        </w:tc>
        <w:tc>
          <w:tcPr>
            <w:tcW w:w="3686" w:type="dxa"/>
            <w:vAlign w:val="center"/>
          </w:tcPr>
          <w:p>
            <w:pPr>
              <w:widowControl/>
              <w:adjustRightInd w:val="0"/>
              <w:snapToGrid w:val="0"/>
              <w:jc w:val="center"/>
              <w:rPr>
                <w:rFonts w:ascii="宋体" w:hAnsi="宋体"/>
                <w:sz w:val="18"/>
                <w:szCs w:val="18"/>
              </w:rPr>
            </w:pPr>
            <w:r>
              <w:rPr>
                <w:rFonts w:hint="eastAsia" w:ascii="宋体" w:hAnsi="宋体"/>
                <w:sz w:val="18"/>
                <w:szCs w:val="18"/>
              </w:rPr>
              <w:t>每万老年人拥有持证养老护理员数</w:t>
            </w:r>
          </w:p>
        </w:tc>
        <w:tc>
          <w:tcPr>
            <w:tcW w:w="992" w:type="dxa"/>
            <w:vAlign w:val="center"/>
          </w:tcPr>
          <w:p>
            <w:pPr>
              <w:widowControl/>
              <w:adjustRightInd w:val="0"/>
              <w:snapToGrid w:val="0"/>
              <w:jc w:val="center"/>
              <w:rPr>
                <w:sz w:val="18"/>
                <w:szCs w:val="18"/>
              </w:rPr>
            </w:pPr>
            <w:r>
              <w:rPr>
                <w:rFonts w:hint="eastAsia"/>
                <w:sz w:val="18"/>
                <w:szCs w:val="18"/>
              </w:rPr>
              <w:t>人</w:t>
            </w:r>
          </w:p>
        </w:tc>
        <w:tc>
          <w:tcPr>
            <w:tcW w:w="1134" w:type="dxa"/>
            <w:shd w:val="clear" w:color="auto" w:fill="FEF2CC" w:themeFill="accent4" w:themeFillTint="33"/>
            <w:vAlign w:val="center"/>
          </w:tcPr>
          <w:p>
            <w:pPr>
              <w:widowControl/>
              <w:adjustRightInd w:val="0"/>
              <w:snapToGrid w:val="0"/>
              <w:jc w:val="center"/>
              <w:rPr>
                <w:rFonts w:hint="default" w:eastAsiaTheme="minorEastAsia"/>
                <w:sz w:val="18"/>
                <w:szCs w:val="18"/>
                <w:lang w:val="en-US" w:eastAsia="zh-CN"/>
              </w:rPr>
            </w:pPr>
            <w:r>
              <w:rPr>
                <w:rFonts w:hint="eastAsia"/>
                <w:sz w:val="18"/>
                <w:szCs w:val="18"/>
                <w:lang w:val="en-US" w:eastAsia="zh-CN"/>
              </w:rPr>
              <w:t>--</w:t>
            </w:r>
          </w:p>
        </w:tc>
        <w:tc>
          <w:tcPr>
            <w:tcW w:w="1417" w:type="dxa"/>
            <w:vAlign w:val="center"/>
          </w:tcPr>
          <w:p>
            <w:pPr>
              <w:widowControl/>
              <w:adjustRightInd w:val="0"/>
              <w:snapToGrid w:val="0"/>
              <w:jc w:val="center"/>
              <w:rPr>
                <w:sz w:val="18"/>
                <w:szCs w:val="18"/>
              </w:rPr>
            </w:pPr>
            <w:r>
              <w:rPr>
                <w:sz w:val="18"/>
                <w:szCs w:val="18"/>
              </w:rPr>
              <w:t>20</w:t>
            </w:r>
          </w:p>
        </w:tc>
        <w:tc>
          <w:tcPr>
            <w:tcW w:w="1134" w:type="dxa"/>
            <w:vAlign w:val="center"/>
          </w:tcPr>
          <w:p>
            <w:pPr>
              <w:widowControl/>
              <w:adjustRightInd w:val="0"/>
              <w:snapToGrid w:val="0"/>
              <w:jc w:val="center"/>
              <w:rPr>
                <w:sz w:val="18"/>
                <w:szCs w:val="18"/>
              </w:rPr>
            </w:pPr>
            <w:r>
              <w:rPr>
                <w:sz w:val="18"/>
                <w:szCs w:val="18"/>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atLeast"/>
          <w:jc w:val="center"/>
        </w:trPr>
        <w:tc>
          <w:tcPr>
            <w:tcW w:w="699" w:type="dxa"/>
            <w:vAlign w:val="center"/>
          </w:tcPr>
          <w:p>
            <w:pPr>
              <w:widowControl/>
              <w:adjustRightInd w:val="0"/>
              <w:snapToGrid w:val="0"/>
              <w:jc w:val="center"/>
              <w:rPr>
                <w:sz w:val="18"/>
                <w:szCs w:val="18"/>
              </w:rPr>
            </w:pPr>
            <w:r>
              <w:rPr>
                <w:rFonts w:hint="eastAsia"/>
                <w:sz w:val="18"/>
                <w:szCs w:val="18"/>
              </w:rPr>
              <w:t>9</w:t>
            </w:r>
          </w:p>
        </w:tc>
        <w:tc>
          <w:tcPr>
            <w:tcW w:w="3686" w:type="dxa"/>
            <w:vAlign w:val="center"/>
          </w:tcPr>
          <w:p>
            <w:pPr>
              <w:widowControl/>
              <w:adjustRightInd w:val="0"/>
              <w:snapToGrid w:val="0"/>
              <w:jc w:val="center"/>
              <w:rPr>
                <w:rFonts w:ascii="宋体" w:hAnsi="宋体"/>
                <w:sz w:val="18"/>
                <w:szCs w:val="18"/>
              </w:rPr>
            </w:pPr>
            <w:r>
              <w:rPr>
                <w:rFonts w:hint="eastAsia" w:ascii="宋体" w:hAnsi="宋体"/>
                <w:sz w:val="18"/>
                <w:szCs w:val="18"/>
              </w:rPr>
              <w:t>高级护理员、技师级护理员在护理员队伍中的比例</w:t>
            </w:r>
          </w:p>
        </w:tc>
        <w:tc>
          <w:tcPr>
            <w:tcW w:w="992" w:type="dxa"/>
            <w:vAlign w:val="center"/>
          </w:tcPr>
          <w:p>
            <w:pPr>
              <w:widowControl/>
              <w:adjustRightInd w:val="0"/>
              <w:snapToGrid w:val="0"/>
              <w:jc w:val="center"/>
              <w:rPr>
                <w:sz w:val="18"/>
                <w:szCs w:val="18"/>
              </w:rPr>
            </w:pPr>
            <w:r>
              <w:rPr>
                <w:rFonts w:hint="eastAsia"/>
                <w:sz w:val="18"/>
                <w:szCs w:val="18"/>
              </w:rPr>
              <w:t>%</w:t>
            </w:r>
          </w:p>
        </w:tc>
        <w:tc>
          <w:tcPr>
            <w:tcW w:w="1134" w:type="dxa"/>
            <w:shd w:val="clear" w:color="auto" w:fill="FEF2CC" w:themeFill="accent4" w:themeFillTint="33"/>
            <w:vAlign w:val="center"/>
          </w:tcPr>
          <w:p>
            <w:pPr>
              <w:widowControl/>
              <w:adjustRightInd w:val="0"/>
              <w:snapToGrid w:val="0"/>
              <w:jc w:val="center"/>
              <w:rPr>
                <w:rFonts w:hint="default" w:eastAsiaTheme="minorEastAsia"/>
                <w:sz w:val="18"/>
                <w:szCs w:val="18"/>
                <w:lang w:val="en-US" w:eastAsia="zh-CN"/>
              </w:rPr>
            </w:pPr>
            <w:r>
              <w:rPr>
                <w:rFonts w:hint="eastAsia"/>
                <w:sz w:val="18"/>
                <w:szCs w:val="18"/>
                <w:lang w:val="en-US" w:eastAsia="zh-CN"/>
              </w:rPr>
              <w:t>--</w:t>
            </w:r>
          </w:p>
        </w:tc>
        <w:tc>
          <w:tcPr>
            <w:tcW w:w="1417" w:type="dxa"/>
            <w:vAlign w:val="center"/>
          </w:tcPr>
          <w:p>
            <w:pPr>
              <w:widowControl/>
              <w:adjustRightInd w:val="0"/>
              <w:snapToGrid w:val="0"/>
              <w:jc w:val="center"/>
              <w:rPr>
                <w:sz w:val="18"/>
                <w:szCs w:val="18"/>
              </w:rPr>
            </w:pPr>
            <w:r>
              <w:rPr>
                <w:sz w:val="18"/>
                <w:szCs w:val="18"/>
              </w:rPr>
              <w:t>15</w:t>
            </w:r>
          </w:p>
        </w:tc>
        <w:tc>
          <w:tcPr>
            <w:tcW w:w="1134" w:type="dxa"/>
            <w:vAlign w:val="center"/>
          </w:tcPr>
          <w:p>
            <w:pPr>
              <w:widowControl/>
              <w:adjustRightInd w:val="0"/>
              <w:snapToGrid w:val="0"/>
              <w:jc w:val="center"/>
              <w:rPr>
                <w:sz w:val="18"/>
                <w:szCs w:val="18"/>
              </w:rPr>
            </w:pPr>
            <w:r>
              <w:rPr>
                <w:sz w:val="18"/>
                <w:szCs w:val="18"/>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2" w:hRule="atLeast"/>
          <w:jc w:val="center"/>
        </w:trPr>
        <w:tc>
          <w:tcPr>
            <w:tcW w:w="699" w:type="dxa"/>
            <w:vAlign w:val="center"/>
          </w:tcPr>
          <w:p>
            <w:pPr>
              <w:widowControl/>
              <w:adjustRightInd w:val="0"/>
              <w:snapToGrid w:val="0"/>
              <w:jc w:val="center"/>
              <w:rPr>
                <w:sz w:val="18"/>
                <w:szCs w:val="18"/>
              </w:rPr>
            </w:pPr>
            <w:r>
              <w:rPr>
                <w:rFonts w:hint="eastAsia"/>
                <w:sz w:val="18"/>
                <w:szCs w:val="18"/>
              </w:rPr>
              <w:t>10</w:t>
            </w:r>
          </w:p>
        </w:tc>
        <w:tc>
          <w:tcPr>
            <w:tcW w:w="3686" w:type="dxa"/>
            <w:vAlign w:val="center"/>
          </w:tcPr>
          <w:p>
            <w:pPr>
              <w:widowControl/>
              <w:adjustRightInd w:val="0"/>
              <w:snapToGrid w:val="0"/>
              <w:jc w:val="center"/>
              <w:rPr>
                <w:rFonts w:ascii="宋体" w:hAnsi="宋体"/>
                <w:sz w:val="18"/>
                <w:szCs w:val="18"/>
              </w:rPr>
            </w:pPr>
            <w:r>
              <w:rPr>
                <w:rFonts w:hint="eastAsia" w:ascii="宋体" w:hAnsi="宋体"/>
                <w:sz w:val="18"/>
                <w:szCs w:val="18"/>
              </w:rPr>
              <w:t>每万名老年人拥有社会工作者数</w:t>
            </w:r>
          </w:p>
        </w:tc>
        <w:tc>
          <w:tcPr>
            <w:tcW w:w="992" w:type="dxa"/>
            <w:vAlign w:val="center"/>
          </w:tcPr>
          <w:p>
            <w:pPr>
              <w:widowControl/>
              <w:adjustRightInd w:val="0"/>
              <w:snapToGrid w:val="0"/>
              <w:jc w:val="center"/>
              <w:rPr>
                <w:sz w:val="18"/>
                <w:szCs w:val="18"/>
              </w:rPr>
            </w:pPr>
            <w:r>
              <w:rPr>
                <w:rFonts w:hint="eastAsia"/>
                <w:sz w:val="18"/>
                <w:szCs w:val="18"/>
              </w:rPr>
              <w:t>人</w:t>
            </w:r>
          </w:p>
        </w:tc>
        <w:tc>
          <w:tcPr>
            <w:tcW w:w="1134" w:type="dxa"/>
            <w:shd w:val="clear" w:color="auto" w:fill="FEF2CC" w:themeFill="accent4" w:themeFillTint="33"/>
            <w:vAlign w:val="center"/>
          </w:tcPr>
          <w:p>
            <w:pPr>
              <w:widowControl/>
              <w:adjustRightInd w:val="0"/>
              <w:snapToGrid w:val="0"/>
              <w:jc w:val="center"/>
              <w:rPr>
                <w:rFonts w:hint="default" w:eastAsiaTheme="minorEastAsia"/>
                <w:sz w:val="18"/>
                <w:szCs w:val="18"/>
                <w:lang w:val="en-US" w:eastAsia="zh-CN"/>
              </w:rPr>
            </w:pPr>
            <w:r>
              <w:rPr>
                <w:rFonts w:hint="eastAsia"/>
                <w:sz w:val="18"/>
                <w:szCs w:val="18"/>
                <w:lang w:val="en-US" w:eastAsia="zh-CN"/>
              </w:rPr>
              <w:t>--</w:t>
            </w:r>
          </w:p>
        </w:tc>
        <w:tc>
          <w:tcPr>
            <w:tcW w:w="1417" w:type="dxa"/>
            <w:vAlign w:val="center"/>
          </w:tcPr>
          <w:p>
            <w:pPr>
              <w:widowControl/>
              <w:adjustRightInd w:val="0"/>
              <w:snapToGrid w:val="0"/>
              <w:jc w:val="center"/>
              <w:rPr>
                <w:sz w:val="18"/>
                <w:szCs w:val="18"/>
              </w:rPr>
            </w:pPr>
            <w:r>
              <w:rPr>
                <w:sz w:val="18"/>
                <w:szCs w:val="18"/>
              </w:rPr>
              <w:t>20</w:t>
            </w:r>
          </w:p>
        </w:tc>
        <w:tc>
          <w:tcPr>
            <w:tcW w:w="1134" w:type="dxa"/>
            <w:vAlign w:val="center"/>
          </w:tcPr>
          <w:p>
            <w:pPr>
              <w:widowControl/>
              <w:adjustRightInd w:val="0"/>
              <w:snapToGrid w:val="0"/>
              <w:jc w:val="center"/>
              <w:rPr>
                <w:sz w:val="18"/>
                <w:szCs w:val="18"/>
              </w:rPr>
            </w:pPr>
            <w:r>
              <w:rPr>
                <w:sz w:val="18"/>
                <w:szCs w:val="18"/>
              </w:rPr>
              <w:t>25</w:t>
            </w:r>
          </w:p>
        </w:tc>
      </w:tr>
    </w:tbl>
    <w:p>
      <w:pPr>
        <w:spacing w:before="240" w:line="600" w:lineRule="exact"/>
        <w:rPr>
          <w:rFonts w:ascii="仿宋" w:hAnsi="仿宋" w:eastAsia="仿宋"/>
          <w:sz w:val="32"/>
          <w:szCs w:val="32"/>
        </w:rPr>
      </w:pPr>
      <w:r>
        <w:rPr>
          <w:rFonts w:hint="eastAsia" w:ascii="仿宋" w:hAnsi="仿宋" w:eastAsia="仿宋"/>
          <w:sz w:val="36"/>
          <w:szCs w:val="36"/>
        </w:rPr>
        <w:t xml:space="preserve"> </w:t>
      </w:r>
      <w:r>
        <w:rPr>
          <w:rFonts w:ascii="仿宋" w:hAnsi="仿宋" w:eastAsia="仿宋"/>
          <w:sz w:val="36"/>
          <w:szCs w:val="36"/>
        </w:rPr>
        <w:t xml:space="preserve">  </w:t>
      </w:r>
      <w:r>
        <w:rPr>
          <w:rFonts w:hint="eastAsia" w:ascii="黑体" w:hAnsi="黑体" w:eastAsia="黑体"/>
          <w:sz w:val="32"/>
          <w:szCs w:val="32"/>
        </w:rPr>
        <w:t>三、主要任务</w:t>
      </w:r>
    </w:p>
    <w:p>
      <w:pPr>
        <w:tabs>
          <w:tab w:val="left" w:pos="860"/>
        </w:tabs>
        <w:spacing w:line="600" w:lineRule="exact"/>
        <w:ind w:firstLine="640" w:firstLineChars="200"/>
        <w:rPr>
          <w:rFonts w:ascii="黑体" w:hAnsi="黑体" w:eastAsia="黑体"/>
          <w:sz w:val="32"/>
          <w:szCs w:val="32"/>
        </w:rPr>
      </w:pPr>
      <w:r>
        <w:rPr>
          <w:rFonts w:hint="eastAsia" w:ascii="黑体" w:hAnsi="黑体" w:eastAsia="黑体"/>
          <w:sz w:val="32"/>
          <w:szCs w:val="32"/>
        </w:rPr>
        <w:t>（一）建立基本养老服务体系</w:t>
      </w:r>
    </w:p>
    <w:p>
      <w:pPr>
        <w:tabs>
          <w:tab w:val="left" w:pos="860"/>
        </w:tabs>
        <w:spacing w:line="600" w:lineRule="exact"/>
        <w:ind w:firstLine="643" w:firstLineChars="200"/>
        <w:rPr>
          <w:rFonts w:hint="eastAsia" w:ascii="仿宋_GB2312" w:eastAsia="仿宋_GB2312"/>
          <w:sz w:val="32"/>
          <w:szCs w:val="32"/>
        </w:rPr>
      </w:pPr>
      <w:r>
        <w:rPr>
          <w:rFonts w:hint="eastAsia" w:ascii="楷体_GB2312" w:hAnsi="楷体_GB2312" w:eastAsia="楷体_GB2312" w:cs="楷体_GB2312"/>
          <w:b/>
          <w:bCs/>
          <w:sz w:val="32"/>
          <w:szCs w:val="32"/>
        </w:rPr>
        <w:t>1.率先建立普惠型长期照护制度。</w:t>
      </w:r>
      <w:r>
        <w:rPr>
          <w:rFonts w:hint="eastAsia" w:ascii="仿宋_GB2312" w:eastAsia="仿宋_GB2312"/>
          <w:sz w:val="32"/>
          <w:szCs w:val="32"/>
        </w:rPr>
        <w:t>在完善特困、低保低边等政府保障对象兜底保障的基础上，确立普惠型为导向的长期照护保障制度发展方向。在现有养老服务电子津贴基础上，逐步建立以老年人能力评估为服务需求测算依据，依经济、社会等身份确定可享受补贴百分比的</w:t>
      </w:r>
      <w:r>
        <w:rPr>
          <w:rFonts w:hint="eastAsia" w:ascii="Calibri" w:hAnsi="Calibri" w:eastAsia="仿宋_GB2312" w:cs="Calibri"/>
          <w:sz w:val="32"/>
          <w:szCs w:val="32"/>
        </w:rPr>
        <w:t>普惠型</w:t>
      </w:r>
      <w:r>
        <w:rPr>
          <w:rFonts w:hint="eastAsia" w:ascii="仿宋_GB2312" w:eastAsia="仿宋_GB2312"/>
          <w:sz w:val="32"/>
          <w:szCs w:val="32"/>
        </w:rPr>
        <w:t>养老服务补贴制度。融通部门政策，整合补需方各类服务项目，提供在基本养老服务项目清单中可适度融通组合，使用更为灵活、个性的补贴资金使用方式。到2025年，初步建立开放、体现福利梯度、引入使用者付费机制，体现公平、可持续发展的普惠型长期照护保障制度。探索开放性的老年福利政策，逐步惠及常住老年人口。</w:t>
      </w:r>
      <w:r>
        <w:rPr>
          <w:rFonts w:hint="eastAsia" w:ascii="Calibri" w:hAnsi="Calibri" w:eastAsia="仿宋_GB2312" w:cs="Calibri"/>
          <w:sz w:val="32"/>
          <w:szCs w:val="32"/>
        </w:rPr>
        <w:t>依法依规</w:t>
      </w:r>
      <w:r>
        <w:rPr>
          <w:rFonts w:hint="eastAsia" w:ascii="仿宋_GB2312" w:eastAsia="仿宋_GB2312"/>
          <w:sz w:val="32"/>
          <w:szCs w:val="32"/>
        </w:rPr>
        <w:t>拓展长期护理保险试点，完善制度设计和运营机制，做好和养老服务补贴制度的衔接和制度整合；鼓励探索商业长期护理保险，满足不同人群需求，建立多元保障制度体系。</w:t>
      </w:r>
    </w:p>
    <w:p>
      <w:pPr>
        <w:tabs>
          <w:tab w:val="left" w:pos="860"/>
        </w:tabs>
        <w:spacing w:line="600" w:lineRule="exact"/>
        <w:ind w:firstLine="643" w:firstLineChars="200"/>
        <w:rPr>
          <w:rFonts w:hint="eastAsia" w:ascii="仿宋_GB2312" w:eastAsia="仿宋_GB2312"/>
          <w:sz w:val="32"/>
          <w:szCs w:val="32"/>
        </w:rPr>
      </w:pPr>
      <w:r>
        <w:rPr>
          <w:rFonts w:hint="eastAsia" w:ascii="楷体_GB2312" w:hAnsi="楷体_GB2312" w:eastAsia="楷体_GB2312" w:cs="楷体_GB2312"/>
          <w:b/>
          <w:bCs/>
          <w:sz w:val="32"/>
          <w:szCs w:val="32"/>
        </w:rPr>
        <w:t>2.扩大养老服务有效供给。</w:t>
      </w:r>
      <w:r>
        <w:rPr>
          <w:rFonts w:hint="eastAsia" w:ascii="仿宋_GB2312" w:eastAsia="仿宋_GB2312"/>
          <w:sz w:val="32"/>
          <w:szCs w:val="32"/>
        </w:rPr>
        <w:t>实现养老机构结构性调整和充分发展，引导重点建设照护型机构（床位）</w:t>
      </w:r>
      <w:r>
        <w:rPr>
          <w:rFonts w:hint="eastAsia" w:ascii="仿宋_GB2312" w:eastAsia="仿宋_GB2312"/>
          <w:sz w:val="32"/>
          <w:szCs w:val="32"/>
        </w:rPr>
        <w:footnoteReference w:id="1"/>
      </w:r>
      <w:r>
        <w:rPr>
          <w:rFonts w:hint="eastAsia" w:ascii="仿宋_GB2312" w:eastAsia="仿宋_GB2312"/>
          <w:sz w:val="32"/>
          <w:szCs w:val="32"/>
        </w:rPr>
        <w:t>，切实提高有效床位和床位入住率。到2025年，照护型机构床位达到总床位的60%，其中医疗照护型床位占20%，养老照护型床位占80%；市、区县市建有1家以护理型为主的公办养老机构（含公建民营），其照护型床位应占到其机构总床位的65%。提升农村敬老院照护能力，按照适度集中、分类照护、盘活资源等原则，通过撤并或新建区域性福利院、敬老院，优化布局，提升设施、运营和照护能力。到2022年，完成全市敬老院改造提升、优化布局工作，所有敬老院达到二级养老机构等级。确保每个镇街至少有1家养老机构，提供普惠养老服务，发挥区域服务支撑和辐射作用。</w:t>
      </w:r>
    </w:p>
    <w:p>
      <w:pPr>
        <w:tabs>
          <w:tab w:val="left" w:pos="860"/>
        </w:tabs>
        <w:spacing w:line="600" w:lineRule="exact"/>
        <w:ind w:firstLine="643" w:firstLineChars="200"/>
        <w:rPr>
          <w:rFonts w:hint="eastAsia" w:ascii="仿宋_GB2312" w:eastAsia="仿宋_GB2312"/>
          <w:sz w:val="32"/>
          <w:szCs w:val="32"/>
        </w:rPr>
      </w:pPr>
      <w:r>
        <w:rPr>
          <w:rFonts w:ascii="楷体_GB2312" w:hAnsi="楷体_GB2312" w:eastAsia="楷体_GB2312" w:cs="楷体_GB2312"/>
          <w:b/>
          <w:bCs/>
          <w:sz w:val="32"/>
          <w:szCs w:val="32"/>
        </w:rPr>
        <w:t>3</w:t>
      </w:r>
      <w:r>
        <w:rPr>
          <w:rFonts w:hint="eastAsia" w:ascii="楷体_GB2312" w:hAnsi="楷体_GB2312" w:eastAsia="楷体_GB2312" w:cs="楷体_GB2312"/>
          <w:b/>
          <w:bCs/>
          <w:sz w:val="32"/>
          <w:szCs w:val="32"/>
        </w:rPr>
        <w:t>.优化基本养老服务保障。</w:t>
      </w:r>
      <w:r>
        <w:rPr>
          <w:rFonts w:hint="eastAsia" w:ascii="仿宋_GB2312" w:eastAsia="仿宋_GB2312"/>
          <w:sz w:val="32"/>
          <w:szCs w:val="32"/>
        </w:rPr>
        <w:t>建立基本养老服务项目清单，明确项目和标准，明晰公办养老机构建设标准，杜绝片面追求设施高大上。完善全市统一的老年人能力评估制度，探索一口子需求评估和服务供给机制。全面推进公办养老机构入院轮候机制，到2025年，市、区（县市）公办养老机构100%建立入院评估轮候制度，敬老院入住率达到70%，即启动入院评估轮候。</w:t>
      </w:r>
    </w:p>
    <w:p>
      <w:pPr>
        <w:tabs>
          <w:tab w:val="left" w:pos="860"/>
        </w:tabs>
        <w:spacing w:line="600" w:lineRule="exact"/>
        <w:ind w:firstLine="643" w:firstLineChars="200"/>
        <w:rPr>
          <w:rFonts w:ascii="仿宋_GB2312" w:eastAsia="仿宋_GB2312"/>
          <w:sz w:val="32"/>
          <w:szCs w:val="32"/>
        </w:rPr>
      </w:pPr>
      <w:r>
        <w:rPr>
          <w:rFonts w:ascii="楷体_GB2312" w:hAnsi="楷体_GB2312" w:eastAsia="楷体_GB2312" w:cs="楷体_GB2312"/>
          <w:b/>
          <w:bCs/>
          <w:sz w:val="32"/>
          <w:szCs w:val="32"/>
        </w:rPr>
        <w:t>4</w:t>
      </w:r>
      <w:r>
        <w:rPr>
          <w:rFonts w:hint="eastAsia" w:ascii="楷体_GB2312" w:hAnsi="楷体_GB2312" w:eastAsia="楷体_GB2312" w:cs="楷体_GB2312"/>
          <w:b/>
          <w:bCs/>
          <w:sz w:val="32"/>
          <w:szCs w:val="32"/>
        </w:rPr>
        <w:t>.多途径探索公办机构改革。</w:t>
      </w:r>
      <w:r>
        <w:rPr>
          <w:rFonts w:hint="eastAsia" w:ascii="仿宋_GB2312" w:eastAsia="仿宋_GB2312"/>
          <w:sz w:val="32"/>
          <w:szCs w:val="32"/>
        </w:rPr>
        <w:t>因地制宜多途径推进公办机构改革，宜公则公，宜民则民。有序推进公建民营，</w:t>
      </w:r>
      <w:r>
        <w:rPr>
          <w:rFonts w:hint="eastAsia" w:ascii="Calibri" w:hAnsi="Calibri" w:eastAsia="仿宋_GB2312" w:cs="Calibri"/>
          <w:sz w:val="32"/>
          <w:szCs w:val="32"/>
        </w:rPr>
        <w:t>加强</w:t>
      </w:r>
      <w:r>
        <w:rPr>
          <w:rFonts w:hint="eastAsia" w:ascii="仿宋_GB2312" w:eastAsia="仿宋_GB2312"/>
          <w:sz w:val="32"/>
          <w:szCs w:val="32"/>
        </w:rPr>
        <w:t>公建民营养老机构监督管理，切实履行保基本兜底线职责，确保公益属性，保障国有资产安全，</w:t>
      </w:r>
      <w:r>
        <w:rPr>
          <w:rFonts w:ascii="Times New Roman" w:hAnsi="Times New Roman" w:eastAsia="仿宋_GB2312" w:cs="Times New Roman"/>
          <w:bCs/>
          <w:sz w:val="32"/>
          <w:szCs w:val="32"/>
        </w:rPr>
        <w:t>重点为</w:t>
      </w:r>
      <w:r>
        <w:rPr>
          <w:rFonts w:ascii="Calibri" w:hAnsi="Calibri" w:eastAsia="仿宋_GB2312" w:cs="Calibri"/>
          <w:bCs/>
          <w:sz w:val="32"/>
          <w:szCs w:val="32"/>
        </w:rPr>
        <w:t>特困及</w:t>
      </w:r>
      <w:r>
        <w:rPr>
          <w:rFonts w:ascii="Times New Roman" w:hAnsi="Times New Roman" w:eastAsia="仿宋_GB2312" w:cs="Times New Roman"/>
          <w:bCs/>
          <w:sz w:val="32"/>
          <w:szCs w:val="32"/>
        </w:rPr>
        <w:t>经济困难失能老年人、计划生育特殊家庭老年人提供无偿或低偿托养服务。</w:t>
      </w:r>
      <w:r>
        <w:rPr>
          <w:rFonts w:hint="eastAsia" w:ascii="仿宋_GB2312" w:eastAsia="仿宋_GB2312"/>
          <w:sz w:val="32"/>
          <w:szCs w:val="32"/>
        </w:rPr>
        <w:t>积极探索公办机构深化事业单位改革、改制为国企等适合国情的多元改革途径；探索养共体，鼓励社会福利机构接管运营区域乡镇敬老院。适度保留一定比例的公办养老机构，作为应急储备</w:t>
      </w:r>
      <w:r>
        <w:rPr>
          <w:rFonts w:hint="eastAsia" w:ascii="Calibri" w:hAnsi="Calibri" w:eastAsia="仿宋_GB2312" w:cs="Calibri"/>
          <w:sz w:val="32"/>
          <w:szCs w:val="32"/>
        </w:rPr>
        <w:t>和特殊情况资源统筹</w:t>
      </w:r>
      <w:r>
        <w:rPr>
          <w:rFonts w:hint="eastAsia" w:ascii="仿宋_GB2312" w:eastAsia="仿宋_GB2312"/>
          <w:sz w:val="32"/>
          <w:szCs w:val="32"/>
        </w:rPr>
        <w:t>。</w:t>
      </w:r>
    </w:p>
    <w:p>
      <w:pPr>
        <w:tabs>
          <w:tab w:val="left" w:pos="860"/>
        </w:tabs>
        <w:spacing w:line="600" w:lineRule="exact"/>
        <w:ind w:firstLine="640" w:firstLineChars="200"/>
        <w:rPr>
          <w:rFonts w:ascii="黑体" w:hAnsi="黑体" w:eastAsia="黑体"/>
          <w:sz w:val="32"/>
          <w:szCs w:val="32"/>
        </w:rPr>
      </w:pPr>
      <w:r>
        <w:rPr>
          <w:rFonts w:hint="eastAsia" w:ascii="黑体" w:hAnsi="黑体" w:eastAsia="黑体"/>
          <w:sz w:val="32"/>
          <w:szCs w:val="32"/>
        </w:rPr>
        <w:t>（二）打造“大社区养老”新格局</w:t>
      </w:r>
    </w:p>
    <w:p>
      <w:pPr>
        <w:tabs>
          <w:tab w:val="left" w:pos="860"/>
        </w:tabs>
        <w:spacing w:line="600" w:lineRule="exact"/>
        <w:ind w:firstLine="643" w:firstLineChars="200"/>
        <w:rPr>
          <w:rFonts w:ascii="仿宋_GB2312" w:eastAsia="仿宋_GB2312"/>
          <w:sz w:val="32"/>
          <w:szCs w:val="32"/>
        </w:rPr>
      </w:pPr>
      <w:r>
        <w:rPr>
          <w:rFonts w:hint="eastAsia" w:ascii="楷体_GB2312" w:hAnsi="楷体_GB2312" w:eastAsia="楷体_GB2312" w:cs="楷体_GB2312"/>
          <w:b/>
          <w:sz w:val="32"/>
          <w:szCs w:val="32"/>
        </w:rPr>
        <w:t>1.全面构建大社区照护体系</w:t>
      </w:r>
      <w:r>
        <w:rPr>
          <w:rFonts w:ascii="楷体_GB2312" w:hAnsi="楷体_GB2312" w:eastAsia="楷体_GB2312" w:cs="楷体_GB2312"/>
          <w:b/>
          <w:sz w:val="32"/>
          <w:szCs w:val="32"/>
        </w:rPr>
        <w:t>。</w:t>
      </w:r>
      <w:r>
        <w:rPr>
          <w:rFonts w:hint="eastAsia" w:ascii="仿宋_GB2312" w:hAnsi="仿宋_GB2312" w:eastAsia="仿宋_GB2312" w:cs="仿宋_GB2312"/>
          <w:sz w:val="32"/>
          <w:szCs w:val="32"/>
        </w:rPr>
        <w:t>“大社区养老”即以原居安养为理念，在更可及的范围内为老年人提供大社区、社区、小区和居家多层级，社区居家机构融通，医养康养相结合的家门口整合式照护服务。每个大社区服务圈，以社区式养老机构为支撑，以康养联合体为抓手，提供医养康养一体化、居家-日托-机构连续转接的社区整合式照护。到2025年，每个大社区建有一个以社区养老机构为支撑的社区照护中心，设立辅具展示/租赁点和养老顾问点；实现社会力量参与老年人健康管理和居家医疗康复护理政策突破，推进社区居家老年人健康数据、照料服务与家庭签约医生工作的对接。</w:t>
      </w:r>
    </w:p>
    <w:p>
      <w:pPr>
        <w:spacing w:line="600" w:lineRule="exact"/>
        <w:ind w:firstLine="645"/>
        <w:rPr>
          <w:rFonts w:ascii="楷体_GB2312" w:hAnsi="楷体_GB2312" w:eastAsia="楷体_GB2312" w:cs="楷体_GB2312"/>
          <w:b/>
          <w:sz w:val="32"/>
          <w:szCs w:val="32"/>
        </w:rPr>
      </w:pPr>
      <w:r>
        <w:rPr>
          <w:rFonts w:hint="eastAsia" w:ascii="仿宋_GB2312" w:hAnsi="仿宋_GB2312" w:eastAsia="仿宋_GB2312" w:cs="仿宋_GB2312"/>
          <w:sz w:val="32"/>
          <w:szCs w:val="32"/>
        </w:rPr>
        <w:t xml:space="preserve">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2835"/>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5" w:type="dxa"/>
            <w:gridSpan w:val="3"/>
            <w:vAlign w:val="center"/>
          </w:tcPr>
          <w:p>
            <w:pPr>
              <w:jc w:val="center"/>
              <w:rPr>
                <w:rFonts w:ascii="华文细黑" w:hAnsi="华文细黑" w:eastAsia="华文细黑" w:cs="仿宋_GB2312"/>
                <w:b/>
                <w:sz w:val="24"/>
                <w:szCs w:val="24"/>
              </w:rPr>
            </w:pPr>
            <w:r>
              <w:rPr>
                <w:rFonts w:hint="eastAsia" w:ascii="华文细黑" w:hAnsi="华文细黑" w:eastAsia="华文细黑" w:cs="仿宋_GB2312"/>
                <w:b/>
                <w:sz w:val="24"/>
                <w:szCs w:val="24"/>
              </w:rPr>
              <w:t>专栏</w:t>
            </w:r>
            <w:r>
              <w:rPr>
                <w:rFonts w:ascii="华文细黑" w:hAnsi="华文细黑" w:eastAsia="华文细黑" w:cs="仿宋_GB2312"/>
                <w:b/>
                <w:sz w:val="24"/>
                <w:szCs w:val="24"/>
              </w:rPr>
              <w:t>1</w:t>
            </w:r>
            <w:r>
              <w:rPr>
                <w:rFonts w:hint="eastAsia" w:ascii="华文细黑" w:hAnsi="华文细黑" w:eastAsia="华文细黑" w:cs="仿宋_GB2312"/>
                <w:b/>
                <w:sz w:val="24"/>
                <w:szCs w:val="24"/>
              </w:rPr>
              <w:t>：大社区养老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075" w:type="dxa"/>
            <w:gridSpan w:val="3"/>
            <w:vAlign w:val="center"/>
          </w:tcPr>
          <w:p>
            <w:pPr>
              <w:jc w:val="center"/>
              <w:rPr>
                <w:rFonts w:ascii="华文细黑" w:hAnsi="华文细黑" w:eastAsia="华文细黑" w:cs="仿宋_GB2312"/>
                <w:b/>
                <w:sz w:val="24"/>
                <w:szCs w:val="24"/>
              </w:rPr>
            </w:pPr>
            <w:r>
              <w:rPr>
                <w:rFonts w:hint="eastAsia" w:ascii="华文细黑" w:hAnsi="华文细黑" w:eastAsia="华文细黑" w:cs="仿宋_GB2312"/>
                <w:b/>
                <w:sz w:val="24"/>
                <w:szCs w:val="24"/>
              </w:rPr>
              <w:t>目的：实现家门口养老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075" w:type="dxa"/>
            <w:gridSpan w:val="3"/>
            <w:vAlign w:val="center"/>
          </w:tcPr>
          <w:p>
            <w:pPr>
              <w:jc w:val="center"/>
              <w:rPr>
                <w:rFonts w:ascii="华文细黑" w:hAnsi="华文细黑" w:eastAsia="华文细黑" w:cs="仿宋_GB2312"/>
                <w:b/>
                <w:sz w:val="24"/>
                <w:szCs w:val="24"/>
              </w:rPr>
            </w:pPr>
            <w:r>
              <w:rPr>
                <w:rFonts w:hint="eastAsia" w:ascii="华文细黑" w:hAnsi="华文细黑" w:eastAsia="华文细黑" w:cs="仿宋_GB2312"/>
                <w:b/>
                <w:sz w:val="24"/>
                <w:szCs w:val="24"/>
              </w:rPr>
              <w:t>特点：综合、整合、融合、可及（三合一及）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cs="仿宋_GB2312" w:asciiTheme="minorEastAsia" w:hAnsiTheme="minorEastAsia"/>
                <w:sz w:val="24"/>
                <w:szCs w:val="24"/>
              </w:rPr>
            </w:pPr>
          </w:p>
        </w:tc>
        <w:tc>
          <w:tcPr>
            <w:tcW w:w="2835" w:type="dxa"/>
            <w:vAlign w:val="center"/>
          </w:tcPr>
          <w:p>
            <w:pPr>
              <w:jc w:val="center"/>
              <w:rPr>
                <w:rFonts w:cs="仿宋_GB2312" w:asciiTheme="minorEastAsia" w:hAnsiTheme="minorEastAsia"/>
                <w:b/>
                <w:sz w:val="24"/>
                <w:szCs w:val="24"/>
              </w:rPr>
            </w:pPr>
            <w:r>
              <w:rPr>
                <w:rFonts w:hint="eastAsia" w:cs="仿宋_GB2312" w:asciiTheme="minorEastAsia" w:hAnsiTheme="minorEastAsia"/>
                <w:b/>
                <w:sz w:val="24"/>
                <w:szCs w:val="24"/>
              </w:rPr>
              <w:t>设施/服务类别</w:t>
            </w:r>
          </w:p>
        </w:tc>
        <w:tc>
          <w:tcPr>
            <w:tcW w:w="4678" w:type="dxa"/>
            <w:vAlign w:val="center"/>
          </w:tcPr>
          <w:p>
            <w:pPr>
              <w:jc w:val="center"/>
              <w:rPr>
                <w:rFonts w:cs="仿宋_GB2312" w:asciiTheme="minorEastAsia" w:hAnsiTheme="minorEastAsia"/>
                <w:b/>
                <w:sz w:val="24"/>
                <w:szCs w:val="24"/>
              </w:rPr>
            </w:pPr>
            <w:r>
              <w:rPr>
                <w:rFonts w:hint="eastAsia" w:cs="仿宋_GB2312" w:asciiTheme="minorEastAsia" w:hAnsiTheme="minorEastAsia"/>
                <w:b/>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1</w:t>
            </w:r>
          </w:p>
        </w:tc>
        <w:tc>
          <w:tcPr>
            <w:tcW w:w="2835"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社区照护中心</w:t>
            </w:r>
          </w:p>
        </w:tc>
        <w:tc>
          <w:tcPr>
            <w:tcW w:w="4678" w:type="dxa"/>
            <w:vAlign w:val="center"/>
          </w:tcPr>
          <w:p>
            <w:pPr>
              <w:jc w:val="center"/>
              <w:rPr>
                <w:rFonts w:ascii="仿宋" w:hAnsi="仿宋" w:eastAsia="仿宋" w:cs="仿宋_GB2312"/>
                <w:sz w:val="24"/>
                <w:szCs w:val="24"/>
              </w:rPr>
            </w:pPr>
            <w:r>
              <w:rPr>
                <w:rFonts w:hint="eastAsia" w:ascii="仿宋" w:hAnsi="仿宋" w:eastAsia="仿宋" w:cs="仿宋_GB2312"/>
                <w:sz w:val="24"/>
                <w:szCs w:val="24"/>
              </w:rPr>
              <w:t>法人登记，养老机构备案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2</w:t>
            </w:r>
          </w:p>
        </w:tc>
        <w:tc>
          <w:tcPr>
            <w:tcW w:w="2835"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记忆家园</w:t>
            </w:r>
          </w:p>
        </w:tc>
        <w:tc>
          <w:tcPr>
            <w:tcW w:w="4678" w:type="dxa"/>
            <w:vAlign w:val="center"/>
          </w:tcPr>
          <w:p>
            <w:pPr>
              <w:jc w:val="center"/>
              <w:rPr>
                <w:rFonts w:ascii="仿宋" w:hAnsi="仿宋" w:eastAsia="仿宋" w:cs="仿宋_GB2312"/>
                <w:sz w:val="24"/>
                <w:szCs w:val="24"/>
              </w:rPr>
            </w:pPr>
            <w:r>
              <w:rPr>
                <w:rFonts w:hint="eastAsia" w:ascii="仿宋" w:hAnsi="仿宋" w:eastAsia="仿宋" w:cs="仿宋_GB2312"/>
                <w:sz w:val="24"/>
                <w:szCs w:val="24"/>
              </w:rPr>
              <w:t>养老机构基础上，达到认知障碍设施和服务标准（另行制定标准）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3</w:t>
            </w:r>
          </w:p>
        </w:tc>
        <w:tc>
          <w:tcPr>
            <w:tcW w:w="2835"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康养联合体</w:t>
            </w:r>
          </w:p>
        </w:tc>
        <w:tc>
          <w:tcPr>
            <w:tcW w:w="4678" w:type="dxa"/>
            <w:vAlign w:val="center"/>
          </w:tcPr>
          <w:p>
            <w:pPr>
              <w:jc w:val="center"/>
              <w:rPr>
                <w:rFonts w:ascii="仿宋" w:hAnsi="仿宋" w:eastAsia="仿宋" w:cs="仿宋_GB2312"/>
                <w:sz w:val="24"/>
                <w:szCs w:val="24"/>
              </w:rPr>
            </w:pPr>
            <w:r>
              <w:rPr>
                <w:rFonts w:hint="eastAsia" w:ascii="仿宋" w:hAnsi="仿宋" w:eastAsia="仿宋" w:cs="仿宋_GB2312"/>
                <w:sz w:val="24"/>
                <w:szCs w:val="24"/>
              </w:rPr>
              <w:t>提供健康教育、坐诊巡诊、康复指导、康复护理等</w:t>
            </w:r>
            <w:r>
              <w:rPr>
                <w:rFonts w:ascii="仿宋" w:hAnsi="仿宋" w:eastAsia="仿宋" w:cs="仿宋_GB2312"/>
                <w:sz w:val="24"/>
                <w:szCs w:val="24"/>
              </w:rPr>
              <w:t>（</w:t>
            </w:r>
            <w:r>
              <w:rPr>
                <w:rFonts w:hint="eastAsia" w:ascii="仿宋" w:hAnsi="仿宋" w:eastAsia="仿宋" w:cs="仿宋_GB2312"/>
                <w:sz w:val="24"/>
                <w:szCs w:val="24"/>
              </w:rPr>
              <w:t>另行制定标准）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4</w:t>
            </w:r>
          </w:p>
        </w:tc>
        <w:tc>
          <w:tcPr>
            <w:tcW w:w="2835"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老年食堂/助餐点</w:t>
            </w:r>
          </w:p>
        </w:tc>
        <w:tc>
          <w:tcPr>
            <w:tcW w:w="4678" w:type="dxa"/>
            <w:vAlign w:val="center"/>
          </w:tcPr>
          <w:p>
            <w:pPr>
              <w:jc w:val="center"/>
              <w:rPr>
                <w:rFonts w:ascii="仿宋" w:hAnsi="仿宋" w:eastAsia="仿宋" w:cs="仿宋_GB2312"/>
                <w:sz w:val="24"/>
                <w:szCs w:val="24"/>
              </w:rPr>
            </w:pPr>
            <w:r>
              <w:rPr>
                <w:rFonts w:hint="eastAsia" w:ascii="仿宋" w:hAnsi="仿宋" w:eastAsia="仿宋" w:cs="仿宋_GB2312"/>
                <w:sz w:val="24"/>
                <w:szCs w:val="24"/>
              </w:rPr>
              <w:t>符合杭州市现有标准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5</w:t>
            </w:r>
          </w:p>
        </w:tc>
        <w:tc>
          <w:tcPr>
            <w:tcW w:w="2835"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社区居家养老服务</w:t>
            </w:r>
          </w:p>
          <w:p>
            <w:pPr>
              <w:jc w:val="center"/>
              <w:rPr>
                <w:rFonts w:cs="仿宋_GB2312" w:asciiTheme="minorEastAsia" w:hAnsiTheme="minorEastAsia"/>
                <w:sz w:val="24"/>
                <w:szCs w:val="24"/>
              </w:rPr>
            </w:pPr>
            <w:r>
              <w:rPr>
                <w:rFonts w:hint="eastAsia" w:cs="仿宋_GB2312" w:asciiTheme="minorEastAsia" w:hAnsiTheme="minorEastAsia"/>
                <w:sz w:val="24"/>
                <w:szCs w:val="24"/>
              </w:rPr>
              <w:t>照料中心</w:t>
            </w:r>
          </w:p>
        </w:tc>
        <w:tc>
          <w:tcPr>
            <w:tcW w:w="4678" w:type="dxa"/>
            <w:vAlign w:val="center"/>
          </w:tcPr>
          <w:p>
            <w:pPr>
              <w:jc w:val="center"/>
              <w:rPr>
                <w:rFonts w:ascii="仿宋" w:hAnsi="仿宋" w:eastAsia="仿宋" w:cs="仿宋_GB2312"/>
                <w:sz w:val="24"/>
                <w:szCs w:val="24"/>
              </w:rPr>
            </w:pPr>
            <w:r>
              <w:rPr>
                <w:rFonts w:hint="eastAsia" w:ascii="仿宋" w:hAnsi="仿宋" w:eastAsia="仿宋" w:cs="仿宋_GB2312"/>
                <w:sz w:val="24"/>
                <w:szCs w:val="24"/>
              </w:rPr>
              <w:t>符合杭州市现有标准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6</w:t>
            </w:r>
          </w:p>
        </w:tc>
        <w:tc>
          <w:tcPr>
            <w:tcW w:w="2835"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辅具展示/租赁中心</w:t>
            </w:r>
          </w:p>
        </w:tc>
        <w:tc>
          <w:tcPr>
            <w:tcW w:w="4678" w:type="dxa"/>
            <w:vAlign w:val="center"/>
          </w:tcPr>
          <w:p>
            <w:pPr>
              <w:jc w:val="center"/>
              <w:rPr>
                <w:rFonts w:ascii="仿宋" w:hAnsi="仿宋" w:eastAsia="仿宋" w:cs="仿宋_GB2312"/>
                <w:sz w:val="24"/>
                <w:szCs w:val="24"/>
              </w:rPr>
            </w:pPr>
            <w:r>
              <w:rPr>
                <w:rFonts w:hint="eastAsia" w:ascii="仿宋" w:hAnsi="仿宋" w:eastAsia="仿宋" w:cs="仿宋_GB2312"/>
                <w:sz w:val="24"/>
                <w:szCs w:val="24"/>
              </w:rPr>
              <w:t>另行制定标准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7</w:t>
            </w:r>
          </w:p>
        </w:tc>
        <w:tc>
          <w:tcPr>
            <w:tcW w:w="2835"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家庭赋能中心</w:t>
            </w:r>
          </w:p>
        </w:tc>
        <w:tc>
          <w:tcPr>
            <w:tcW w:w="4678" w:type="dxa"/>
            <w:vAlign w:val="center"/>
          </w:tcPr>
          <w:p>
            <w:pPr>
              <w:jc w:val="center"/>
              <w:rPr>
                <w:rFonts w:ascii="仿宋" w:hAnsi="仿宋" w:eastAsia="仿宋" w:cs="仿宋_GB2312"/>
                <w:sz w:val="24"/>
                <w:szCs w:val="24"/>
              </w:rPr>
            </w:pPr>
            <w:r>
              <w:rPr>
                <w:rFonts w:hint="eastAsia" w:ascii="仿宋" w:hAnsi="仿宋" w:eastAsia="仿宋" w:cs="仿宋_GB2312"/>
                <w:sz w:val="24"/>
                <w:szCs w:val="24"/>
              </w:rPr>
              <w:t>家庭照护培训；照护者互助中心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jc w:val="center"/>
              <w:rPr>
                <w:rFonts w:cs="仿宋_GB2312" w:asciiTheme="minorEastAsia" w:hAnsiTheme="minorEastAsia"/>
                <w:sz w:val="24"/>
                <w:szCs w:val="24"/>
              </w:rPr>
            </w:pPr>
            <w:r>
              <w:rPr>
                <w:rFonts w:cs="仿宋_GB2312" w:asciiTheme="minorEastAsia" w:hAnsiTheme="minorEastAsia"/>
                <w:sz w:val="24"/>
                <w:szCs w:val="24"/>
              </w:rPr>
              <w:t>8</w:t>
            </w:r>
          </w:p>
        </w:tc>
        <w:tc>
          <w:tcPr>
            <w:tcW w:w="2835" w:type="dxa"/>
            <w:vAlign w:val="center"/>
          </w:tcPr>
          <w:p>
            <w:pPr>
              <w:jc w:val="center"/>
              <w:rPr>
                <w:rFonts w:cs="仿宋_GB2312" w:asciiTheme="minorEastAsia" w:hAnsiTheme="minorEastAsia"/>
                <w:sz w:val="24"/>
                <w:szCs w:val="24"/>
              </w:rPr>
            </w:pPr>
            <w:r>
              <w:rPr>
                <w:rFonts w:hint="eastAsia" w:cs="仿宋_GB2312" w:asciiTheme="minorEastAsia" w:hAnsiTheme="minorEastAsia"/>
                <w:sz w:val="24"/>
                <w:szCs w:val="24"/>
              </w:rPr>
              <w:t>养老顾问点</w:t>
            </w:r>
          </w:p>
        </w:tc>
        <w:tc>
          <w:tcPr>
            <w:tcW w:w="4678" w:type="dxa"/>
            <w:vAlign w:val="center"/>
          </w:tcPr>
          <w:p>
            <w:pPr>
              <w:jc w:val="center"/>
              <w:rPr>
                <w:rFonts w:ascii="仿宋" w:hAnsi="仿宋" w:eastAsia="仿宋" w:cs="仿宋_GB2312"/>
                <w:sz w:val="24"/>
                <w:szCs w:val="24"/>
              </w:rPr>
            </w:pPr>
            <w:r>
              <w:rPr>
                <w:rFonts w:hint="eastAsia" w:ascii="仿宋" w:hAnsi="仿宋" w:eastAsia="仿宋" w:cs="仿宋_GB2312"/>
                <w:sz w:val="24"/>
                <w:szCs w:val="24"/>
              </w:rPr>
              <w:t>另行制定标准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5" w:type="dxa"/>
            <w:gridSpan w:val="3"/>
          </w:tcPr>
          <w:p>
            <w:pPr>
              <w:jc w:val="center"/>
              <w:rPr>
                <w:rFonts w:cs="仿宋_GB2312" w:asciiTheme="minorEastAsia" w:hAnsiTheme="minorEastAsia"/>
                <w:b/>
                <w:sz w:val="24"/>
                <w:szCs w:val="24"/>
              </w:rPr>
            </w:pPr>
            <w:r>
              <w:rPr>
                <w:rFonts w:hint="eastAsia" w:cs="仿宋_GB2312" w:asciiTheme="minorEastAsia" w:hAnsiTheme="minorEastAsia"/>
                <w:b/>
                <w:sz w:val="24"/>
                <w:szCs w:val="24"/>
              </w:rPr>
              <w:t>设施、服务组合要求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5" w:type="dxa"/>
            <w:gridSpan w:val="3"/>
          </w:tcPr>
          <w:p>
            <w:pPr>
              <w:pStyle w:val="13"/>
              <w:numPr>
                <w:ilvl w:val="0"/>
                <w:numId w:val="1"/>
              </w:numPr>
              <w:ind w:firstLineChars="0"/>
              <w:rPr>
                <w:rFonts w:ascii="仿宋" w:hAnsi="仿宋" w:eastAsia="仿宋" w:cs="仿宋_GB2312"/>
                <w:sz w:val="24"/>
                <w:szCs w:val="24"/>
              </w:rPr>
            </w:pPr>
            <w:r>
              <w:rPr>
                <w:rFonts w:hint="eastAsia" w:ascii="仿宋" w:hAnsi="仿宋" w:eastAsia="仿宋" w:cs="仿宋_GB2312"/>
                <w:sz w:val="24"/>
                <w:szCs w:val="24"/>
              </w:rPr>
              <w:t>大社区养老服务圈，以老年人口规模、老龄化发展水平为依据，每个街道结合实际进行规划设置，老龄化水平低的可规划预留。</w:t>
            </w:r>
          </w:p>
          <w:p>
            <w:pPr>
              <w:pStyle w:val="13"/>
              <w:numPr>
                <w:ilvl w:val="0"/>
                <w:numId w:val="1"/>
              </w:numPr>
              <w:ind w:firstLineChars="0"/>
              <w:rPr>
                <w:rFonts w:ascii="仿宋" w:hAnsi="仿宋" w:eastAsia="仿宋" w:cs="仿宋_GB2312"/>
                <w:sz w:val="24"/>
                <w:szCs w:val="24"/>
              </w:rPr>
            </w:pPr>
            <w:r>
              <w:rPr>
                <w:rFonts w:hint="eastAsia" w:ascii="仿宋" w:hAnsi="仿宋" w:eastAsia="仿宋" w:cs="仿宋_GB2312"/>
                <w:sz w:val="24"/>
                <w:szCs w:val="24"/>
              </w:rPr>
              <w:t>社区照护中心/记忆家园，可以与其他设施同址，但必须独立空间设置，即相对封闭，有独立进出门。</w:t>
            </w:r>
          </w:p>
          <w:p>
            <w:pPr>
              <w:pStyle w:val="13"/>
              <w:numPr>
                <w:ilvl w:val="0"/>
                <w:numId w:val="1"/>
              </w:numPr>
              <w:ind w:firstLineChars="0"/>
              <w:rPr>
                <w:rFonts w:ascii="仿宋" w:hAnsi="仿宋" w:eastAsia="仿宋" w:cs="仿宋_GB2312"/>
                <w:sz w:val="24"/>
                <w:szCs w:val="24"/>
              </w:rPr>
            </w:pPr>
            <w:r>
              <w:rPr>
                <w:rFonts w:hint="eastAsia" w:ascii="仿宋" w:hAnsi="仿宋" w:eastAsia="仿宋" w:cs="仿宋_GB2312"/>
                <w:sz w:val="24"/>
                <w:szCs w:val="24"/>
              </w:rPr>
              <w:t>可在现有街道级居家养服务中心基础上提升。</w:t>
            </w:r>
          </w:p>
          <w:p>
            <w:pPr>
              <w:pStyle w:val="13"/>
              <w:numPr>
                <w:ilvl w:val="0"/>
                <w:numId w:val="1"/>
              </w:numPr>
              <w:ind w:firstLineChars="0"/>
              <w:rPr>
                <w:rFonts w:cs="仿宋_GB2312" w:asciiTheme="minorEastAsia" w:hAnsiTheme="minorEastAsia"/>
                <w:sz w:val="24"/>
                <w:szCs w:val="24"/>
              </w:rPr>
            </w:pPr>
            <w:r>
              <w:rPr>
                <w:rFonts w:hint="eastAsia" w:ascii="仿宋" w:hAnsi="仿宋" w:eastAsia="仿宋" w:cs="仿宋_GB2312"/>
                <w:sz w:val="24"/>
                <w:szCs w:val="24"/>
              </w:rPr>
              <w:t>街道级、大社区级设施，不再设置提供日常老年文康活动的场所，日常老年人文康活动下沉在社区居家养老照料中心（老年人活动室）。</w:t>
            </w:r>
          </w:p>
        </w:tc>
      </w:tr>
    </w:tbl>
    <w:p>
      <w:pPr>
        <w:spacing w:line="600" w:lineRule="exact"/>
        <w:ind w:firstLine="643" w:firstLineChars="200"/>
        <w:rPr>
          <w:rFonts w:ascii="楷体_GB2312" w:hAnsi="楷体_GB2312" w:eastAsia="楷体_GB2312" w:cs="楷体_GB2312"/>
          <w:b/>
          <w:sz w:val="32"/>
          <w:szCs w:val="32"/>
        </w:rPr>
      </w:pPr>
      <w:r>
        <w:rPr>
          <w:rFonts w:ascii="楷体_GB2312" w:hAnsi="楷体_GB2312" w:eastAsia="楷体_GB2312" w:cs="楷体_GB2312"/>
          <w:b/>
          <w:sz w:val="32"/>
          <w:szCs w:val="32"/>
        </w:rPr>
        <w:t>2.</w:t>
      </w:r>
      <w:r>
        <w:rPr>
          <w:rFonts w:hint="eastAsia" w:ascii="楷体_GB2312" w:hAnsi="楷体_GB2312" w:eastAsia="楷体_GB2312" w:cs="楷体_GB2312"/>
          <w:b/>
          <w:sz w:val="32"/>
          <w:szCs w:val="32"/>
        </w:rPr>
        <w:t>推进整合式居家养老服务</w:t>
      </w:r>
      <w:r>
        <w:rPr>
          <w:rFonts w:ascii="楷体_GB2312" w:hAnsi="楷体_GB2312" w:eastAsia="楷体_GB2312" w:cs="楷体_GB2312"/>
          <w:b/>
          <w:sz w:val="32"/>
          <w:szCs w:val="32"/>
        </w:rPr>
        <w:t>。</w:t>
      </w:r>
      <w:r>
        <w:rPr>
          <w:rFonts w:ascii="Times New Roman" w:hAnsi="Times New Roman" w:eastAsia="仿宋_GB2312" w:cs="Times New Roman"/>
          <w:bCs/>
          <w:sz w:val="32"/>
          <w:szCs w:val="32"/>
        </w:rPr>
        <w:t>在</w:t>
      </w:r>
      <w:r>
        <w:rPr>
          <w:rFonts w:hint="eastAsia" w:ascii="Times New Roman" w:hAnsi="Times New Roman" w:eastAsia="仿宋_GB2312" w:cs="Times New Roman"/>
          <w:bCs/>
          <w:sz w:val="32"/>
          <w:szCs w:val="32"/>
        </w:rPr>
        <w:t>镇街级</w:t>
      </w:r>
      <w:r>
        <w:rPr>
          <w:rFonts w:ascii="Times New Roman" w:hAnsi="Times New Roman" w:eastAsia="仿宋_GB2312" w:cs="Times New Roman"/>
          <w:bCs/>
          <w:sz w:val="32"/>
          <w:szCs w:val="32"/>
        </w:rPr>
        <w:t>居家养老服务中心六大功能</w:t>
      </w:r>
      <w:r>
        <w:rPr>
          <w:rFonts w:ascii="Calibri" w:hAnsi="Calibri" w:eastAsia="仿宋_GB2312" w:cs="Calibri"/>
          <w:bCs/>
          <w:sz w:val="32"/>
          <w:szCs w:val="32"/>
        </w:rPr>
        <w:t>基础上</w:t>
      </w:r>
      <w:r>
        <w:rPr>
          <w:rFonts w:ascii="Times New Roman" w:hAnsi="Times New Roman" w:eastAsia="仿宋_GB2312" w:cs="Times New Roman"/>
          <w:bCs/>
          <w:sz w:val="32"/>
          <w:szCs w:val="32"/>
        </w:rPr>
        <w:t>，</w:t>
      </w:r>
      <w:r>
        <w:rPr>
          <w:rFonts w:ascii="Calibri" w:hAnsi="Calibri" w:eastAsia="仿宋_GB2312" w:cs="Calibri"/>
          <w:bCs/>
          <w:sz w:val="32"/>
          <w:szCs w:val="32"/>
        </w:rPr>
        <w:t>增加康复辅具展示</w:t>
      </w:r>
      <w:r>
        <w:rPr>
          <w:rFonts w:hint="eastAsia" w:ascii="Calibri" w:hAnsi="Calibri" w:eastAsia="仿宋_GB2312" w:cs="Calibri"/>
          <w:bCs/>
          <w:sz w:val="32"/>
          <w:szCs w:val="32"/>
        </w:rPr>
        <w:t>/租赁、家庭赋能和养老顾问等服务功能，加强居家、社区、大社区、机构等不同层级照护的有序疏导和转接，强化医养康养有机融合和服务链接。</w:t>
      </w:r>
      <w:r>
        <w:rPr>
          <w:rFonts w:ascii="Times New Roman" w:hAnsi="Times New Roman" w:eastAsia="仿宋_GB2312" w:cs="Times New Roman"/>
          <w:bCs/>
          <w:sz w:val="32"/>
          <w:szCs w:val="32"/>
        </w:rPr>
        <w:t>完善</w:t>
      </w:r>
      <w:r>
        <w:rPr>
          <w:rFonts w:hint="eastAsia" w:ascii="Times New Roman" w:hAnsi="Times New Roman" w:eastAsia="仿宋_GB2312" w:cs="Times New Roman"/>
          <w:bCs/>
          <w:sz w:val="32"/>
          <w:szCs w:val="32"/>
        </w:rPr>
        <w:t>社区级</w:t>
      </w:r>
      <w:r>
        <w:rPr>
          <w:rFonts w:ascii="Times New Roman" w:hAnsi="Times New Roman" w:eastAsia="仿宋_GB2312" w:cs="Times New Roman"/>
          <w:bCs/>
          <w:sz w:val="32"/>
          <w:szCs w:val="32"/>
        </w:rPr>
        <w:t>居家养老服务中心长效运营机制，鼓励养老机构运营社区养老设施或设立服务场所，为居家老年人提供专业的上门服务。</w:t>
      </w:r>
      <w:r>
        <w:rPr>
          <w:rFonts w:hint="eastAsia" w:ascii="仿宋_GB2312" w:hAnsi="仿宋_GB2312" w:eastAsia="仿宋_GB2312" w:cs="仿宋_GB2312"/>
          <w:sz w:val="32"/>
          <w:szCs w:val="32"/>
        </w:rPr>
        <w:t>发挥社区居家养老服务设施“阵地+平台”双重作用，承担辖区居家老年人基本信息建档、服务需求反馈、日常关爱及上门服务等职责，提高服务辐射及设施绩效。全面推进认知照护体系建设，着眼认知照护制度化、体系化、标准化发展，编制认知障碍老人筛选评估、服务评估、服务提供及设施配建等标准，打造从社区预防干预、家庭支持到机构照护的认知障碍连续照护链。</w:t>
      </w:r>
      <w:r>
        <w:rPr>
          <w:rFonts w:hint="eastAsia" w:ascii="仿宋_GB2312" w:hAnsi="仿宋_GB2312" w:eastAsia="仿宋_GB2312" w:cs="仿宋_GB2312"/>
          <w:bCs/>
          <w:sz w:val="32"/>
          <w:szCs w:val="32"/>
        </w:rPr>
        <w:t>将预防认知障碍干预和照护、康复等内容纳入家庭照护者培训，建立社区培训平台，提供上门个性化指导，提升家庭照护者培训实效。</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296" w:type="dxa"/>
            <w:vAlign w:val="center"/>
          </w:tcPr>
          <w:p>
            <w:pPr>
              <w:jc w:val="center"/>
              <w:rPr>
                <w:rFonts w:ascii="华文细黑" w:hAnsi="华文细黑" w:eastAsia="华文细黑"/>
                <w:sz w:val="28"/>
                <w:szCs w:val="28"/>
              </w:rPr>
            </w:pPr>
            <w:r>
              <w:rPr>
                <w:rFonts w:hint="eastAsia" w:ascii="华文细黑" w:hAnsi="华文细黑" w:eastAsia="华文细黑"/>
                <w:sz w:val="28"/>
                <w:szCs w:val="28"/>
              </w:rPr>
              <w:t>专栏</w:t>
            </w:r>
            <w:r>
              <w:rPr>
                <w:rFonts w:ascii="华文细黑" w:hAnsi="华文细黑" w:eastAsia="华文细黑"/>
                <w:sz w:val="28"/>
                <w:szCs w:val="28"/>
              </w:rPr>
              <w:t>2</w:t>
            </w:r>
            <w:r>
              <w:rPr>
                <w:rFonts w:hint="eastAsia" w:ascii="华文细黑" w:hAnsi="华文细黑" w:eastAsia="华文细黑"/>
                <w:sz w:val="28"/>
                <w:szCs w:val="28"/>
              </w:rPr>
              <w:t>：认知障碍照护体系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296" w:type="dxa"/>
            <w:vAlign w:val="center"/>
          </w:tcPr>
          <w:p>
            <w:pPr>
              <w:jc w:val="center"/>
              <w:rPr>
                <w:rFonts w:ascii="华文细黑" w:hAnsi="华文细黑" w:eastAsia="华文细黑"/>
                <w:sz w:val="28"/>
                <w:szCs w:val="28"/>
              </w:rPr>
            </w:pPr>
            <w:r>
              <w:rPr>
                <w:rFonts w:hint="eastAsia" w:ascii="华文细黑" w:hAnsi="华文细黑" w:eastAsia="华文细黑"/>
                <w:sz w:val="28"/>
                <w:szCs w:val="28"/>
              </w:rPr>
              <w:t>“2025认知症友善53311”目标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13"/>
              <w:numPr>
                <w:ilvl w:val="0"/>
                <w:numId w:val="2"/>
              </w:numPr>
              <w:spacing w:line="480" w:lineRule="exact"/>
              <w:ind w:left="560" w:hanging="560" w:hangingChars="200"/>
              <w:rPr>
                <w:rFonts w:ascii="仿宋" w:hAnsi="仿宋" w:eastAsia="仿宋"/>
                <w:sz w:val="28"/>
                <w:szCs w:val="28"/>
              </w:rPr>
            </w:pPr>
            <w:r>
              <w:rPr>
                <w:rFonts w:hint="eastAsia" w:ascii="仿宋" w:hAnsi="仿宋" w:eastAsia="仿宋"/>
                <w:sz w:val="28"/>
                <w:szCs w:val="28"/>
              </w:rPr>
              <w:t>5成以上认知症家庭照顾者获得支持和培训；</w:t>
            </w:r>
          </w:p>
          <w:p>
            <w:pPr>
              <w:pStyle w:val="13"/>
              <w:numPr>
                <w:ilvl w:val="0"/>
                <w:numId w:val="2"/>
              </w:numPr>
              <w:spacing w:line="480" w:lineRule="exact"/>
              <w:ind w:left="560" w:hanging="560" w:hangingChars="200"/>
              <w:rPr>
                <w:rFonts w:ascii="仿宋" w:hAnsi="仿宋" w:eastAsia="仿宋"/>
                <w:sz w:val="28"/>
                <w:szCs w:val="28"/>
              </w:rPr>
            </w:pPr>
            <w:r>
              <w:rPr>
                <w:rFonts w:ascii="仿宋" w:hAnsi="仿宋" w:eastAsia="仿宋"/>
                <w:sz w:val="28"/>
                <w:szCs w:val="28"/>
              </w:rPr>
              <w:t>30万人以上的县（市、区）建有专门的认知障碍照护机构（</w:t>
            </w:r>
            <w:r>
              <w:rPr>
                <w:rFonts w:hint="eastAsia" w:ascii="仿宋" w:hAnsi="仿宋" w:eastAsia="仿宋"/>
                <w:sz w:val="28"/>
                <w:szCs w:val="28"/>
              </w:rPr>
              <w:t>记忆家园）；</w:t>
            </w:r>
          </w:p>
          <w:p>
            <w:pPr>
              <w:pStyle w:val="13"/>
              <w:numPr>
                <w:ilvl w:val="0"/>
                <w:numId w:val="2"/>
              </w:numPr>
              <w:spacing w:line="480" w:lineRule="exact"/>
              <w:ind w:left="560" w:hanging="560" w:hangingChars="200"/>
              <w:rPr>
                <w:rFonts w:ascii="仿宋" w:hAnsi="仿宋" w:eastAsia="仿宋"/>
                <w:sz w:val="28"/>
                <w:szCs w:val="28"/>
              </w:rPr>
            </w:pPr>
            <w:r>
              <w:rPr>
                <w:rFonts w:ascii="仿宋" w:hAnsi="仿宋" w:eastAsia="仿宋"/>
                <w:sz w:val="28"/>
                <w:szCs w:val="28"/>
              </w:rPr>
              <w:t>30万人以下的县（市、区）在养老机构里设认知障碍照护专区（</w:t>
            </w:r>
            <w:r>
              <w:rPr>
                <w:rFonts w:hint="eastAsia" w:ascii="仿宋" w:hAnsi="仿宋" w:eastAsia="仿宋"/>
                <w:sz w:val="28"/>
                <w:szCs w:val="28"/>
              </w:rPr>
              <w:t>记忆家园）</w:t>
            </w:r>
          </w:p>
          <w:p>
            <w:pPr>
              <w:pStyle w:val="13"/>
              <w:numPr>
                <w:ilvl w:val="0"/>
                <w:numId w:val="2"/>
              </w:numPr>
              <w:spacing w:line="480" w:lineRule="exact"/>
              <w:ind w:left="560" w:hanging="560" w:hangingChars="200"/>
              <w:rPr>
                <w:rFonts w:ascii="仿宋" w:hAnsi="仿宋" w:eastAsia="仿宋"/>
                <w:sz w:val="28"/>
                <w:szCs w:val="28"/>
              </w:rPr>
            </w:pPr>
            <w:r>
              <w:rPr>
                <w:rFonts w:hint="eastAsia" w:ascii="仿宋" w:hAnsi="仿宋" w:eastAsia="仿宋"/>
                <w:sz w:val="28"/>
                <w:szCs w:val="28"/>
              </w:rPr>
              <w:t>城市街道建有1家忆家园专区；</w:t>
            </w:r>
          </w:p>
          <w:p>
            <w:pPr>
              <w:pStyle w:val="13"/>
              <w:numPr>
                <w:ilvl w:val="0"/>
                <w:numId w:val="2"/>
              </w:numPr>
              <w:spacing w:line="480" w:lineRule="exact"/>
              <w:ind w:left="560" w:hanging="560" w:hangingChars="200"/>
              <w:rPr>
                <w:rFonts w:ascii="仿宋" w:hAnsi="仿宋" w:eastAsia="仿宋"/>
                <w:sz w:val="28"/>
                <w:szCs w:val="28"/>
              </w:rPr>
            </w:pPr>
            <w:r>
              <w:rPr>
                <w:rFonts w:hint="eastAsia" w:ascii="仿宋" w:hAnsi="仿宋" w:eastAsia="仿宋"/>
                <w:sz w:val="28"/>
                <w:szCs w:val="28"/>
              </w:rPr>
              <w:t>每个街道建有1个认知障碍友好社区。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13"/>
              <w:ind w:left="560" w:firstLine="0" w:firstLineChars="0"/>
              <w:jc w:val="center"/>
              <w:rPr>
                <w:rFonts w:ascii="华文细黑" w:hAnsi="华文细黑" w:eastAsia="华文细黑"/>
                <w:sz w:val="28"/>
                <w:szCs w:val="28"/>
              </w:rPr>
            </w:pPr>
            <w:r>
              <w:rPr>
                <w:rFonts w:hint="eastAsia" w:ascii="华文细黑" w:hAnsi="华文细黑" w:eastAsia="华文细黑"/>
                <w:sz w:val="28"/>
                <w:szCs w:val="28"/>
              </w:rPr>
              <w:t>认知障碍症照护体系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13"/>
              <w:numPr>
                <w:ilvl w:val="0"/>
                <w:numId w:val="2"/>
              </w:numPr>
              <w:spacing w:line="480" w:lineRule="exact"/>
              <w:ind w:firstLineChars="0"/>
              <w:rPr>
                <w:rFonts w:ascii="仿宋" w:hAnsi="仿宋" w:eastAsia="仿宋"/>
                <w:sz w:val="28"/>
                <w:szCs w:val="28"/>
              </w:rPr>
            </w:pPr>
            <w:r>
              <w:rPr>
                <w:rFonts w:hint="eastAsia" w:ascii="仿宋" w:hAnsi="仿宋" w:eastAsia="仿宋"/>
                <w:sz w:val="28"/>
                <w:szCs w:val="28"/>
              </w:rPr>
              <w:t>编制认知症筛选评估、设施和服务标准体系；</w:t>
            </w:r>
          </w:p>
          <w:p>
            <w:pPr>
              <w:pStyle w:val="13"/>
              <w:numPr>
                <w:ilvl w:val="0"/>
                <w:numId w:val="2"/>
              </w:numPr>
              <w:spacing w:line="480" w:lineRule="exact"/>
              <w:ind w:firstLineChars="0"/>
              <w:rPr>
                <w:rFonts w:ascii="仿宋" w:hAnsi="仿宋" w:eastAsia="仿宋"/>
                <w:sz w:val="28"/>
                <w:szCs w:val="28"/>
              </w:rPr>
            </w:pPr>
            <w:r>
              <w:rPr>
                <w:rFonts w:hint="eastAsia" w:ascii="仿宋" w:hAnsi="仿宋" w:eastAsia="仿宋"/>
                <w:sz w:val="28"/>
                <w:szCs w:val="28"/>
              </w:rPr>
              <w:t>建一批记忆家园（专区），建若干认知症友好社区；</w:t>
            </w:r>
          </w:p>
          <w:p>
            <w:pPr>
              <w:pStyle w:val="13"/>
              <w:numPr>
                <w:ilvl w:val="0"/>
                <w:numId w:val="2"/>
              </w:numPr>
              <w:spacing w:line="480" w:lineRule="exact"/>
              <w:ind w:firstLineChars="0"/>
              <w:rPr>
                <w:rFonts w:ascii="仿宋" w:hAnsi="仿宋" w:eastAsia="仿宋"/>
                <w:sz w:val="28"/>
                <w:szCs w:val="28"/>
              </w:rPr>
            </w:pPr>
            <w:r>
              <w:rPr>
                <w:rFonts w:hint="eastAsia" w:ascii="仿宋" w:hAnsi="仿宋" w:eastAsia="仿宋"/>
                <w:sz w:val="28"/>
                <w:szCs w:val="28"/>
              </w:rPr>
              <w:t>引入国际认知症品牌机构，建立认知指导、培训合作机制。</w:t>
            </w:r>
          </w:p>
        </w:tc>
      </w:tr>
    </w:tbl>
    <w:p>
      <w:pPr>
        <w:spacing w:after="240" w:line="600" w:lineRule="exact"/>
        <w:ind w:firstLine="643" w:firstLineChars="200"/>
        <w:rPr>
          <w:rFonts w:ascii="仿宋_GB2312" w:hAnsi="仿宋_GB2312" w:eastAsia="仿宋_GB2312" w:cs="仿宋_GB2312"/>
          <w:bCs/>
          <w:sz w:val="32"/>
          <w:szCs w:val="32"/>
        </w:rPr>
      </w:pPr>
      <w:r>
        <w:rPr>
          <w:rFonts w:ascii="楷体_GB2312" w:hAnsi="楷体_GB2312" w:eastAsia="楷体_GB2312" w:cs="楷体_GB2312"/>
          <w:b/>
          <w:sz w:val="32"/>
          <w:szCs w:val="32"/>
        </w:rPr>
        <w:t>3.</w:t>
      </w:r>
      <w:r>
        <w:rPr>
          <w:rFonts w:hint="eastAsia" w:ascii="楷体_GB2312" w:hAnsi="楷体_GB2312" w:eastAsia="楷体_GB2312" w:cs="楷体_GB2312"/>
          <w:b/>
          <w:sz w:val="32"/>
          <w:szCs w:val="32"/>
        </w:rPr>
        <w:t>大力发展居家上门服务。</w:t>
      </w:r>
      <w:r>
        <w:rPr>
          <w:rFonts w:hint="eastAsia" w:ascii="仿宋_GB2312" w:hAnsi="仿宋_GB2312" w:eastAsia="仿宋_GB2312" w:cs="仿宋_GB2312"/>
          <w:bCs/>
          <w:sz w:val="32"/>
          <w:szCs w:val="32"/>
        </w:rPr>
        <w:t>大力推进在宅</w:t>
      </w:r>
      <w:r>
        <w:rPr>
          <w:rFonts w:hint="eastAsia" w:ascii="Calibri" w:hAnsi="Calibri" w:eastAsia="仿宋_GB2312" w:cs="Calibri"/>
          <w:bCs/>
          <w:sz w:val="32"/>
          <w:szCs w:val="32"/>
        </w:rPr>
        <w:t>服务</w:t>
      </w:r>
      <w:r>
        <w:rPr>
          <w:rFonts w:hint="eastAsia" w:ascii="仿宋_GB2312" w:hAnsi="仿宋_GB2312" w:eastAsia="仿宋_GB2312" w:cs="仿宋_GB2312"/>
          <w:bCs/>
          <w:sz w:val="32"/>
          <w:szCs w:val="32"/>
        </w:rPr>
        <w:t>，围绕老年人居住的房子，项目化推进居家生活照料、巡诊、康复护理、送餐助餐、助浴、家庭设施</w:t>
      </w:r>
      <w:r>
        <w:rPr>
          <w:rFonts w:hint="eastAsia" w:ascii="Calibri" w:hAnsi="Calibri" w:eastAsia="仿宋_GB2312" w:cs="Calibri"/>
          <w:bCs/>
          <w:sz w:val="32"/>
          <w:szCs w:val="32"/>
        </w:rPr>
        <w:t>适</w:t>
      </w:r>
      <w:r>
        <w:rPr>
          <w:rFonts w:hint="eastAsia" w:ascii="仿宋_GB2312" w:hAnsi="仿宋_GB2312" w:eastAsia="仿宋_GB2312" w:cs="仿宋_GB2312"/>
          <w:bCs/>
          <w:sz w:val="32"/>
          <w:szCs w:val="32"/>
        </w:rPr>
        <w:t>老化改造等服务。建立配送餐机制，老年人有助餐配送餐需求的社区做到服务全覆盖，</w:t>
      </w:r>
      <w:r>
        <w:rPr>
          <w:rFonts w:hint="eastAsia" w:ascii="仿宋" w:hAnsi="仿宋" w:eastAsia="仿宋"/>
          <w:sz w:val="32"/>
          <w:szCs w:val="32"/>
        </w:rPr>
        <w:t>打通最后一百米服务</w:t>
      </w:r>
      <w:r>
        <w:rPr>
          <w:rFonts w:hint="eastAsia" w:ascii="仿宋_GB2312" w:hAnsi="仿宋_GB2312" w:eastAsia="仿宋_GB2312" w:cs="仿宋_GB2312"/>
          <w:bCs/>
          <w:sz w:val="32"/>
          <w:szCs w:val="32"/>
        </w:rPr>
        <w:t>。加快推动</w:t>
      </w:r>
      <w:r>
        <w:rPr>
          <w:rFonts w:hint="eastAsia" w:ascii="仿宋_GB2312" w:hAnsi="仿宋_GB2312" w:eastAsia="仿宋_GB2312" w:cs="仿宋_GB2312"/>
          <w:bCs/>
          <w:sz w:val="32"/>
          <w:szCs w:val="32"/>
          <w:lang w:val="zh-CN"/>
        </w:rPr>
        <w:t>家庭养老</w:t>
      </w:r>
      <w:r>
        <w:rPr>
          <w:rFonts w:hint="eastAsia" w:ascii="Calibri" w:hAnsi="Calibri" w:eastAsia="仿宋_GB2312" w:cs="Calibri"/>
          <w:bCs/>
          <w:sz w:val="32"/>
          <w:szCs w:val="32"/>
          <w:lang w:val="zh-CN"/>
        </w:rPr>
        <w:t>照护</w:t>
      </w:r>
      <w:r>
        <w:rPr>
          <w:rFonts w:hint="eastAsia" w:ascii="仿宋_GB2312" w:hAnsi="仿宋_GB2312" w:eastAsia="仿宋_GB2312" w:cs="仿宋_GB2312"/>
          <w:bCs/>
          <w:sz w:val="32"/>
          <w:szCs w:val="32"/>
          <w:lang w:val="zh-CN"/>
        </w:rPr>
        <w:t>床位</w:t>
      </w:r>
      <w:r>
        <w:rPr>
          <w:rFonts w:hint="eastAsia" w:ascii="仿宋_GB2312" w:hAnsi="仿宋_GB2312" w:eastAsia="仿宋_GB2312" w:cs="仿宋_GB2312"/>
          <w:bCs/>
          <w:sz w:val="32"/>
          <w:szCs w:val="32"/>
        </w:rPr>
        <w:t>建设</w:t>
      </w:r>
      <w:r>
        <w:rPr>
          <w:rFonts w:hint="eastAsia" w:ascii="仿宋_GB2312" w:hAnsi="仿宋_GB2312" w:eastAsia="仿宋_GB2312" w:cs="仿宋_GB2312"/>
          <w:bCs/>
          <w:sz w:val="32"/>
          <w:szCs w:val="32"/>
          <w:lang w:val="zh-CN"/>
        </w:rPr>
        <w:t>，</w:t>
      </w:r>
      <w:r>
        <w:rPr>
          <w:rFonts w:hint="eastAsia" w:ascii="仿宋_GB2312" w:hAnsi="仿宋_GB2312" w:eastAsia="仿宋_GB2312" w:cs="仿宋_GB2312"/>
          <w:bCs/>
          <w:sz w:val="32"/>
          <w:szCs w:val="32"/>
        </w:rPr>
        <w:t>将专业服务延伸到家庭，家院互融实现新发展。</w:t>
      </w:r>
      <w:r>
        <w:rPr>
          <w:rFonts w:hint="eastAsia" w:ascii="仿宋_GB2312" w:eastAsia="仿宋_GB2312"/>
          <w:sz w:val="32"/>
          <w:szCs w:val="32"/>
        </w:rPr>
        <w:t>通过财政补贴等形式，</w:t>
      </w:r>
      <w:r>
        <w:rPr>
          <w:rFonts w:ascii="仿宋_GB2312" w:eastAsia="仿宋_GB2312"/>
          <w:sz w:val="32"/>
          <w:szCs w:val="32"/>
        </w:rPr>
        <w:t>支持</w:t>
      </w:r>
      <w:r>
        <w:rPr>
          <w:rFonts w:hint="eastAsia" w:ascii="仿宋_GB2312" w:hAnsi="仿宋_GB2312" w:eastAsia="仿宋_GB2312" w:cs="仿宋_GB2312"/>
          <w:bCs/>
          <w:sz w:val="32"/>
          <w:szCs w:val="32"/>
        </w:rPr>
        <w:t>困难老年人家庭开展适老化改造；鼓励普通老年人家庭</w:t>
      </w:r>
      <w:r>
        <w:rPr>
          <w:rFonts w:hint="eastAsia" w:ascii="仿宋_GB2312" w:hAnsi="仿宋_GB2312" w:eastAsia="仿宋_GB2312" w:cs="仿宋_GB2312"/>
          <w:bCs/>
          <w:sz w:val="32"/>
          <w:szCs w:val="32"/>
          <w:lang w:val="zh-CN"/>
        </w:rPr>
        <w:t>进行日常生活设施适老化改造</w:t>
      </w:r>
      <w:r>
        <w:rPr>
          <w:rFonts w:hint="eastAsia" w:ascii="仿宋_GB2312" w:hAnsi="仿宋_GB2312" w:eastAsia="仿宋_GB2312" w:cs="仿宋_GB2312"/>
          <w:bCs/>
          <w:sz w:val="32"/>
          <w:szCs w:val="32"/>
        </w:rPr>
        <w:t>，到2025年，居家高龄、独居、失能等政府保障对象愿改尽改，建立家庭照护床位2000张，健全家庭养老支持政策，为中度以上居家失能老人家庭照护者提供喘息服务。</w:t>
      </w:r>
      <w:r>
        <w:rPr>
          <w:rFonts w:hint="eastAsia" w:ascii="仿宋_GB2312" w:eastAsia="仿宋_GB2312"/>
          <w:sz w:val="32"/>
          <w:szCs w:val="32"/>
        </w:rPr>
        <w:t>全面建立居家</w:t>
      </w:r>
      <w:r>
        <w:rPr>
          <w:rFonts w:hint="eastAsia" w:ascii="Calibri" w:hAnsi="Calibri" w:eastAsia="仿宋_GB2312" w:cs="Calibri"/>
          <w:sz w:val="32"/>
          <w:szCs w:val="32"/>
        </w:rPr>
        <w:t>老人</w:t>
      </w:r>
      <w:r>
        <w:rPr>
          <w:rFonts w:hint="eastAsia" w:ascii="仿宋_GB2312" w:eastAsia="仿宋_GB2312"/>
          <w:sz w:val="32"/>
          <w:szCs w:val="32"/>
        </w:rPr>
        <w:t>探访制度，</w:t>
      </w:r>
      <w:r>
        <w:rPr>
          <w:rFonts w:hint="eastAsia" w:ascii="Calibri" w:hAnsi="Calibri" w:eastAsia="仿宋_GB2312" w:cs="Calibri"/>
          <w:sz w:val="32"/>
          <w:szCs w:val="32"/>
        </w:rPr>
        <w:t>健全</w:t>
      </w:r>
      <w:r>
        <w:rPr>
          <w:rFonts w:hint="eastAsia" w:ascii="仿宋_GB2312" w:eastAsia="仿宋_GB2312"/>
          <w:sz w:val="32"/>
          <w:szCs w:val="32"/>
        </w:rPr>
        <w:t>紧急救援系统，支持和引导基层组织、社会组织共同开展探访与帮扶服务，重点关注空巢、留守、失能、重残、独居、计划生育特殊家庭等特殊困难老年人，月探访率达到100%。</w:t>
      </w:r>
      <w:r>
        <w:rPr>
          <w:rFonts w:hint="eastAsia" w:ascii="仿宋_GB2312" w:hAnsi="仿宋_GB2312" w:eastAsia="仿宋_GB2312" w:cs="仿宋_GB2312"/>
          <w:bCs/>
          <w:sz w:val="32"/>
          <w:szCs w:val="32"/>
        </w:rPr>
        <w:t>落实老年人与子女同住公租房、廉租房优先排队政策，鼓励将政策拓展到拆村建居安置房分配；落实80岁高龄老龄随子女落户政策。</w:t>
      </w:r>
      <w:r>
        <w:rPr>
          <w:rFonts w:hint="eastAsia" w:ascii="仿宋_GB2312" w:hAnsi="仿宋_GB2312" w:eastAsia="仿宋_GB2312" w:cs="仿宋_GB2312"/>
          <w:sz w:val="32"/>
          <w:szCs w:val="32"/>
          <w:lang w:eastAsia="zh-CN"/>
        </w:rPr>
        <w:t>〔</w:t>
      </w:r>
      <w:r>
        <w:rPr>
          <w:rFonts w:hint="eastAsia" w:ascii="楷体_GB2312" w:hAnsi="楷体_GB2312" w:eastAsia="楷体_GB2312" w:cs="楷体_GB2312"/>
          <w:sz w:val="32"/>
          <w:szCs w:val="32"/>
          <w:lang w:val="en-US" w:eastAsia="zh-CN"/>
        </w:rPr>
        <w:t>责任部门：市民政局、市卫健委、市住保房管局、市公安局，区、县（市）人民政府</w:t>
      </w:r>
      <w:r>
        <w:rPr>
          <w:rFonts w:hint="eastAsia" w:ascii="仿宋_GB2312" w:hAnsi="仿宋_GB2312" w:eastAsia="仿宋_GB2312" w:cs="仿宋_GB2312"/>
          <w:sz w:val="32"/>
          <w:szCs w:val="32"/>
          <w:lang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jc w:val="center"/>
              <w:rPr>
                <w:rFonts w:ascii="华文细黑" w:hAnsi="华文细黑" w:eastAsia="华文细黑" w:cs="Times New Roman"/>
                <w:sz w:val="28"/>
                <w:szCs w:val="28"/>
              </w:rPr>
            </w:pPr>
            <w:r>
              <w:rPr>
                <w:rFonts w:hint="eastAsia" w:ascii="华文细黑" w:hAnsi="华文细黑" w:eastAsia="华文细黑" w:cs="Times New Roman"/>
                <w:sz w:val="28"/>
                <w:szCs w:val="28"/>
              </w:rPr>
              <w:t>专栏3：</w:t>
            </w:r>
            <w:r>
              <w:rPr>
                <w:rFonts w:ascii="华文细黑" w:hAnsi="华文细黑" w:eastAsia="华文细黑"/>
                <w:sz w:val="28"/>
                <w:szCs w:val="28"/>
              </w:rPr>
              <w:t>大社区养老服务设施保障行动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80" w:lineRule="exact"/>
              <w:rPr>
                <w:rFonts w:ascii="仿宋" w:hAnsi="仿宋" w:eastAsia="仿宋" w:cs="微软雅黑"/>
                <w:sz w:val="28"/>
                <w:szCs w:val="28"/>
              </w:rPr>
            </w:pPr>
            <w:r>
              <w:rPr>
                <w:rFonts w:hint="eastAsia" w:ascii="华文楷体" w:hAnsi="华文楷体" w:eastAsia="华文楷体" w:cs="微软雅黑"/>
                <w:b/>
                <w:sz w:val="28"/>
                <w:szCs w:val="28"/>
              </w:rPr>
              <w:t>1</w:t>
            </w:r>
            <w:r>
              <w:rPr>
                <w:rFonts w:ascii="华文楷体" w:hAnsi="华文楷体" w:eastAsia="华文楷体" w:cs="微软雅黑"/>
                <w:b/>
                <w:sz w:val="28"/>
                <w:szCs w:val="28"/>
              </w:rPr>
              <w:t>.确立新理念。</w:t>
            </w:r>
            <w:r>
              <w:rPr>
                <w:rFonts w:ascii="仿宋" w:hAnsi="仿宋" w:eastAsia="仿宋" w:cs="微软雅黑"/>
                <w:sz w:val="28"/>
                <w:szCs w:val="28"/>
              </w:rPr>
              <w:t>由“老人跟着机构走”转向“机构跟着老人走”，</w:t>
            </w:r>
            <w:r>
              <w:rPr>
                <w:rFonts w:hint="eastAsia" w:ascii="仿宋_GB2312" w:hAnsi="仿宋_GB2312" w:eastAsia="仿宋_GB2312" w:cs="仿宋_GB2312"/>
                <w:bCs/>
                <w:sz w:val="32"/>
                <w:szCs w:val="32"/>
              </w:rPr>
              <w:t xml:space="preserve"> </w:t>
            </w:r>
            <w:r>
              <w:rPr>
                <w:rFonts w:hint="eastAsia" w:ascii="仿宋" w:hAnsi="仿宋" w:eastAsia="仿宋" w:cs="微软雅黑"/>
                <w:sz w:val="28"/>
                <w:szCs w:val="28"/>
              </w:rPr>
              <w:t>推动养老机构进入城市主城区、老年人集聚区，分散均衡布点。</w:t>
            </w:r>
          </w:p>
          <w:p>
            <w:pPr>
              <w:spacing w:line="480" w:lineRule="exact"/>
              <w:rPr>
                <w:rFonts w:ascii="仿宋" w:hAnsi="仿宋" w:eastAsia="仿宋" w:cs="微软雅黑"/>
                <w:sz w:val="28"/>
                <w:szCs w:val="28"/>
              </w:rPr>
            </w:pPr>
            <w:r>
              <w:rPr>
                <w:rFonts w:hint="eastAsia" w:ascii="华文楷体" w:hAnsi="华文楷体" w:eastAsia="华文楷体" w:cs="微软雅黑"/>
                <w:b/>
                <w:sz w:val="28"/>
                <w:szCs w:val="28"/>
              </w:rPr>
              <w:t>2</w:t>
            </w:r>
            <w:r>
              <w:rPr>
                <w:rFonts w:ascii="华文楷体" w:hAnsi="华文楷体" w:eastAsia="华文楷体" w:cs="微软雅黑"/>
                <w:b/>
                <w:sz w:val="28"/>
                <w:szCs w:val="28"/>
              </w:rPr>
              <w:t>.统筹新标准。</w:t>
            </w:r>
            <w:r>
              <w:rPr>
                <w:rFonts w:ascii="仿宋" w:hAnsi="仿宋" w:eastAsia="仿宋" w:cs="微软雅黑"/>
                <w:sz w:val="28"/>
                <w:szCs w:val="28"/>
              </w:rPr>
              <w:t>与省</w:t>
            </w:r>
            <w:r>
              <w:rPr>
                <w:rFonts w:hint="eastAsia" w:ascii="仿宋" w:hAnsi="仿宋" w:eastAsia="仿宋" w:cs="微软雅黑"/>
                <w:sz w:val="28"/>
                <w:szCs w:val="28"/>
              </w:rPr>
              <w:t>里</w:t>
            </w:r>
            <w:r>
              <w:rPr>
                <w:rFonts w:ascii="仿宋" w:hAnsi="仿宋" w:eastAsia="仿宋" w:cs="微软雅黑"/>
                <w:sz w:val="28"/>
                <w:szCs w:val="28"/>
              </w:rPr>
              <w:t>新标准同步，即</w:t>
            </w:r>
            <w:r>
              <w:rPr>
                <w:rFonts w:hint="eastAsia" w:ascii="仿宋" w:hAnsi="仿宋" w:eastAsia="仿宋" w:cs="微软雅黑"/>
                <w:sz w:val="28"/>
                <w:szCs w:val="28"/>
              </w:rPr>
              <w:t>以1万名老年人为单元，建设300张养老机构床位，确保主城区每1名老年人1公里范围内有1家养老机构，统筹落实社区照护中心规划布点。</w:t>
            </w:r>
          </w:p>
          <w:p>
            <w:pPr>
              <w:spacing w:line="480" w:lineRule="exact"/>
              <w:rPr>
                <w:rFonts w:ascii="仿宋" w:hAnsi="仿宋" w:eastAsia="仿宋"/>
                <w:sz w:val="28"/>
                <w:szCs w:val="28"/>
              </w:rPr>
            </w:pPr>
            <w:r>
              <w:rPr>
                <w:rFonts w:hint="eastAsia" w:ascii="华文楷体" w:hAnsi="华文楷体" w:eastAsia="华文楷体"/>
                <w:b/>
                <w:sz w:val="28"/>
                <w:szCs w:val="28"/>
              </w:rPr>
              <w:t>3</w:t>
            </w:r>
            <w:r>
              <w:rPr>
                <w:rFonts w:ascii="华文楷体" w:hAnsi="华文楷体" w:eastAsia="华文楷体"/>
                <w:b/>
                <w:sz w:val="28"/>
                <w:szCs w:val="28"/>
              </w:rPr>
              <w:t>.纳入新规划。</w:t>
            </w:r>
            <w:r>
              <w:rPr>
                <w:rFonts w:hint="eastAsia" w:ascii="仿宋" w:hAnsi="仿宋" w:eastAsia="仿宋"/>
                <w:sz w:val="28"/>
                <w:szCs w:val="28"/>
              </w:rPr>
              <w:t>修订市养老服务设施布点规划，50万人口以上县市编制养老服务设施布局专项规划，将大社区养老服务布局纳入专项规划。</w:t>
            </w:r>
          </w:p>
          <w:p>
            <w:pPr>
              <w:spacing w:line="480" w:lineRule="exact"/>
              <w:rPr>
                <w:rFonts w:ascii="仿宋" w:hAnsi="仿宋" w:eastAsia="仿宋"/>
                <w:bCs/>
                <w:sz w:val="28"/>
                <w:szCs w:val="28"/>
              </w:rPr>
            </w:pPr>
            <w:r>
              <w:rPr>
                <w:rFonts w:ascii="华文楷体" w:hAnsi="华文楷体" w:eastAsia="华文楷体"/>
                <w:b/>
                <w:sz w:val="28"/>
                <w:szCs w:val="28"/>
              </w:rPr>
              <w:t>4.实施新统筹。</w:t>
            </w:r>
            <w:r>
              <w:rPr>
                <w:rFonts w:ascii="仿宋" w:hAnsi="仿宋" w:eastAsia="仿宋"/>
                <w:bCs/>
                <w:sz w:val="28"/>
                <w:szCs w:val="28"/>
              </w:rPr>
              <w:t>明确大社区养老服务圈</w:t>
            </w:r>
            <w:r>
              <w:rPr>
                <w:rFonts w:hint="eastAsia" w:ascii="仿宋" w:hAnsi="仿宋" w:eastAsia="仿宋"/>
                <w:bCs/>
                <w:sz w:val="28"/>
                <w:szCs w:val="28"/>
              </w:rPr>
              <w:t>8大设施功能配建标准和要求，</w:t>
            </w:r>
            <w:r>
              <w:rPr>
                <w:rFonts w:ascii="仿宋" w:hAnsi="仿宋" w:eastAsia="仿宋"/>
                <w:bCs/>
                <w:sz w:val="28"/>
                <w:szCs w:val="28"/>
              </w:rPr>
              <w:t>主动对接社区，</w:t>
            </w:r>
            <w:r>
              <w:rPr>
                <w:rFonts w:hint="eastAsia" w:ascii="仿宋" w:hAnsi="仿宋" w:eastAsia="仿宋"/>
                <w:bCs/>
                <w:sz w:val="28"/>
                <w:szCs w:val="28"/>
              </w:rPr>
              <w:t>倡导社区居家养老服务设施和社区开放融合，实现养老服务设施与邻里中心/社区美好共同体、</w:t>
            </w:r>
            <w:r>
              <w:rPr>
                <w:rFonts w:ascii="仿宋" w:hAnsi="仿宋" w:eastAsia="仿宋"/>
                <w:bCs/>
                <w:sz w:val="28"/>
                <w:szCs w:val="28"/>
              </w:rPr>
              <w:t>社区卫生服务中心/站</w:t>
            </w:r>
            <w:r>
              <w:rPr>
                <w:rFonts w:hint="eastAsia" w:ascii="仿宋" w:hAnsi="仿宋" w:eastAsia="仿宋"/>
                <w:bCs/>
                <w:sz w:val="28"/>
                <w:szCs w:val="28"/>
              </w:rPr>
              <w:t>等社区设施整体规划、资源互动融通。</w:t>
            </w:r>
          </w:p>
          <w:p>
            <w:pPr>
              <w:spacing w:line="480" w:lineRule="exact"/>
            </w:pPr>
            <w:r>
              <w:rPr>
                <w:rFonts w:hint="eastAsia" w:ascii="华文楷体" w:hAnsi="华文楷体" w:eastAsia="华文楷体"/>
                <w:b/>
                <w:bCs/>
                <w:sz w:val="28"/>
                <w:szCs w:val="28"/>
              </w:rPr>
              <w:t>5</w:t>
            </w:r>
            <w:r>
              <w:rPr>
                <w:rFonts w:ascii="华文楷体" w:hAnsi="华文楷体" w:eastAsia="华文楷体"/>
                <w:b/>
                <w:bCs/>
                <w:sz w:val="28"/>
                <w:szCs w:val="28"/>
              </w:rPr>
              <w:t>.落实配建保障。</w:t>
            </w:r>
            <w:r>
              <w:rPr>
                <w:rFonts w:ascii="仿宋" w:hAnsi="仿宋" w:eastAsia="仿宋"/>
                <w:bCs/>
                <w:sz w:val="28"/>
                <w:szCs w:val="28"/>
              </w:rPr>
              <w:t>严格落实《杭州市居家养老服务条例》有关社区居家服务设施配建标准，</w:t>
            </w:r>
            <w:r>
              <w:rPr>
                <w:rFonts w:hint="eastAsia" w:ascii="仿宋" w:hAnsi="仿宋" w:eastAsia="仿宋"/>
                <w:bCs/>
                <w:sz w:val="28"/>
                <w:szCs w:val="28"/>
              </w:rPr>
              <w:t>严格落实新建住宅小区与配套养老服务设施四同步要求，到2022年，配建养老服务设施达标率达到100%；加强已建社区居家养老服务设施运营、拆迁、挪用补偿等规范；鼓励探索住宅小区和偏远自然村自治、互助性养老设施；建立健全政府闲置房产、住宅小区公共配建用房等优先用于养老服务的制度安排。</w:t>
            </w:r>
          </w:p>
        </w:tc>
      </w:tr>
    </w:tbl>
    <w:p>
      <w:pPr>
        <w:tabs>
          <w:tab w:val="left" w:pos="860"/>
        </w:tabs>
        <w:spacing w:line="600" w:lineRule="exact"/>
        <w:ind w:firstLine="640" w:firstLineChars="200"/>
        <w:rPr>
          <w:rFonts w:ascii="黑体" w:hAnsi="黑体" w:eastAsia="黑体"/>
          <w:sz w:val="32"/>
          <w:szCs w:val="32"/>
        </w:rPr>
      </w:pPr>
      <w:r>
        <w:rPr>
          <w:rFonts w:hint="eastAsia" w:ascii="黑体" w:hAnsi="黑体" w:eastAsia="黑体"/>
          <w:sz w:val="32"/>
          <w:szCs w:val="32"/>
        </w:rPr>
        <w:t>（三）加快医养康养实现有效融合</w:t>
      </w:r>
    </w:p>
    <w:p>
      <w:pPr>
        <w:spacing w:after="240" w:line="600" w:lineRule="exact"/>
        <w:ind w:firstLine="643" w:firstLineChars="200"/>
        <w:rPr>
          <w:rFonts w:hint="eastAsia" w:ascii="仿宋_GB2312" w:hAnsi="仿宋_GB2312" w:eastAsia="仿宋_GB2312" w:cs="仿宋_GB2312"/>
          <w:sz w:val="32"/>
          <w:szCs w:val="32"/>
        </w:rPr>
      </w:pPr>
      <w:r>
        <w:rPr>
          <w:rFonts w:ascii="楷体_GB2312" w:hAnsi="楷体_GB2312" w:eastAsia="楷体_GB2312" w:cs="楷体_GB2312"/>
          <w:b/>
          <w:sz w:val="32"/>
          <w:szCs w:val="32"/>
        </w:rPr>
        <w:t>1.</w:t>
      </w:r>
      <w:r>
        <w:rPr>
          <w:rFonts w:hint="eastAsia" w:ascii="楷体_GB2312" w:hAnsi="楷体_GB2312" w:eastAsia="楷体_GB2312" w:cs="楷体_GB2312"/>
          <w:b/>
          <w:sz w:val="32"/>
          <w:szCs w:val="32"/>
        </w:rPr>
        <w:t>打造多层次康养联合体。</w:t>
      </w:r>
      <w:r>
        <w:rPr>
          <w:rFonts w:hint="eastAsia" w:ascii="仿宋_GB2312" w:hAnsi="仿宋_GB2312" w:eastAsia="仿宋_GB2312" w:cs="仿宋_GB2312"/>
          <w:sz w:val="32"/>
          <w:szCs w:val="32"/>
        </w:rPr>
        <w:t>把康复理念、制度、设施、技术和人才等引入养老服务。以功能维持和康复为导向，以养老服务机构为主体，以提升康复、护理服务能力为重点，以康养联合建设为抓手，推进康养体系建设。市县级康养联合体以大中型养老机构为主体，依托医疗机构，为老年人提供稳定期康复、出院后护理等服务。乡镇级康养联合体以居家养老服务中心为主体，联合基层医疗卫生机构，为老年人提供个性化、专业化康养服务。支持部分二级医疗机构转型为老年康复医院，鼓励社会力量创办老年康复机构，提升基层医疗卫生机构康复护理床位占比，100张以上床位的养老机构均应设立康复室，配备康复器材。鼓励社会办医疗机构、康复机构参与康养联合体。到2025年，建成</w:t>
      </w:r>
      <w:r>
        <w:rPr>
          <w:rFonts w:hint="eastAsia" w:ascii="仿宋_GB2312" w:hAnsi="仿宋_GB2312" w:eastAsia="仿宋_GB2312" w:cs="仿宋_GB2312"/>
          <w:color w:val="000000" w:themeColor="text1"/>
          <w:sz w:val="32"/>
          <w:szCs w:val="32"/>
          <w14:textFill>
            <w14:solidFill>
              <w14:schemeClr w14:val="tx1"/>
            </w14:solidFill>
          </w14:textFill>
        </w:rPr>
        <w:t>100个</w:t>
      </w:r>
      <w:r>
        <w:rPr>
          <w:rFonts w:hint="eastAsia" w:ascii="仿宋_GB2312" w:hAnsi="仿宋_GB2312" w:eastAsia="仿宋_GB2312" w:cs="仿宋_GB2312"/>
          <w:sz w:val="32"/>
          <w:szCs w:val="32"/>
        </w:rPr>
        <w:t>康养联合体。</w:t>
      </w:r>
    </w:p>
    <w:p>
      <w:pPr>
        <w:spacing w:after="240" w:line="600" w:lineRule="exact"/>
        <w:ind w:firstLine="643" w:firstLineChars="20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2.健全康养一体化机制。</w:t>
      </w:r>
      <w:r>
        <w:rPr>
          <w:rFonts w:hint="eastAsia" w:ascii="仿宋_GB2312" w:hAnsi="仿宋_GB2312" w:eastAsia="仿宋_GB2312" w:cs="仿宋_GB2312"/>
          <w:sz w:val="32"/>
          <w:szCs w:val="32"/>
        </w:rPr>
        <w:t>将体适能评估纳入老年人常规体检，将康复需求评估纳入老年人能力评估，依托数字化改革，建立以老人码为基础的全生命周期健康数据库。完善老年人能力评估指标体系，研究康复护理服务标准体系，编制康养联合体建设标准，建设定位清晰、职责明确、上下联通、转接有序的康养联合体，建立医疗机构、养老服务机构和家庭有序转接，能力评估、专业服务和照护政策衔接配套的服务体系。</w:t>
      </w:r>
    </w:p>
    <w:tbl>
      <w:tblPr>
        <w:tblStyle w:val="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tcPr>
          <w:p>
            <w:pPr>
              <w:jc w:val="center"/>
              <w:rPr>
                <w:rFonts w:ascii="华文细黑" w:hAnsi="华文细黑" w:eastAsia="华文细黑"/>
                <w:sz w:val="28"/>
                <w:szCs w:val="28"/>
              </w:rPr>
            </w:pPr>
            <w:r>
              <w:rPr>
                <w:rFonts w:hint="eastAsia" w:ascii="华文细黑" w:hAnsi="华文细黑" w:eastAsia="华文细黑"/>
                <w:sz w:val="28"/>
                <w:szCs w:val="28"/>
              </w:rPr>
              <w:t>专栏</w:t>
            </w:r>
            <w:r>
              <w:rPr>
                <w:rFonts w:ascii="华文细黑" w:hAnsi="华文细黑" w:eastAsia="华文细黑"/>
                <w:sz w:val="28"/>
                <w:szCs w:val="28"/>
              </w:rPr>
              <w:t>4</w:t>
            </w:r>
            <w:r>
              <w:rPr>
                <w:rFonts w:hint="eastAsia" w:ascii="华文细黑" w:hAnsi="华文细黑" w:eastAsia="华文细黑"/>
                <w:sz w:val="28"/>
                <w:szCs w:val="28"/>
              </w:rPr>
              <w:t>：紧密型康养联合体建设行动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784" w:type="dxa"/>
            <w:vAlign w:val="center"/>
          </w:tcPr>
          <w:p>
            <w:pPr>
              <w:spacing w:line="480" w:lineRule="exact"/>
              <w:ind w:firstLine="560" w:firstLineChars="200"/>
              <w:jc w:val="left"/>
              <w:rPr>
                <w:rFonts w:ascii="仿宋" w:hAnsi="仿宋" w:eastAsia="仿宋"/>
                <w:b/>
                <w:bCs/>
                <w:sz w:val="28"/>
                <w:szCs w:val="28"/>
              </w:rPr>
            </w:pPr>
            <w:r>
              <w:rPr>
                <w:rFonts w:hint="eastAsia" w:ascii="仿宋" w:hAnsi="仿宋" w:eastAsia="仿宋" w:cs="仿宋_GB2312"/>
                <w:sz w:val="28"/>
                <w:szCs w:val="28"/>
              </w:rPr>
              <w:t>以医养康养结合机制改革突破为抓手，社区居家医养康养结合为重点，以医养康养数据化联通为支撑，以标准和队伍建设为保障，推进紧密型康养联合体建设。</w:t>
            </w:r>
          </w:p>
          <w:p>
            <w:pPr>
              <w:spacing w:line="480" w:lineRule="exact"/>
              <w:rPr>
                <w:rFonts w:ascii="仿宋" w:hAnsi="仿宋" w:eastAsia="仿宋" w:cs="Times New Roman"/>
                <w:bCs/>
                <w:sz w:val="28"/>
                <w:szCs w:val="28"/>
              </w:rPr>
            </w:pPr>
            <w:r>
              <w:rPr>
                <w:rFonts w:ascii="华文楷体" w:hAnsi="华文楷体" w:eastAsia="华文楷体"/>
                <w:b/>
                <w:bCs/>
                <w:sz w:val="28"/>
                <w:szCs w:val="28"/>
              </w:rPr>
              <w:t>1</w:t>
            </w:r>
            <w:r>
              <w:rPr>
                <w:rFonts w:hint="eastAsia" w:ascii="华文楷体" w:hAnsi="华文楷体" w:eastAsia="华文楷体"/>
                <w:b/>
                <w:bCs/>
                <w:sz w:val="28"/>
                <w:szCs w:val="28"/>
              </w:rPr>
              <w:t>.率先推进标准化建设。</w:t>
            </w:r>
            <w:r>
              <w:rPr>
                <w:rFonts w:hint="eastAsia" w:ascii="仿宋" w:hAnsi="仿宋" w:eastAsia="仿宋" w:cs="Times New Roman"/>
                <w:bCs/>
                <w:sz w:val="28"/>
                <w:szCs w:val="28"/>
              </w:rPr>
              <w:t>修订老年人健康体检、能力评估指标体系；研究编制康养联合体建设标准和等级标准，争取老年人康复护理服务地方标准立项。</w:t>
            </w:r>
          </w:p>
          <w:p>
            <w:pPr>
              <w:spacing w:line="480" w:lineRule="exact"/>
              <w:rPr>
                <w:rFonts w:ascii="仿宋" w:hAnsi="仿宋" w:eastAsia="仿宋"/>
                <w:sz w:val="28"/>
                <w:szCs w:val="28"/>
              </w:rPr>
            </w:pPr>
            <w:r>
              <w:rPr>
                <w:rFonts w:hint="eastAsia" w:ascii="华文楷体" w:hAnsi="华文楷体" w:eastAsia="华文楷体"/>
                <w:b/>
                <w:bCs/>
                <w:sz w:val="28"/>
                <w:szCs w:val="28"/>
              </w:rPr>
              <w:t>2</w:t>
            </w:r>
            <w:r>
              <w:rPr>
                <w:rFonts w:ascii="华文楷体" w:hAnsi="华文楷体" w:eastAsia="华文楷体"/>
                <w:b/>
                <w:bCs/>
                <w:sz w:val="28"/>
                <w:szCs w:val="28"/>
              </w:rPr>
              <w:t>.</w:t>
            </w:r>
            <w:r>
              <w:rPr>
                <w:rFonts w:hint="eastAsia" w:ascii="华文楷体" w:hAnsi="华文楷体" w:eastAsia="华文楷体"/>
                <w:b/>
                <w:bCs/>
                <w:sz w:val="28"/>
                <w:szCs w:val="28"/>
              </w:rPr>
              <w:t>搭建医养康养合作平台。</w:t>
            </w:r>
            <w:r>
              <w:rPr>
                <w:rFonts w:hint="eastAsia" w:ascii="仿宋" w:hAnsi="仿宋" w:eastAsia="仿宋" w:cs="Times New Roman"/>
                <w:bCs/>
                <w:sz w:val="28"/>
                <w:szCs w:val="28"/>
              </w:rPr>
              <w:t>市、区县市各确立1家医疗机构作为</w:t>
            </w:r>
            <w:r>
              <w:rPr>
                <w:rFonts w:hint="eastAsia" w:ascii="仿宋" w:hAnsi="仿宋" w:eastAsia="仿宋" w:cs="Times New Roman"/>
                <w:sz w:val="28"/>
                <w:szCs w:val="28"/>
              </w:rPr>
              <w:t>康复</w:t>
            </w:r>
            <w:r>
              <w:rPr>
                <w:rFonts w:ascii="仿宋" w:hAnsi="仿宋" w:eastAsia="仿宋" w:cs="Times New Roman"/>
                <w:sz w:val="28"/>
                <w:szCs w:val="28"/>
              </w:rPr>
              <w:t>技术指导中心，</w:t>
            </w:r>
            <w:r>
              <w:rPr>
                <w:rFonts w:hint="eastAsia" w:ascii="仿宋" w:hAnsi="仿宋" w:eastAsia="仿宋" w:cs="Times New Roman"/>
                <w:sz w:val="28"/>
                <w:szCs w:val="28"/>
              </w:rPr>
              <w:t>建立区域医养康养联盟；依托深化数字化改革，促进医养康养部门数据联动；</w:t>
            </w:r>
            <w:r>
              <w:rPr>
                <w:rFonts w:hint="eastAsia" w:ascii="仿宋" w:hAnsi="仿宋" w:eastAsia="仿宋"/>
                <w:sz w:val="28"/>
                <w:szCs w:val="28"/>
              </w:rPr>
              <w:t>依托未来社区，打造未来康养场景建设。</w:t>
            </w:r>
          </w:p>
          <w:p>
            <w:pPr>
              <w:spacing w:line="480" w:lineRule="exact"/>
              <w:rPr>
                <w:rFonts w:ascii="仿宋" w:hAnsi="仿宋" w:eastAsia="仿宋"/>
                <w:sz w:val="28"/>
                <w:szCs w:val="28"/>
              </w:rPr>
            </w:pPr>
            <w:r>
              <w:rPr>
                <w:rFonts w:ascii="华文楷体" w:hAnsi="华文楷体" w:eastAsia="华文楷体"/>
                <w:b/>
                <w:sz w:val="28"/>
                <w:szCs w:val="28"/>
              </w:rPr>
              <w:t>3.推进“两中心两床合作”。</w:t>
            </w:r>
            <w:r>
              <w:rPr>
                <w:rFonts w:hint="eastAsia" w:ascii="仿宋" w:hAnsi="仿宋" w:eastAsia="仿宋"/>
                <w:sz w:val="28"/>
                <w:szCs w:val="28"/>
              </w:rPr>
              <w:t>做实家庭医生签约服务，加强老年人慢性病管理，完善并开放老年人电子健康档案</w:t>
            </w:r>
            <w:r>
              <w:rPr>
                <w:rFonts w:hint="eastAsia" w:ascii="仿宋_GB2312" w:hAnsi="仿宋_GB2312" w:eastAsia="仿宋_GB2312" w:cs="仿宋_GB2312"/>
                <w:sz w:val="32"/>
                <w:szCs w:val="32"/>
              </w:rPr>
              <w:t>。</w:t>
            </w:r>
            <w:r>
              <w:rPr>
                <w:rFonts w:hint="eastAsia" w:ascii="仿宋" w:hAnsi="仿宋" w:eastAsia="仿宋"/>
                <w:sz w:val="28"/>
                <w:szCs w:val="28"/>
              </w:rPr>
              <w:t>推进社区居家养老服务中心（站）和社区卫生服务机构同址、相邻规划、布局，实现两中心数据、服务协同、联通和连接。建立家庭病床、家庭照护床位两床服务机构和服务团队沟通和协同机制。</w:t>
            </w:r>
          </w:p>
          <w:p>
            <w:pPr>
              <w:spacing w:line="480" w:lineRule="exact"/>
              <w:rPr>
                <w:rFonts w:ascii="仿宋" w:hAnsi="仿宋" w:eastAsia="仿宋"/>
                <w:sz w:val="28"/>
                <w:szCs w:val="28"/>
              </w:rPr>
            </w:pPr>
            <w:r>
              <w:rPr>
                <w:rFonts w:ascii="华文楷体" w:hAnsi="华文楷体" w:eastAsia="华文楷体"/>
                <w:b/>
                <w:sz w:val="28"/>
                <w:szCs w:val="28"/>
              </w:rPr>
              <w:t>4.加大医疗医保改革配套。</w:t>
            </w:r>
            <w:r>
              <w:rPr>
                <w:rFonts w:ascii="仿宋" w:hAnsi="仿宋" w:eastAsia="仿宋"/>
                <w:sz w:val="28"/>
                <w:szCs w:val="28"/>
              </w:rPr>
              <w:t>建设一批社区医院、社区护理中心、社区护理站，</w:t>
            </w:r>
            <w:r>
              <w:rPr>
                <w:rFonts w:hint="eastAsia" w:ascii="仿宋" w:hAnsi="仿宋" w:eastAsia="仿宋"/>
                <w:sz w:val="28"/>
                <w:szCs w:val="28"/>
              </w:rPr>
              <w:t>将家庭病床设置拓展待居家失能老人，拓展至养老机构，以“互联网+护理服务”国家试点城市为契机，推进居家护理，增加互联网+签约服务收费项目，将居家医疗服务纳入医保项目。出台社会力量参与社区居家康复护理政策。</w:t>
            </w:r>
            <w:r>
              <w:rPr>
                <w:rFonts w:ascii="仿宋" w:hAnsi="仿宋" w:eastAsia="仿宋"/>
                <w:sz w:val="28"/>
                <w:szCs w:val="28"/>
              </w:rPr>
              <w:t xml:space="preserve"> </w:t>
            </w:r>
          </w:p>
        </w:tc>
      </w:tr>
    </w:tbl>
    <w:p>
      <w:pPr>
        <w:spacing w:line="600" w:lineRule="exact"/>
        <w:ind w:firstLine="640" w:firstLineChars="200"/>
        <w:rPr>
          <w:rFonts w:ascii="黑体" w:hAnsi="黑体" w:eastAsia="黑体"/>
          <w:sz w:val="32"/>
          <w:szCs w:val="32"/>
        </w:rPr>
      </w:pPr>
      <w:r>
        <w:rPr>
          <w:rFonts w:hint="eastAsia" w:ascii="黑体" w:hAnsi="黑体" w:eastAsia="黑体"/>
          <w:sz w:val="32"/>
          <w:szCs w:val="32"/>
        </w:rPr>
        <w:t>（四）实施养老服务数智化改革</w:t>
      </w:r>
    </w:p>
    <w:p>
      <w:pPr>
        <w:pStyle w:val="20"/>
        <w:ind w:firstLine="643" w:firstLineChars="200"/>
        <w:rPr>
          <w:rFonts w:ascii="仿宋" w:hAnsi="仿宋" w:eastAsia="仿宋"/>
          <w:sz w:val="32"/>
          <w:szCs w:val="32"/>
        </w:rPr>
      </w:pPr>
      <w:r>
        <w:rPr>
          <w:rFonts w:hint="eastAsia" w:ascii="楷体_GB2312" w:hAnsi="楷体_GB2312" w:eastAsia="楷体_GB2312" w:cs="楷体_GB2312"/>
          <w:b/>
          <w:sz w:val="32"/>
          <w:szCs w:val="32"/>
        </w:rPr>
        <w:t>1</w:t>
      </w:r>
      <w:r>
        <w:rPr>
          <w:rFonts w:ascii="楷体_GB2312" w:hAnsi="楷体_GB2312" w:eastAsia="楷体_GB2312" w:cs="楷体_GB2312"/>
          <w:b/>
          <w:sz w:val="32"/>
          <w:szCs w:val="32"/>
        </w:rPr>
        <w:t>.</w:t>
      </w:r>
      <w:r>
        <w:rPr>
          <w:rFonts w:hint="eastAsia" w:ascii="楷体_GB2312" w:hAnsi="楷体_GB2312" w:eastAsia="楷体_GB2312" w:cs="楷体_GB2312"/>
          <w:b/>
          <w:sz w:val="32"/>
          <w:szCs w:val="32"/>
        </w:rPr>
        <w:t>深化数字化改革迭代。</w:t>
      </w:r>
      <w:r>
        <w:rPr>
          <w:rFonts w:hint="eastAsia" w:ascii="仿宋" w:hAnsi="仿宋" w:eastAsia="仿宋"/>
          <w:sz w:val="32"/>
          <w:szCs w:val="32"/>
        </w:rPr>
        <w:t>实现养老服务领域基础性、根本性和整体性变革和迭代。全面推进养老服务系统协同、</w:t>
      </w:r>
      <w:r>
        <w:rPr>
          <w:rFonts w:ascii="仿宋" w:hAnsi="仿宋" w:eastAsia="仿宋"/>
          <w:sz w:val="32"/>
          <w:szCs w:val="32"/>
        </w:rPr>
        <w:t>数据协同、业务协同</w:t>
      </w:r>
      <w:r>
        <w:rPr>
          <w:rFonts w:hint="eastAsia" w:ascii="仿宋" w:hAnsi="仿宋" w:eastAsia="仿宋"/>
          <w:sz w:val="32"/>
          <w:szCs w:val="32"/>
        </w:rPr>
        <w:t>和</w:t>
      </w:r>
      <w:r>
        <w:rPr>
          <w:rFonts w:ascii="仿宋" w:hAnsi="仿宋" w:eastAsia="仿宋"/>
          <w:sz w:val="32"/>
          <w:szCs w:val="32"/>
        </w:rPr>
        <w:t>政策协同，</w:t>
      </w:r>
      <w:r>
        <w:rPr>
          <w:rFonts w:hint="eastAsia" w:ascii="仿宋" w:hAnsi="仿宋" w:eastAsia="仿宋"/>
          <w:sz w:val="32"/>
          <w:szCs w:val="32"/>
        </w:rPr>
        <w:t>根据“全省统建、市县补充</w:t>
      </w:r>
      <w:r>
        <w:rPr>
          <w:rFonts w:ascii="仿宋" w:hAnsi="仿宋" w:eastAsia="仿宋"/>
          <w:sz w:val="32"/>
          <w:szCs w:val="32"/>
        </w:rPr>
        <w:t>”</w:t>
      </w:r>
      <w:r>
        <w:rPr>
          <w:rFonts w:hint="eastAsia" w:ascii="仿宋" w:hAnsi="仿宋" w:eastAsia="仿宋"/>
          <w:sz w:val="32"/>
          <w:szCs w:val="32"/>
        </w:rPr>
        <w:t>要求，开展新一轮市、县市区智慧养老服务平台/系统的迭代和新建，全面对接“浙里养”平台，实现与</w:t>
      </w:r>
      <w:r>
        <w:rPr>
          <w:rFonts w:hint="eastAsia" w:ascii="仿宋" w:hAnsi="仿宋" w:eastAsia="仿宋"/>
          <w:bCs/>
          <w:sz w:val="32"/>
          <w:szCs w:val="32"/>
        </w:rPr>
        <w:t>“</w:t>
      </w:r>
      <w:r>
        <w:rPr>
          <w:rFonts w:ascii="仿宋" w:hAnsi="仿宋" w:eastAsia="仿宋"/>
          <w:bCs/>
          <w:sz w:val="32"/>
          <w:szCs w:val="32"/>
        </w:rPr>
        <w:t>城市大脑</w:t>
      </w:r>
      <w:r>
        <w:rPr>
          <w:rFonts w:hint="eastAsia" w:ascii="仿宋" w:hAnsi="仿宋" w:eastAsia="仿宋"/>
          <w:bCs/>
          <w:sz w:val="32"/>
          <w:szCs w:val="32"/>
        </w:rPr>
        <w:t>”</w:t>
      </w:r>
      <w:r>
        <w:rPr>
          <w:rFonts w:ascii="仿宋" w:hAnsi="仿宋" w:eastAsia="仿宋"/>
          <w:bCs/>
          <w:sz w:val="32"/>
          <w:szCs w:val="32"/>
        </w:rPr>
        <w:t>对接</w:t>
      </w:r>
      <w:r>
        <w:rPr>
          <w:rFonts w:hint="eastAsia" w:ascii="仿宋" w:hAnsi="仿宋" w:eastAsia="仿宋"/>
          <w:bCs/>
          <w:sz w:val="32"/>
          <w:szCs w:val="32"/>
        </w:rPr>
        <w:t>，</w:t>
      </w:r>
      <w:r>
        <w:rPr>
          <w:rFonts w:hint="eastAsia" w:ascii="仿宋" w:hAnsi="仿宋" w:eastAsia="仿宋"/>
          <w:sz w:val="32"/>
          <w:szCs w:val="32"/>
        </w:rPr>
        <w:t>按照标准接口要求积极创建地方个性化应用模块。根据全省养老服务数字标准，搭建</w:t>
      </w:r>
      <w:r>
        <w:rPr>
          <w:rFonts w:ascii="仿宋" w:hAnsi="仿宋" w:eastAsia="仿宋"/>
          <w:sz w:val="32"/>
          <w:szCs w:val="32"/>
        </w:rPr>
        <w:t>全量、准确、实时</w:t>
      </w:r>
      <w:r>
        <w:rPr>
          <w:rFonts w:hint="eastAsia" w:ascii="仿宋" w:hAnsi="仿宋" w:eastAsia="仿宋"/>
          <w:sz w:val="32"/>
          <w:szCs w:val="32"/>
        </w:rPr>
        <w:t>养老服务数据仓；以数字养老跨部门业务协同为重点，大力</w:t>
      </w:r>
      <w:r>
        <w:rPr>
          <w:rFonts w:ascii="仿宋" w:hAnsi="仿宋" w:eastAsia="仿宋"/>
          <w:sz w:val="32"/>
          <w:szCs w:val="32"/>
        </w:rPr>
        <w:t>推进与户籍、医疗、社会保险、社会救助等</w:t>
      </w:r>
      <w:r>
        <w:rPr>
          <w:rFonts w:hint="eastAsia" w:ascii="仿宋" w:hAnsi="仿宋" w:eastAsia="仿宋"/>
          <w:sz w:val="32"/>
          <w:szCs w:val="32"/>
        </w:rPr>
        <w:t>部门</w:t>
      </w:r>
      <w:r>
        <w:rPr>
          <w:rFonts w:ascii="仿宋" w:hAnsi="仿宋" w:eastAsia="仿宋"/>
          <w:sz w:val="32"/>
          <w:szCs w:val="32"/>
        </w:rPr>
        <w:t>信息资源对接，</w:t>
      </w:r>
      <w:r>
        <w:rPr>
          <w:rFonts w:hint="eastAsia" w:ascii="仿宋" w:hAnsi="仿宋" w:eastAsia="仿宋"/>
          <w:sz w:val="32"/>
          <w:szCs w:val="32"/>
        </w:rPr>
        <w:t>着力数字赋能，集成运用；健全养老数字化保障，确保数据安全和老年人数据权益；率先建成全市数字养老服务体系。</w:t>
      </w:r>
    </w:p>
    <w:p>
      <w:pPr>
        <w:spacing w:line="600" w:lineRule="exact"/>
        <w:ind w:firstLine="643" w:firstLineChars="200"/>
        <w:rPr>
          <w:rFonts w:ascii="仿宋" w:hAnsi="仿宋" w:eastAsia="仿宋"/>
          <w:sz w:val="32"/>
          <w:szCs w:val="32"/>
        </w:rPr>
      </w:pPr>
      <w:r>
        <w:rPr>
          <w:rFonts w:hint="eastAsia" w:ascii="楷体_GB2312" w:hAnsi="楷体_GB2312" w:eastAsia="楷体_GB2312" w:cs="楷体_GB2312"/>
          <w:b/>
          <w:sz w:val="32"/>
          <w:szCs w:val="32"/>
        </w:rPr>
        <w:t>2</w:t>
      </w:r>
      <w:r>
        <w:rPr>
          <w:rFonts w:ascii="楷体_GB2312" w:hAnsi="楷体_GB2312" w:eastAsia="楷体_GB2312" w:cs="楷体_GB2312"/>
          <w:b/>
          <w:sz w:val="32"/>
          <w:szCs w:val="32"/>
        </w:rPr>
        <w:t>.</w:t>
      </w:r>
      <w:r>
        <w:rPr>
          <w:rFonts w:hint="eastAsia" w:ascii="楷体_GB2312" w:hAnsi="楷体_GB2312" w:eastAsia="楷体_GB2312" w:cs="楷体_GB2312"/>
          <w:b/>
          <w:sz w:val="32"/>
          <w:szCs w:val="32"/>
        </w:rPr>
        <w:t>推进数字化养老应用。</w:t>
      </w:r>
      <w:r>
        <w:rPr>
          <w:rFonts w:hint="eastAsia" w:ascii="Times New Roman" w:hAnsi="Times New Roman" w:eastAsia="仿宋" w:cs="Times New Roman"/>
          <w:sz w:val="32"/>
          <w:szCs w:val="32"/>
        </w:rPr>
        <w:t>建立</w:t>
      </w:r>
      <w:r>
        <w:rPr>
          <w:rFonts w:ascii="Times New Roman" w:hAnsi="Times New Roman" w:eastAsia="仿宋" w:cs="Times New Roman"/>
          <w:sz w:val="32"/>
          <w:szCs w:val="32"/>
        </w:rPr>
        <w:t>面向个人、市场主体、养老从业人员和政务人员的综合性养老应用，形成应对人口老龄化全貌数据，</w:t>
      </w:r>
      <w:r>
        <w:rPr>
          <w:rFonts w:hint="eastAsia" w:ascii="仿宋_GB2312" w:eastAsia="仿宋_GB2312"/>
          <w:sz w:val="32"/>
          <w:szCs w:val="32"/>
        </w:rPr>
        <w:t>打造养老服务数据驾驶舱，集成养老服务数据、业务协同、分析预警的可视化展示平台，提高</w:t>
      </w:r>
      <w:r>
        <w:rPr>
          <w:rFonts w:hint="eastAsia" w:ascii="Times New Roman" w:hAnsi="Times New Roman" w:eastAsia="仿宋" w:cs="Times New Roman"/>
          <w:sz w:val="32"/>
          <w:szCs w:val="32"/>
        </w:rPr>
        <w:t>应对人口老龄化的全局把控、政策分析和预判能力。</w:t>
      </w:r>
      <w:r>
        <w:rPr>
          <w:rFonts w:hint="eastAsia" w:ascii="仿宋_GB2312" w:eastAsia="仿宋_GB2312"/>
          <w:sz w:val="32"/>
          <w:szCs w:val="32"/>
        </w:rPr>
        <w:t>全面推进养老服务数字政务、数字养老和数字监管，以智慧养老项目和场景应用为导向，不断提高养老服务智能化水平。</w:t>
      </w:r>
      <w:r>
        <w:rPr>
          <w:rFonts w:ascii="仿宋" w:hAnsi="仿宋" w:eastAsia="仿宋"/>
          <w:sz w:val="32"/>
          <w:szCs w:val="32"/>
        </w:rPr>
        <w:t>每个县（市、区）到2022年至少建设1家智慧养老院，到2025年至少建设2家。</w:t>
      </w:r>
      <w:r>
        <w:rPr>
          <w:rFonts w:hint="eastAsia" w:ascii="仿宋_GB2312" w:eastAsia="仿宋_GB2312"/>
          <w:sz w:val="32"/>
          <w:szCs w:val="32"/>
        </w:rPr>
        <w:t>积极推进智慧服务适老化，</w:t>
      </w:r>
      <w:r>
        <w:rPr>
          <w:rFonts w:ascii="Times New Roman" w:hAnsi="Times New Roman" w:eastAsia="仿宋_GB2312" w:cs="Times New Roman"/>
          <w:sz w:val="32"/>
          <w:szCs w:val="32"/>
        </w:rPr>
        <w:t>加强智慧技术无</w:t>
      </w:r>
      <w:r>
        <w:rPr>
          <w:rFonts w:ascii="Times New Roman" w:hAnsi="Times New Roman" w:eastAsia="仿宋_GB2312" w:cs="Times New Roman"/>
          <w:bCs/>
          <w:sz w:val="32"/>
          <w:szCs w:val="32"/>
        </w:rPr>
        <w:t>障碍建设，</w:t>
      </w:r>
      <w:r>
        <w:rPr>
          <w:rFonts w:hint="eastAsia" w:ascii="Times New Roman" w:hAnsi="Times New Roman" w:eastAsia="仿宋_GB2312" w:cs="Times New Roman"/>
          <w:bCs/>
          <w:sz w:val="32"/>
          <w:szCs w:val="32"/>
        </w:rPr>
        <w:t>降低老年人应用数字技术的难度，</w:t>
      </w:r>
      <w:r>
        <w:rPr>
          <w:rFonts w:ascii="Times New Roman" w:hAnsi="Times New Roman" w:eastAsia="仿宋_GB2312" w:cs="Times New Roman"/>
          <w:bCs/>
          <w:sz w:val="32"/>
          <w:szCs w:val="32"/>
        </w:rPr>
        <w:t>保留线下服务途径，便利老年人获取养老服务和老年福利。</w:t>
      </w:r>
      <w:r>
        <w:rPr>
          <w:rFonts w:hint="eastAsia" w:ascii="仿宋" w:hAnsi="仿宋" w:eastAsia="仿宋"/>
          <w:sz w:val="32"/>
          <w:szCs w:val="32"/>
        </w:rPr>
        <w:t>简化老年人使用，保留人工服务窗口和电话咨询等传统服务，积极开展老年人智慧产品使用培训，让老年人共享智慧城市新生活。</w:t>
      </w:r>
    </w:p>
    <w:p>
      <w:pPr>
        <w:spacing w:line="600" w:lineRule="exact"/>
        <w:ind w:firstLine="660"/>
        <w:rPr>
          <w:rFonts w:ascii="Times New Roman" w:hAnsi="Times New Roman" w:eastAsia="仿宋_GB2312" w:cs="Times New Roman"/>
          <w:sz w:val="32"/>
          <w:szCs w:val="32"/>
        </w:rPr>
      </w:pPr>
      <w:r>
        <w:rPr>
          <w:rFonts w:hint="eastAsia" w:ascii="楷体_GB2312" w:hAnsi="楷体_GB2312" w:eastAsia="楷体_GB2312" w:cs="楷体_GB2312"/>
          <w:b/>
          <w:bCs/>
          <w:sz w:val="32"/>
          <w:szCs w:val="32"/>
        </w:rPr>
        <w:t>3.打造数智养老新高地。</w:t>
      </w:r>
      <w:r>
        <w:rPr>
          <w:rFonts w:hint="eastAsia" w:ascii="Times New Roman" w:hAnsi="Times New Roman" w:eastAsia="仿宋_GB2312" w:cs="Times New Roman"/>
          <w:sz w:val="32"/>
          <w:szCs w:val="32"/>
        </w:rPr>
        <w:t>发挥杭州市</w:t>
      </w:r>
      <w:r>
        <w:rPr>
          <w:rFonts w:ascii="Times New Roman" w:hAnsi="Times New Roman" w:eastAsia="仿宋_GB2312" w:cs="Times New Roman"/>
          <w:sz w:val="32"/>
          <w:szCs w:val="32"/>
        </w:rPr>
        <w:t>5G、大数据、物联网、智能制造</w:t>
      </w:r>
      <w:r>
        <w:rPr>
          <w:rFonts w:hint="eastAsia" w:ascii="Times New Roman" w:hAnsi="Times New Roman" w:eastAsia="仿宋_GB2312" w:cs="Times New Roman"/>
          <w:sz w:val="32"/>
          <w:szCs w:val="32"/>
        </w:rPr>
        <w:t>及高新开发区集聚</w:t>
      </w:r>
      <w:r>
        <w:rPr>
          <w:rFonts w:ascii="Times New Roman" w:hAnsi="Times New Roman" w:eastAsia="仿宋_GB2312" w:cs="Times New Roman"/>
          <w:sz w:val="32"/>
          <w:szCs w:val="32"/>
        </w:rPr>
        <w:t>等优势，加快智慧</w:t>
      </w:r>
      <w:r>
        <w:rPr>
          <w:rFonts w:hint="eastAsia" w:ascii="Times New Roman" w:hAnsi="Times New Roman" w:eastAsia="仿宋_GB2312" w:cs="Times New Roman"/>
          <w:sz w:val="32"/>
          <w:szCs w:val="32"/>
        </w:rPr>
        <w:t>养老技术、</w:t>
      </w:r>
      <w:r>
        <w:rPr>
          <w:rFonts w:ascii="Times New Roman" w:hAnsi="Times New Roman" w:eastAsia="仿宋_GB2312" w:cs="Times New Roman"/>
          <w:sz w:val="32"/>
          <w:szCs w:val="32"/>
        </w:rPr>
        <w:t>设备</w:t>
      </w:r>
      <w:r>
        <w:rPr>
          <w:rFonts w:hint="eastAsia" w:ascii="Times New Roman" w:hAnsi="Times New Roman" w:eastAsia="仿宋_GB2312" w:cs="Times New Roman"/>
          <w:sz w:val="32"/>
          <w:szCs w:val="32"/>
        </w:rPr>
        <w:t>及应用场景的</w:t>
      </w:r>
      <w:r>
        <w:rPr>
          <w:rFonts w:ascii="Times New Roman" w:hAnsi="Times New Roman" w:eastAsia="仿宋_GB2312" w:cs="Times New Roman"/>
          <w:sz w:val="32"/>
          <w:szCs w:val="32"/>
        </w:rPr>
        <w:t>研发，</w:t>
      </w:r>
      <w:r>
        <w:rPr>
          <w:rFonts w:hint="eastAsia" w:ascii="Times New Roman" w:hAnsi="Times New Roman" w:eastAsia="仿宋_GB2312" w:cs="Times New Roman"/>
          <w:sz w:val="32"/>
          <w:szCs w:val="32"/>
        </w:rPr>
        <w:t>通过发布《智慧养老产品指导性目录》《智慧养老用用场景指导性目录》《智慧康养产品指导性目录》，加强与高新企业技术和产品对接，引导企业研发</w:t>
      </w:r>
      <w:r>
        <w:rPr>
          <w:rFonts w:ascii="Times New Roman" w:hAnsi="Times New Roman" w:eastAsia="仿宋_GB2312" w:cs="Times New Roman"/>
          <w:sz w:val="32"/>
          <w:szCs w:val="32"/>
        </w:rPr>
        <w:t>康复训练及康复促进辅具、健康监测产品、养老监护装置、家庭服务机器人、可穿戴</w:t>
      </w:r>
      <w:r>
        <w:rPr>
          <w:rFonts w:hint="eastAsia" w:ascii="Times New Roman" w:hAnsi="Times New Roman" w:eastAsia="仿宋_GB2312" w:cs="Times New Roman"/>
          <w:sz w:val="32"/>
          <w:szCs w:val="32"/>
        </w:rPr>
        <w:t>智能</w:t>
      </w:r>
      <w:r>
        <w:rPr>
          <w:rFonts w:ascii="Times New Roman" w:hAnsi="Times New Roman" w:eastAsia="仿宋_GB2312" w:cs="Times New Roman"/>
          <w:sz w:val="32"/>
          <w:szCs w:val="32"/>
        </w:rPr>
        <w:t>老年服装服饰等</w:t>
      </w:r>
      <w:r>
        <w:rPr>
          <w:rFonts w:hint="eastAsia" w:ascii="Times New Roman" w:hAnsi="Times New Roman" w:eastAsia="仿宋_GB2312" w:cs="Times New Roman"/>
          <w:sz w:val="32"/>
          <w:szCs w:val="32"/>
        </w:rPr>
        <w:t>产品。扩大适老化智能终端产品供给，贴紧老年人需求特点，加强技术创新，不断提高老年智能产品用品的</w:t>
      </w:r>
      <w:r>
        <w:rPr>
          <w:rFonts w:ascii="Times New Roman" w:hAnsi="Times New Roman" w:eastAsia="仿宋_GB2312" w:cs="Times New Roman"/>
          <w:sz w:val="32"/>
          <w:szCs w:val="32"/>
        </w:rPr>
        <w:t>智能</w:t>
      </w:r>
      <w:r>
        <w:rPr>
          <w:rFonts w:hint="eastAsia" w:ascii="Times New Roman" w:hAnsi="Times New Roman" w:eastAsia="仿宋_GB2312" w:cs="Times New Roman"/>
          <w:sz w:val="32"/>
          <w:szCs w:val="32"/>
        </w:rPr>
        <w:t>化</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适老化、</w:t>
      </w:r>
      <w:r>
        <w:rPr>
          <w:rFonts w:ascii="Times New Roman" w:hAnsi="Times New Roman" w:eastAsia="仿宋_GB2312" w:cs="Times New Roman"/>
          <w:sz w:val="32"/>
          <w:szCs w:val="32"/>
        </w:rPr>
        <w:t>实用性</w:t>
      </w:r>
      <w:r>
        <w:rPr>
          <w:rFonts w:hint="eastAsia" w:ascii="Times New Roman" w:hAnsi="Times New Roman" w:eastAsia="仿宋_GB2312" w:cs="Times New Roman"/>
          <w:sz w:val="32"/>
          <w:szCs w:val="32"/>
        </w:rPr>
        <w:t>和大众性，促进智能技术有效推广应用，助推杭州数字经济发展。</w:t>
      </w:r>
    </w:p>
    <w:p>
      <w:pPr>
        <w:spacing w:line="600" w:lineRule="exact"/>
        <w:ind w:firstLine="641" w:firstLineChars="200"/>
        <w:rPr>
          <w:rFonts w:hint="eastAsia" w:ascii="黑体" w:hAnsi="黑体" w:eastAsia="黑体"/>
          <w:sz w:val="32"/>
          <w:szCs w:val="32"/>
        </w:rPr>
      </w:pPr>
      <w:r>
        <w:rPr>
          <w:rFonts w:ascii="华文楷体" w:hAnsi="华文楷体" w:eastAsia="华文楷体"/>
          <w:b/>
          <w:sz w:val="32"/>
          <w:szCs w:val="32"/>
        </w:rPr>
        <w:t xml:space="preserve"> </w:t>
      </w:r>
      <w:r>
        <w:rPr>
          <w:rFonts w:hint="eastAsia" w:ascii="黑体" w:hAnsi="黑体" w:eastAsia="黑体"/>
          <w:sz w:val="32"/>
          <w:szCs w:val="32"/>
        </w:rPr>
        <w:t xml:space="preserve">（五）探索农村养老服务新途径 </w:t>
      </w:r>
    </w:p>
    <w:p>
      <w:pPr>
        <w:spacing w:line="600" w:lineRule="exact"/>
        <w:ind w:firstLine="643" w:firstLineChars="200"/>
        <w:rPr>
          <w:rFonts w:hint="eastAsia" w:ascii="仿宋_GB2312" w:eastAsia="仿宋_GB2312"/>
          <w:sz w:val="32"/>
          <w:szCs w:val="32"/>
        </w:rPr>
      </w:pPr>
      <w:r>
        <w:rPr>
          <w:rFonts w:hint="eastAsia" w:ascii="楷体_GB2312" w:hAnsi="楷体_GB2312" w:eastAsia="楷体_GB2312" w:cs="楷体_GB2312"/>
          <w:b/>
          <w:bCs/>
          <w:kern w:val="2"/>
          <w:sz w:val="32"/>
          <w:szCs w:val="32"/>
          <w:lang w:val="en-US" w:eastAsia="zh-CN" w:bidi="ar-SA"/>
        </w:rPr>
        <w:t xml:space="preserve"> 1.实施“党建+农村幸福颐养”。</w:t>
      </w:r>
      <w:r>
        <w:rPr>
          <w:rFonts w:hint="eastAsia" w:ascii="仿宋_GB2312" w:eastAsia="仿宋_GB2312"/>
          <w:sz w:val="32"/>
          <w:szCs w:val="32"/>
        </w:rPr>
        <w:t>发挥各级党委和村党组织领导及统筹作用，发挥党员先锋模范作用，将农村幸福颐养纳入市、县市区、街镇三级党委年度重要工作，纳入三级党委抓党建述评和村党组织书记“双述双评”范围，将农村养老服务纳入“三农”工作和乡村振兴战略重点推进范围，纳入乡村振兴考核指标。</w:t>
      </w:r>
    </w:p>
    <w:p>
      <w:pPr>
        <w:spacing w:line="600" w:lineRule="exact"/>
        <w:ind w:firstLine="643" w:firstLineChars="200"/>
        <w:rPr>
          <w:rFonts w:hint="eastAsia" w:ascii="仿宋_GB2312" w:eastAsia="仿宋_GB2312"/>
          <w:sz w:val="32"/>
          <w:szCs w:val="32"/>
        </w:rPr>
      </w:pPr>
      <w:r>
        <w:rPr>
          <w:rFonts w:hint="eastAsia" w:ascii="楷体_GB2312" w:hAnsi="楷体_GB2312" w:eastAsia="楷体_GB2312" w:cs="楷体_GB2312"/>
          <w:b/>
          <w:bCs/>
          <w:kern w:val="2"/>
          <w:sz w:val="32"/>
          <w:szCs w:val="32"/>
          <w:lang w:val="en-US" w:eastAsia="zh-CN" w:bidi="ar-SA"/>
        </w:rPr>
        <w:t xml:space="preserve">2.建好农村养老服务主阵地。 </w:t>
      </w:r>
      <w:r>
        <w:rPr>
          <w:rFonts w:hint="eastAsia" w:ascii="仿宋_GB2312" w:eastAsia="仿宋_GB2312"/>
          <w:sz w:val="32"/>
          <w:szCs w:val="32"/>
        </w:rPr>
        <w:t>深化农村居家养老服务设施的布局改造和功能拓展，完善农村三级服务网络，充分</w:t>
      </w:r>
      <w:r>
        <w:rPr>
          <w:rFonts w:hint="eastAsia" w:eastAsia="仿宋_GB2312" w:cs="Calibri"/>
          <w:sz w:val="32"/>
          <w:szCs w:val="32"/>
        </w:rPr>
        <w:t>发挥敬老院、社区照护中心/</w:t>
      </w:r>
      <w:r>
        <w:rPr>
          <w:rFonts w:hint="eastAsia" w:ascii="仿宋_GB2312" w:eastAsia="仿宋_GB2312"/>
          <w:sz w:val="32"/>
          <w:szCs w:val="32"/>
        </w:rPr>
        <w:t>居家养老服务中心</w:t>
      </w:r>
      <w:r>
        <w:rPr>
          <w:rFonts w:hint="eastAsia" w:eastAsia="仿宋_GB2312" w:cs="Calibri"/>
          <w:sz w:val="32"/>
          <w:szCs w:val="32"/>
        </w:rPr>
        <w:t>作为区域养老服务中心的作用</w:t>
      </w:r>
      <w:r>
        <w:rPr>
          <w:rFonts w:hint="eastAsia" w:ascii="仿宋_GB2312" w:eastAsia="仿宋_GB2312"/>
          <w:sz w:val="32"/>
          <w:szCs w:val="32"/>
        </w:rPr>
        <w:t>，</w:t>
      </w:r>
      <w:r>
        <w:rPr>
          <w:rFonts w:hint="eastAsia" w:eastAsia="仿宋_GB2312" w:cs="Calibri"/>
          <w:sz w:val="32"/>
          <w:szCs w:val="32"/>
        </w:rPr>
        <w:t>提供专业综合住养照护和社区居家服务辐射</w:t>
      </w:r>
      <w:r>
        <w:rPr>
          <w:rFonts w:hint="eastAsia" w:ascii="仿宋_GB2312" w:eastAsia="仿宋_GB2312"/>
          <w:sz w:val="32"/>
          <w:szCs w:val="32"/>
        </w:rPr>
        <w:t>。健全留守老人关爱机制，进一步完善家庭尽责、基层主导、社会协同、全民行动、政府支持保障的农村留守老年人关爱服务工作机制，加强常态化关爱巡访等服务，让进城的放心，留在农村的安心。</w:t>
      </w:r>
    </w:p>
    <w:p>
      <w:pPr>
        <w:spacing w:line="600" w:lineRule="exact"/>
        <w:ind w:firstLine="643" w:firstLineChars="200"/>
        <w:rPr>
          <w:rFonts w:ascii="仿宋_GB2312" w:eastAsia="仿宋_GB2312"/>
          <w:sz w:val="32"/>
          <w:szCs w:val="32"/>
        </w:rPr>
      </w:pPr>
      <w:r>
        <w:rPr>
          <w:rFonts w:hint="eastAsia" w:ascii="楷体_GB2312" w:hAnsi="楷体_GB2312" w:eastAsia="楷体_GB2312" w:cs="楷体_GB2312"/>
          <w:b/>
          <w:bCs/>
          <w:kern w:val="2"/>
          <w:sz w:val="32"/>
          <w:szCs w:val="32"/>
          <w:lang w:val="en-US" w:eastAsia="zh-CN" w:bidi="ar-SA"/>
        </w:rPr>
        <w:t>3.探索多元农村助老模式。</w:t>
      </w:r>
      <w:r>
        <w:rPr>
          <w:rFonts w:hint="eastAsia" w:ascii="仿宋" w:hAnsi="仿宋" w:eastAsia="仿宋" w:cs="Helvetica"/>
          <w:sz w:val="32"/>
          <w:szCs w:val="32"/>
        </w:rPr>
        <w:t>鼓励老年人自愿开展抱团养老、邻里互助等互助式养老，鼓励采取社会捐赠、村民互助等方式举办农村睦邻互助点。</w:t>
      </w:r>
      <w:r>
        <w:rPr>
          <w:rFonts w:hint="eastAsia" w:ascii="仿宋_GB2312" w:eastAsia="仿宋_GB2312"/>
          <w:sz w:val="32"/>
          <w:szCs w:val="32"/>
        </w:rPr>
        <w:t xml:space="preserve">创新农村互助养老机制，充分发挥农村地区乡情浓厚、邻里互助的优势，依托基层党组织、村民自治组织、老年协会等，采取志愿服务、结对帮扶等方式发展互助性养老，最大程度激发农村养老的内在活力。在偏远山区老年人聚集的村落建一批互助颐养点。创新服务供给机制，鼓励在老年助餐、居家服务、空巢关爱等项目中实行有偿邻里照顾、家属照顾。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600" w:lineRule="exact"/>
              <w:jc w:val="center"/>
              <w:rPr>
                <w:rFonts w:ascii="华文细黑" w:hAnsi="华文细黑" w:eastAsia="华文细黑"/>
                <w:sz w:val="28"/>
                <w:szCs w:val="28"/>
              </w:rPr>
            </w:pPr>
            <w:r>
              <w:rPr>
                <w:rFonts w:hint="eastAsia" w:ascii="华文细黑" w:hAnsi="华文细黑" w:eastAsia="华文细黑"/>
                <w:sz w:val="28"/>
                <w:szCs w:val="28"/>
              </w:rPr>
              <w:t>专栏</w:t>
            </w:r>
            <w:r>
              <w:rPr>
                <w:rFonts w:ascii="华文细黑" w:hAnsi="华文细黑" w:eastAsia="华文细黑"/>
                <w:sz w:val="28"/>
                <w:szCs w:val="28"/>
              </w:rPr>
              <w:t>5</w:t>
            </w:r>
            <w:r>
              <w:rPr>
                <w:rFonts w:hint="eastAsia" w:ascii="华文细黑" w:hAnsi="华文细黑" w:eastAsia="华文细黑"/>
                <w:sz w:val="28"/>
                <w:szCs w:val="28"/>
              </w:rPr>
              <w:t>：农村养老服务增能行动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500" w:lineRule="exact"/>
              <w:rPr>
                <w:rFonts w:ascii="仿宋" w:hAnsi="仿宋" w:eastAsia="仿宋"/>
                <w:sz w:val="28"/>
                <w:szCs w:val="28"/>
              </w:rPr>
            </w:pPr>
            <w:r>
              <w:rPr>
                <w:rFonts w:hint="eastAsia" w:ascii="华文楷体" w:hAnsi="华文楷体" w:eastAsia="华文楷体"/>
                <w:sz w:val="28"/>
                <w:szCs w:val="28"/>
              </w:rPr>
              <w:t>1</w:t>
            </w:r>
            <w:r>
              <w:rPr>
                <w:rFonts w:ascii="华文楷体" w:hAnsi="华文楷体" w:eastAsia="华文楷体"/>
                <w:sz w:val="28"/>
                <w:szCs w:val="28"/>
              </w:rPr>
              <w:t>.</w:t>
            </w:r>
            <w:r>
              <w:rPr>
                <w:rFonts w:hint="eastAsia" w:ascii="华文楷体" w:hAnsi="华文楷体" w:eastAsia="华文楷体"/>
                <w:sz w:val="28"/>
                <w:szCs w:val="28"/>
              </w:rPr>
              <w:t>培育村级养老服务组织。</w:t>
            </w:r>
            <w:r>
              <w:rPr>
                <w:rFonts w:hint="eastAsia" w:ascii="仿宋" w:hAnsi="仿宋" w:eastAsia="仿宋"/>
                <w:sz w:val="28"/>
                <w:szCs w:val="28"/>
              </w:rPr>
              <w:t>由村两委牵头，组建农村养老服务组织，通过政府养老服务项目购买、慈善募捐及消费服务等解决资金筹措和运营。健全基层老年人协会运作，协同老年人需求反馈和服务监管。到2025年，50%的村建有一个村级养老服务组织，老年协会达到规范化运作。</w:t>
            </w:r>
          </w:p>
          <w:p>
            <w:pPr>
              <w:spacing w:line="480" w:lineRule="exact"/>
              <w:jc w:val="left"/>
              <w:rPr>
                <w:rFonts w:ascii="仿宋" w:hAnsi="仿宋" w:eastAsia="仿宋" w:cs="Helvetica"/>
                <w:sz w:val="28"/>
                <w:szCs w:val="28"/>
              </w:rPr>
            </w:pPr>
            <w:r>
              <w:rPr>
                <w:rFonts w:hint="eastAsia" w:ascii="华文楷体" w:hAnsi="华文楷体" w:eastAsia="华文楷体"/>
                <w:sz w:val="28"/>
                <w:szCs w:val="28"/>
              </w:rPr>
              <w:t>2</w:t>
            </w:r>
            <w:r>
              <w:rPr>
                <w:rFonts w:ascii="华文楷体" w:hAnsi="华文楷体" w:eastAsia="华文楷体"/>
                <w:sz w:val="28"/>
                <w:szCs w:val="28"/>
              </w:rPr>
              <w:t>.</w:t>
            </w:r>
            <w:r>
              <w:rPr>
                <w:rFonts w:hint="eastAsia" w:ascii="华文楷体" w:hAnsi="华文楷体" w:eastAsia="华文楷体"/>
                <w:sz w:val="28"/>
                <w:szCs w:val="28"/>
              </w:rPr>
              <w:t>实施农村养老领军人物培养计划。</w:t>
            </w:r>
            <w:r>
              <w:rPr>
                <w:rFonts w:hint="eastAsia" w:ascii="仿宋" w:hAnsi="仿宋" w:eastAsia="仿宋"/>
                <w:sz w:val="28"/>
                <w:szCs w:val="28"/>
              </w:rPr>
              <w:t>培养农村养老服务专业人才，重点培养敬老院、村级养老服务服务组织及养老服务机构等管理和服务骨干，通过三年培育，发挥其在属地养老服务骨干和指导作用。</w:t>
            </w:r>
          </w:p>
          <w:p>
            <w:pPr>
              <w:spacing w:line="480" w:lineRule="exact"/>
              <w:jc w:val="left"/>
              <w:rPr>
                <w:rFonts w:ascii="华文细黑" w:hAnsi="华文细黑" w:eastAsia="华文细黑"/>
                <w:sz w:val="28"/>
                <w:szCs w:val="28"/>
              </w:rPr>
            </w:pPr>
            <w:r>
              <w:rPr>
                <w:rFonts w:ascii="华文楷体" w:hAnsi="华文楷体" w:eastAsia="华文楷体" w:cs="Helvetica"/>
                <w:sz w:val="28"/>
                <w:szCs w:val="28"/>
              </w:rPr>
              <w:t>3.</w:t>
            </w:r>
            <w:r>
              <w:rPr>
                <w:rFonts w:hint="eastAsia" w:ascii="华文楷体" w:hAnsi="华文楷体" w:eastAsia="华文楷体" w:cs="Helvetica"/>
                <w:sz w:val="28"/>
                <w:szCs w:val="28"/>
              </w:rPr>
              <w:t>开展“山区支老行动”。</w:t>
            </w:r>
            <w:r>
              <w:rPr>
                <w:rFonts w:hint="eastAsia" w:ascii="仿宋" w:hAnsi="仿宋" w:eastAsia="仿宋" w:cs="Helvetica"/>
                <w:sz w:val="28"/>
                <w:szCs w:val="28"/>
              </w:rPr>
              <w:t>公办养老机构带头，民营品牌机构参与，为淳安、建德、桐庐等偏远山区养老服务机构实行结对帮扶，提供管理和服务指导与培训。实行鼓励政策，护理员参加“山区支老行动”可缩短职业技能认定年限；养老院参加“支老行动”纳入养老机构星级评定指标。</w:t>
            </w:r>
          </w:p>
        </w:tc>
      </w:tr>
    </w:tbl>
    <w:p>
      <w:pPr>
        <w:spacing w:line="600" w:lineRule="exact"/>
        <w:ind w:firstLine="640" w:firstLineChars="200"/>
        <w:rPr>
          <w:rFonts w:ascii="黑体" w:hAnsi="黑体" w:eastAsia="黑体"/>
          <w:sz w:val="32"/>
          <w:szCs w:val="32"/>
        </w:rPr>
      </w:pPr>
      <w:r>
        <w:rPr>
          <w:rFonts w:ascii="黑体" w:hAnsi="黑体" w:eastAsia="黑体"/>
          <w:sz w:val="32"/>
          <w:szCs w:val="32"/>
        </w:rPr>
        <w:t>（六）</w:t>
      </w:r>
      <w:r>
        <w:rPr>
          <w:rFonts w:hint="eastAsia" w:ascii="黑体" w:hAnsi="黑体" w:eastAsia="黑体"/>
          <w:sz w:val="32"/>
          <w:szCs w:val="32"/>
        </w:rPr>
        <w:t>实现养老人才队伍增量提质</w:t>
      </w:r>
    </w:p>
    <w:p>
      <w:pPr>
        <w:spacing w:line="600" w:lineRule="exact"/>
        <w:ind w:firstLine="643" w:firstLineChars="200"/>
        <w:rPr>
          <w:rFonts w:ascii="仿宋" w:hAnsi="仿宋" w:eastAsia="仿宋"/>
          <w:sz w:val="32"/>
          <w:szCs w:val="32"/>
        </w:rPr>
      </w:pPr>
      <w:r>
        <w:rPr>
          <w:rFonts w:hint="eastAsia" w:ascii="楷体_GB2312" w:hAnsi="楷体_GB2312" w:eastAsia="楷体_GB2312" w:cs="楷体_GB2312"/>
          <w:b/>
          <w:bCs/>
          <w:kern w:val="2"/>
          <w:sz w:val="32"/>
          <w:szCs w:val="32"/>
          <w:lang w:val="en-US" w:eastAsia="zh-CN" w:bidi="ar-SA"/>
        </w:rPr>
        <w:t>1.加强全员分类分级培训。</w:t>
      </w:r>
      <w:r>
        <w:rPr>
          <w:rFonts w:hint="eastAsia" w:ascii="仿宋" w:hAnsi="仿宋" w:eastAsia="仿宋" w:cs="Times New Roman"/>
          <w:sz w:val="32"/>
          <w:szCs w:val="32"/>
        </w:rPr>
        <w:t>继续推进学历教育、非学历教育、继续教育、实习实训</w:t>
      </w:r>
      <w:r>
        <w:rPr>
          <w:rFonts w:ascii="仿宋" w:hAnsi="仿宋" w:eastAsia="仿宋" w:cs="Times New Roman"/>
          <w:sz w:val="32"/>
          <w:szCs w:val="32"/>
        </w:rPr>
        <w:t>“四位一体”的养老从业人员教育体系，</w:t>
      </w:r>
      <w:r>
        <w:rPr>
          <w:rFonts w:hint="eastAsia" w:ascii="仿宋" w:hAnsi="仿宋" w:eastAsia="仿宋" w:cs="Times New Roman"/>
          <w:sz w:val="32"/>
          <w:szCs w:val="32"/>
        </w:rPr>
        <w:t>建立养老服务行业全员培训机制，</w:t>
      </w:r>
      <w:r>
        <w:rPr>
          <w:rFonts w:hint="eastAsia" w:ascii="仿宋_GB2312" w:hAnsi="仿宋_GB2312" w:eastAsia="仿宋_GB2312" w:cs="仿宋_GB2312"/>
          <w:sz w:val="32"/>
          <w:szCs w:val="32"/>
        </w:rPr>
        <w:t>优化养老护理人员队伍结构，</w:t>
      </w:r>
      <w:r>
        <w:rPr>
          <w:rFonts w:hint="eastAsia" w:ascii="仿宋" w:hAnsi="仿宋" w:eastAsia="仿宋" w:cs="Times New Roman"/>
          <w:sz w:val="32"/>
          <w:szCs w:val="32"/>
        </w:rPr>
        <w:t>建立不同岗位和对象培训体系，</w:t>
      </w:r>
      <w:r>
        <w:rPr>
          <w:rFonts w:hint="eastAsia" w:ascii="仿宋" w:hAnsi="仿宋" w:eastAsia="仿宋"/>
          <w:sz w:val="32"/>
          <w:szCs w:val="32"/>
        </w:rPr>
        <w:t>完善市、县市区二级培训机制</w:t>
      </w:r>
      <w:r>
        <w:rPr>
          <w:rFonts w:ascii="仿宋" w:hAnsi="仿宋" w:eastAsia="仿宋" w:cs="Times New Roman"/>
          <w:sz w:val="32"/>
          <w:szCs w:val="32"/>
        </w:rPr>
        <w:t>。</w:t>
      </w:r>
      <w:r>
        <w:rPr>
          <w:rFonts w:hint="eastAsia" w:ascii="仿宋" w:hAnsi="仿宋" w:eastAsia="仿宋" w:cs="Times New Roman"/>
          <w:sz w:val="32"/>
          <w:szCs w:val="32"/>
        </w:rPr>
        <w:t>搭建国内国外两大培训平台</w:t>
      </w:r>
      <w:r>
        <w:rPr>
          <w:rFonts w:ascii="仿宋" w:hAnsi="仿宋" w:eastAsia="仿宋"/>
          <w:sz w:val="32"/>
          <w:szCs w:val="32"/>
        </w:rPr>
        <w:t>，</w:t>
      </w:r>
      <w:r>
        <w:rPr>
          <w:rFonts w:hint="eastAsia" w:ascii="仿宋" w:hAnsi="仿宋" w:eastAsia="仿宋"/>
          <w:sz w:val="32"/>
          <w:szCs w:val="32"/>
        </w:rPr>
        <w:t>深化推进政校合作、校企合作，加强国际合作；鼓励创建养老服务领军人物工作室，发挥其在创新、个性化项目中的引领和示范作用。</w:t>
      </w:r>
      <w:r>
        <w:rPr>
          <w:rFonts w:hint="eastAsia" w:ascii="仿宋" w:hAnsi="仿宋" w:eastAsia="仿宋" w:cs="Helvetica"/>
          <w:sz w:val="32"/>
          <w:szCs w:val="32"/>
        </w:rPr>
        <w:t>实施全市</w:t>
      </w:r>
      <w:r>
        <w:rPr>
          <w:rFonts w:ascii="仿宋" w:hAnsi="仿宋" w:eastAsia="仿宋" w:cs="Helvetica"/>
          <w:sz w:val="32"/>
          <w:szCs w:val="32"/>
        </w:rPr>
        <w:t>养老护理人员职业技能</w:t>
      </w:r>
      <w:r>
        <w:rPr>
          <w:rFonts w:hint="eastAsia" w:ascii="仿宋" w:hAnsi="仿宋" w:eastAsia="仿宋" w:cs="Helvetica"/>
          <w:sz w:val="32"/>
          <w:szCs w:val="32"/>
        </w:rPr>
        <w:t>认定，推动技能等级认定规范化发展，</w:t>
      </w:r>
      <w:r>
        <w:rPr>
          <w:rFonts w:hint="eastAsia" w:ascii="仿宋" w:hAnsi="仿宋" w:eastAsia="仿宋" w:cs="仿宋_GB2312"/>
          <w:sz w:val="32"/>
          <w:szCs w:val="32"/>
        </w:rPr>
        <w:t>探索构建具有杭州特色的护理员职业技能评价认定体系</w:t>
      </w:r>
      <w:r>
        <w:rPr>
          <w:rFonts w:hint="eastAsia" w:ascii="仿宋" w:hAnsi="仿宋" w:eastAsia="仿宋" w:cs="Helvetica"/>
          <w:sz w:val="32"/>
          <w:szCs w:val="32"/>
        </w:rPr>
        <w:t>。将康复知识和技能纳入护理技能培训中，</w:t>
      </w:r>
      <w:r>
        <w:rPr>
          <w:rFonts w:ascii="仿宋" w:hAnsi="仿宋" w:eastAsia="仿宋" w:cs="Helvetica"/>
          <w:sz w:val="32"/>
          <w:szCs w:val="32"/>
        </w:rPr>
        <w:t>将康复知识技能作为养老护理员、家庭照护者必训内容，三级以上养老护理员均掌握功能康复技能。</w:t>
      </w:r>
      <w:r>
        <w:rPr>
          <w:rFonts w:hint="eastAsia" w:ascii="仿宋" w:hAnsi="仿宋" w:eastAsia="仿宋" w:cs="Helvetica"/>
          <w:sz w:val="32"/>
          <w:szCs w:val="32"/>
        </w:rPr>
        <w:t>2025年，全市具备养老护理技能等级认定资格的机构</w:t>
      </w:r>
      <w:r>
        <w:rPr>
          <w:rFonts w:hint="eastAsia" w:ascii="仿宋" w:hAnsi="仿宋" w:eastAsia="仿宋" w:cs="Helvetica"/>
          <w:sz w:val="32"/>
          <w:szCs w:val="32"/>
          <w:highlight w:val="none"/>
        </w:rPr>
        <w:t xml:space="preserve">达 </w:t>
      </w:r>
      <w:r>
        <w:rPr>
          <w:rFonts w:ascii="仿宋" w:hAnsi="仿宋" w:eastAsia="仿宋" w:cs="Helvetica"/>
          <w:sz w:val="32"/>
          <w:szCs w:val="32"/>
          <w:highlight w:val="none"/>
        </w:rPr>
        <w:t xml:space="preserve"> </w:t>
      </w:r>
      <w:r>
        <w:rPr>
          <w:rFonts w:hint="eastAsia" w:ascii="仿宋" w:hAnsi="仿宋" w:eastAsia="仿宋" w:cs="Helvetica"/>
          <w:sz w:val="32"/>
          <w:szCs w:val="32"/>
          <w:highlight w:val="none"/>
        </w:rPr>
        <w:t>家</w:t>
      </w:r>
      <w:r>
        <w:rPr>
          <w:rFonts w:hint="eastAsia" w:ascii="仿宋" w:hAnsi="仿宋" w:eastAsia="仿宋" w:cs="Helvetica"/>
          <w:sz w:val="32"/>
          <w:szCs w:val="32"/>
        </w:rPr>
        <w:t>，每万老年人拥有持证养老护理员达到25人</w:t>
      </w:r>
      <w:r>
        <w:rPr>
          <w:rFonts w:ascii="仿宋" w:hAnsi="仿宋" w:eastAsia="仿宋" w:cs="Helvetica"/>
          <w:sz w:val="32"/>
          <w:szCs w:val="32"/>
        </w:rPr>
        <w:t>，</w:t>
      </w:r>
      <w:r>
        <w:rPr>
          <w:rFonts w:hint="eastAsia" w:ascii="仿宋" w:hAnsi="仿宋" w:eastAsia="仿宋" w:cs="Helvetica"/>
          <w:sz w:val="32"/>
          <w:szCs w:val="32"/>
        </w:rPr>
        <w:t>高级和技师级护理员占到护理员总数的18%。</w:t>
      </w:r>
    </w:p>
    <w:p>
      <w:pPr>
        <w:spacing w:line="600" w:lineRule="exact"/>
        <w:ind w:firstLine="646"/>
        <w:rPr>
          <w:rFonts w:ascii="仿宋" w:hAnsi="仿宋" w:eastAsia="仿宋" w:cs="宋体"/>
          <w:kern w:val="0"/>
          <w:sz w:val="32"/>
          <w:szCs w:val="32"/>
        </w:rPr>
      </w:pPr>
      <w:r>
        <w:rPr>
          <w:rFonts w:hint="eastAsia" w:ascii="楷体_GB2312" w:hAnsi="楷体_GB2312" w:eastAsia="楷体_GB2312" w:cs="楷体_GB2312"/>
          <w:b/>
          <w:bCs/>
          <w:kern w:val="2"/>
          <w:sz w:val="32"/>
          <w:szCs w:val="32"/>
          <w:lang w:val="en-US" w:eastAsia="zh-CN" w:bidi="ar-SA"/>
        </w:rPr>
        <w:t>2.促进队伍“三化”发展。</w:t>
      </w:r>
      <w:r>
        <w:rPr>
          <w:rFonts w:hint="eastAsia" w:ascii="仿宋" w:hAnsi="仿宋" w:eastAsia="仿宋" w:cs="仿宋_GB2312"/>
          <w:sz w:val="32"/>
          <w:szCs w:val="32"/>
        </w:rPr>
        <w:t>增强职业吸引，推进养老服务队伍“年轻化、专业化、职业化”发展。</w:t>
      </w:r>
      <w:r>
        <w:rPr>
          <w:rFonts w:hint="eastAsia" w:ascii="仿宋" w:hAnsi="仿宋" w:eastAsia="仿宋" w:cs="宋体"/>
          <w:kern w:val="0"/>
          <w:sz w:val="32"/>
          <w:szCs w:val="32"/>
        </w:rPr>
        <w:t>实施与</w:t>
      </w:r>
      <w:r>
        <w:rPr>
          <w:rFonts w:ascii="仿宋" w:hAnsi="仿宋" w:eastAsia="仿宋" w:cs="宋体"/>
          <w:kern w:val="0"/>
          <w:sz w:val="32"/>
          <w:szCs w:val="32"/>
        </w:rPr>
        <w:t>职业技能等级、工作年限</w:t>
      </w:r>
      <w:r>
        <w:rPr>
          <w:rFonts w:hint="eastAsia" w:ascii="仿宋" w:hAnsi="仿宋" w:eastAsia="仿宋" w:cs="宋体"/>
          <w:kern w:val="0"/>
          <w:sz w:val="32"/>
          <w:szCs w:val="32"/>
        </w:rPr>
        <w:t>挂钩的技能和岗位补贴、津贴等政策；建立一线专业照护人员指导工资，鼓励养老服务机构探索职业技能与</w:t>
      </w:r>
      <w:r>
        <w:rPr>
          <w:rFonts w:ascii="仿宋" w:hAnsi="仿宋" w:eastAsia="仿宋" w:cs="宋体"/>
          <w:kern w:val="0"/>
          <w:sz w:val="32"/>
          <w:szCs w:val="32"/>
        </w:rPr>
        <w:t>服务价格、</w:t>
      </w:r>
      <w:r>
        <w:rPr>
          <w:rFonts w:hint="eastAsia" w:ascii="仿宋" w:hAnsi="仿宋" w:eastAsia="仿宋" w:cs="宋体"/>
          <w:kern w:val="0"/>
          <w:sz w:val="32"/>
          <w:szCs w:val="32"/>
        </w:rPr>
        <w:t>绩效工资等</w:t>
      </w:r>
      <w:r>
        <w:rPr>
          <w:rFonts w:ascii="仿宋" w:hAnsi="仿宋" w:eastAsia="仿宋" w:cs="宋体"/>
          <w:kern w:val="0"/>
          <w:sz w:val="32"/>
          <w:szCs w:val="32"/>
        </w:rPr>
        <w:t>挂钩</w:t>
      </w:r>
      <w:r>
        <w:rPr>
          <w:rFonts w:hint="eastAsia" w:ascii="仿宋" w:hAnsi="仿宋" w:eastAsia="仿宋" w:cs="宋体"/>
          <w:kern w:val="0"/>
          <w:sz w:val="32"/>
          <w:szCs w:val="32"/>
        </w:rPr>
        <w:t>奖励</w:t>
      </w:r>
      <w:r>
        <w:rPr>
          <w:rFonts w:ascii="仿宋" w:hAnsi="仿宋" w:eastAsia="仿宋" w:cs="宋体"/>
          <w:kern w:val="0"/>
          <w:sz w:val="32"/>
          <w:szCs w:val="32"/>
        </w:rPr>
        <w:t>制度，增强养老护理员职业吸引力。</w:t>
      </w:r>
      <w:r>
        <w:rPr>
          <w:rFonts w:hint="eastAsia" w:ascii="仿宋" w:hAnsi="仿宋" w:eastAsia="仿宋" w:cs="宋体"/>
          <w:kern w:val="0"/>
          <w:sz w:val="32"/>
          <w:szCs w:val="32"/>
        </w:rPr>
        <w:t>扩大入职奖补政策惠及面，放开专业限制，吸引更多年轻大中专学生进入。</w:t>
      </w:r>
      <w:r>
        <w:rPr>
          <w:rFonts w:hint="eastAsia" w:ascii="仿宋_GB2312" w:hAnsi="仿宋_GB2312" w:eastAsia="仿宋_GB2312" w:cs="仿宋_GB2312"/>
          <w:sz w:val="32"/>
          <w:szCs w:val="32"/>
        </w:rPr>
        <w:t>依托各级养老护理员技能竞赛，结合新时代工匠培育工程，挖掘、培养、树立养老护理领军人才，加大激励力度。</w:t>
      </w:r>
      <w:r>
        <w:rPr>
          <w:rFonts w:hint="eastAsia" w:ascii="仿宋" w:hAnsi="仿宋" w:eastAsia="仿宋" w:cs="宋体"/>
          <w:kern w:val="0"/>
          <w:sz w:val="32"/>
          <w:szCs w:val="32"/>
        </w:rPr>
        <w:t>将一线工作的高级护理员、国家省级护理大赛一等奖获得者列入杭州市各类人才。鼓励养老服务企业集团化、连锁化发展，为年轻人提供职业晋升发展空间。鼓励体制内的社会福利机构院长（副院长）职业化发展，探索建立岗位绩效考核机制。弘扬照护文化，加强护理员的社会褒奖</w:t>
      </w:r>
      <w:r>
        <w:rPr>
          <w:rFonts w:ascii="仿宋" w:hAnsi="仿宋" w:eastAsia="仿宋" w:cs="宋体"/>
          <w:kern w:val="0"/>
          <w:sz w:val="32"/>
          <w:szCs w:val="32"/>
        </w:rPr>
        <w:t>，</w:t>
      </w:r>
      <w:r>
        <w:rPr>
          <w:rFonts w:hint="eastAsia" w:ascii="仿宋" w:hAnsi="仿宋" w:eastAsia="仿宋" w:cs="宋体"/>
          <w:kern w:val="0"/>
          <w:sz w:val="32"/>
          <w:szCs w:val="32"/>
        </w:rPr>
        <w:t>实施好现有各类褒奖政策。</w:t>
      </w:r>
      <w:r>
        <w:rPr>
          <w:rFonts w:hint="eastAsia" w:ascii="仿宋" w:hAnsi="仿宋" w:eastAsia="仿宋"/>
          <w:sz w:val="32"/>
          <w:szCs w:val="32"/>
        </w:rPr>
        <w:t>每个街镇配1名养老专职工作人员，鼓励实施养老项目社工工作机制；</w:t>
      </w:r>
      <w:r>
        <w:rPr>
          <w:rFonts w:hint="eastAsia" w:ascii="仿宋" w:hAnsi="仿宋" w:eastAsia="仿宋" w:cs="Helvetica"/>
          <w:sz w:val="32"/>
          <w:szCs w:val="32"/>
        </w:rPr>
        <w:t>逐步实现社区助老员年轻化、专业化发展，</w:t>
      </w:r>
      <w:r>
        <w:rPr>
          <w:rFonts w:hint="eastAsia" w:ascii="仿宋" w:hAnsi="仿宋" w:eastAsia="仿宋"/>
          <w:sz w:val="32"/>
          <w:szCs w:val="32"/>
        </w:rPr>
        <w:t>并转型为养老顾问。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600" w:lineRule="exact"/>
              <w:jc w:val="center"/>
              <w:rPr>
                <w:rFonts w:ascii="华文细黑" w:hAnsi="华文细黑" w:eastAsia="华文细黑"/>
                <w:sz w:val="28"/>
                <w:szCs w:val="28"/>
              </w:rPr>
            </w:pPr>
            <w:r>
              <w:rPr>
                <w:rFonts w:hint="eastAsia" w:ascii="华文细黑" w:hAnsi="华文细黑" w:eastAsia="华文细黑"/>
                <w:sz w:val="28"/>
                <w:szCs w:val="28"/>
              </w:rPr>
              <w:t>专栏</w:t>
            </w:r>
            <w:r>
              <w:rPr>
                <w:rFonts w:ascii="华文细黑" w:hAnsi="华文细黑" w:eastAsia="华文细黑"/>
                <w:sz w:val="28"/>
                <w:szCs w:val="28"/>
              </w:rPr>
              <w:t>6</w:t>
            </w:r>
            <w:r>
              <w:rPr>
                <w:rFonts w:hint="eastAsia" w:ascii="华文细黑" w:hAnsi="华文细黑" w:eastAsia="华文细黑"/>
                <w:sz w:val="28"/>
                <w:szCs w:val="28"/>
              </w:rPr>
              <w:t>：多学科队照护伍建设行动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500" w:lineRule="exact"/>
              <w:jc w:val="left"/>
              <w:rPr>
                <w:rFonts w:ascii="仿宋" w:hAnsi="仿宋" w:eastAsia="仿宋" w:cs="Helvetica"/>
                <w:sz w:val="28"/>
                <w:szCs w:val="28"/>
              </w:rPr>
            </w:pPr>
            <w:r>
              <w:rPr>
                <w:rFonts w:hint="eastAsia" w:ascii="华文楷体" w:hAnsi="华文楷体" w:eastAsia="华文楷体" w:cs="Helvetica"/>
                <w:b/>
                <w:sz w:val="28"/>
                <w:szCs w:val="28"/>
              </w:rPr>
              <w:t>1</w:t>
            </w:r>
            <w:r>
              <w:rPr>
                <w:rFonts w:ascii="华文楷体" w:hAnsi="华文楷体" w:eastAsia="华文楷体" w:cs="Helvetica"/>
                <w:b/>
                <w:sz w:val="28"/>
                <w:szCs w:val="28"/>
              </w:rPr>
              <w:t>.</w:t>
            </w:r>
            <w:r>
              <w:rPr>
                <w:rFonts w:hint="eastAsia" w:ascii="华文楷体" w:hAnsi="华文楷体" w:eastAsia="华文楷体" w:cs="Helvetica"/>
                <w:b/>
                <w:sz w:val="28"/>
                <w:szCs w:val="28"/>
              </w:rPr>
              <w:t>打造多学科照护队伍。</w:t>
            </w:r>
            <w:r>
              <w:rPr>
                <w:rFonts w:hint="eastAsia" w:ascii="仿宋" w:hAnsi="仿宋" w:eastAsia="仿宋" w:cs="Helvetica"/>
                <w:b/>
                <w:sz w:val="28"/>
                <w:szCs w:val="28"/>
              </w:rPr>
              <w:t>“养老服务+社工”</w:t>
            </w:r>
            <w:r>
              <w:rPr>
                <w:rFonts w:hint="eastAsia" w:ascii="仿宋" w:hAnsi="仿宋" w:eastAsia="仿宋" w:cs="Helvetica"/>
                <w:sz w:val="28"/>
                <w:szCs w:val="28"/>
              </w:rPr>
              <w:t>，入住1</w:t>
            </w:r>
            <w:r>
              <w:rPr>
                <w:rFonts w:ascii="仿宋" w:hAnsi="仿宋" w:eastAsia="仿宋" w:cs="Helvetica"/>
                <w:sz w:val="28"/>
                <w:szCs w:val="28"/>
              </w:rPr>
              <w:t>00人及以上养老机构至少配备</w:t>
            </w:r>
            <w:r>
              <w:rPr>
                <w:rFonts w:hint="eastAsia" w:ascii="仿宋" w:hAnsi="仿宋" w:eastAsia="仿宋" w:cs="Helvetica"/>
                <w:sz w:val="28"/>
                <w:szCs w:val="28"/>
              </w:rPr>
              <w:t>1名社工，鼓励养老机构和专业社会组织加强合作，引入社工服务项目；居家养老服务机构、社区居家养老服务综合体、居家养老服务中心至少配置1名社工，到2025年，每万名老年人拥有社会工作者数量达25人。</w:t>
            </w:r>
            <w:r>
              <w:rPr>
                <w:rFonts w:hint="eastAsia" w:ascii="仿宋" w:hAnsi="仿宋" w:eastAsia="仿宋" w:cs="Helvetica"/>
                <w:b/>
                <w:sz w:val="28"/>
                <w:szCs w:val="28"/>
              </w:rPr>
              <w:t>“养老服务+护士”，</w:t>
            </w:r>
            <w:r>
              <w:rPr>
                <w:rFonts w:hint="eastAsia" w:ascii="仿宋" w:hAnsi="仿宋" w:eastAsia="仿宋" w:cs="Helvetica"/>
                <w:sz w:val="28"/>
                <w:szCs w:val="28"/>
              </w:rPr>
              <w:t>发挥护士在护理服务中的中坚作用，入住100人及以上养老机构至少配置1名护士。</w:t>
            </w:r>
            <w:r>
              <w:rPr>
                <w:rFonts w:ascii="仿宋" w:hAnsi="仿宋" w:eastAsia="仿宋" w:cs="Helvetica"/>
                <w:b/>
                <w:sz w:val="28"/>
                <w:szCs w:val="28"/>
              </w:rPr>
              <w:t>“</w:t>
            </w:r>
            <w:r>
              <w:rPr>
                <w:rFonts w:hint="eastAsia" w:ascii="仿宋" w:hAnsi="仿宋" w:eastAsia="仿宋" w:cs="Helvetica"/>
                <w:b/>
                <w:sz w:val="28"/>
                <w:szCs w:val="28"/>
              </w:rPr>
              <w:t>养老服务+康复/护士.治疗师”，</w:t>
            </w:r>
            <w:r>
              <w:rPr>
                <w:rFonts w:hint="eastAsia" w:ascii="仿宋" w:hAnsi="仿宋" w:eastAsia="仿宋" w:cs="Helvetica"/>
                <w:sz w:val="28"/>
                <w:szCs w:val="28"/>
              </w:rPr>
              <w:t>四星级养老机构培育康复护士，五星级养老机构配有康复医师或康养康复治疗师。</w:t>
            </w:r>
          </w:p>
          <w:p>
            <w:pPr>
              <w:spacing w:line="480" w:lineRule="exact"/>
              <w:rPr>
                <w:rFonts w:ascii="仿宋" w:hAnsi="仿宋" w:eastAsia="仿宋" w:cs="Helvetica"/>
                <w:sz w:val="28"/>
                <w:szCs w:val="28"/>
              </w:rPr>
            </w:pPr>
            <w:r>
              <w:rPr>
                <w:rFonts w:hint="eastAsia" w:ascii="华文楷体" w:hAnsi="华文楷体" w:eastAsia="华文楷体"/>
                <w:b/>
                <w:sz w:val="28"/>
                <w:szCs w:val="28"/>
              </w:rPr>
              <w:t>2</w:t>
            </w:r>
            <w:r>
              <w:rPr>
                <w:rFonts w:ascii="华文楷体" w:hAnsi="华文楷体" w:eastAsia="华文楷体"/>
                <w:b/>
                <w:sz w:val="28"/>
                <w:szCs w:val="28"/>
              </w:rPr>
              <w:t>.打造养老社会工作品牌。</w:t>
            </w:r>
            <w:r>
              <w:rPr>
                <w:rFonts w:hint="eastAsia" w:ascii="仿宋" w:hAnsi="仿宋" w:eastAsia="仿宋" w:cs="Helvetica"/>
                <w:sz w:val="28"/>
                <w:szCs w:val="28"/>
              </w:rPr>
              <w:t>促进社会工作运用于养老服务领域，更好地发现需求，回应需求；更好地关注老年人心理需求和感受晚年生活意义，提供个性解决方案；更好地整合社会资源，建立老年人社会支持体系。</w:t>
            </w:r>
            <w:r>
              <w:rPr>
                <w:rFonts w:hint="eastAsia" w:ascii="仿宋" w:hAnsi="仿宋" w:eastAsia="仿宋"/>
                <w:sz w:val="28"/>
                <w:szCs w:val="28"/>
              </w:rPr>
              <w:t>打造若干个养老服务社工项目品牌，编制典型代表性养老服务社工案例专辑。</w:t>
            </w:r>
          </w:p>
          <w:p>
            <w:pPr>
              <w:spacing w:line="500" w:lineRule="exact"/>
              <w:rPr>
                <w:rFonts w:ascii="仿宋" w:hAnsi="仿宋" w:eastAsia="仿宋" w:cs="Helvetica"/>
                <w:color w:val="333333"/>
                <w:sz w:val="28"/>
                <w:szCs w:val="28"/>
              </w:rPr>
            </w:pPr>
            <w:r>
              <w:rPr>
                <w:rFonts w:hint="eastAsia" w:ascii="仿宋" w:hAnsi="仿宋" w:eastAsia="仿宋"/>
                <w:b/>
                <w:sz w:val="28"/>
                <w:szCs w:val="28"/>
              </w:rPr>
              <w:t>3</w:t>
            </w:r>
            <w:r>
              <w:rPr>
                <w:rFonts w:ascii="仿宋" w:hAnsi="仿宋" w:eastAsia="仿宋"/>
                <w:b/>
                <w:sz w:val="28"/>
                <w:szCs w:val="28"/>
              </w:rPr>
              <w:t>.实施康复护理人才培养计划。</w:t>
            </w:r>
            <w:r>
              <w:rPr>
                <w:rFonts w:hint="eastAsia" w:ascii="仿宋" w:hAnsi="仿宋" w:eastAsia="仿宋" w:cs="Helvetica"/>
                <w:color w:val="333333"/>
                <w:sz w:val="28"/>
                <w:szCs w:val="28"/>
              </w:rPr>
              <w:t>培养一批康复护士，与杭州师范大学护理学院、浙江中医学院、浙江城市大学护理学院等开展委托培训合作，选送国家、省市护理技能竞赛名次获得者，技师级级以上护理员参加委培。学费纳入“入职奖补”范围。</w:t>
            </w:r>
          </w:p>
        </w:tc>
      </w:tr>
    </w:tbl>
    <w:p>
      <w:pPr>
        <w:spacing w:line="600" w:lineRule="exact"/>
        <w:ind w:firstLine="640" w:firstLineChars="200"/>
        <w:rPr>
          <w:rFonts w:ascii="黑体" w:hAnsi="黑体" w:eastAsia="黑体"/>
          <w:sz w:val="32"/>
          <w:szCs w:val="32"/>
        </w:rPr>
      </w:pPr>
      <w:r>
        <w:rPr>
          <w:rFonts w:ascii="黑体" w:hAnsi="黑体" w:eastAsia="黑体"/>
          <w:sz w:val="32"/>
          <w:szCs w:val="32"/>
        </w:rPr>
        <w:t>（七）</w:t>
      </w:r>
      <w:r>
        <w:rPr>
          <w:rFonts w:hint="eastAsia" w:ascii="黑体" w:hAnsi="黑体" w:eastAsia="黑体"/>
          <w:sz w:val="32"/>
          <w:szCs w:val="32"/>
        </w:rPr>
        <w:t>促进养老服务新业态发展</w:t>
      </w:r>
    </w:p>
    <w:p>
      <w:pPr>
        <w:spacing w:line="600" w:lineRule="exact"/>
        <w:ind w:firstLine="643" w:firstLineChars="200"/>
        <w:rPr>
          <w:rFonts w:ascii="仿宋" w:hAnsi="仿宋" w:eastAsia="仿宋" w:cs="Helvetica"/>
          <w:sz w:val="32"/>
          <w:szCs w:val="32"/>
        </w:rPr>
      </w:pPr>
      <w:r>
        <w:rPr>
          <w:rFonts w:hint="eastAsia" w:ascii="楷体_GB2312" w:hAnsi="楷体_GB2312" w:eastAsia="楷体_GB2312" w:cs="楷体_GB2312"/>
          <w:b/>
          <w:bCs/>
          <w:kern w:val="2"/>
          <w:sz w:val="32"/>
          <w:szCs w:val="32"/>
          <w:lang w:val="en-US" w:eastAsia="zh-CN" w:bidi="ar-SA"/>
        </w:rPr>
        <w:t>1.扩大普惠型养老服务供给。</w:t>
      </w:r>
      <w:r>
        <w:rPr>
          <w:rFonts w:hint="eastAsia" w:ascii="仿宋" w:hAnsi="仿宋" w:eastAsia="仿宋"/>
          <w:sz w:val="32"/>
          <w:szCs w:val="32"/>
        </w:rPr>
        <w:t>发展面向广大老年人及家庭价格可负担、服务可及的普惠型养老服务。公办养老机构（含公建民营）、政府无偿提供设施（场地）的社区居家养老服务设施确保公益属性，提供普惠型养老服务；民办非企业服务机构加强年度和财务审计，确保公益性宗旨。鼓励社会力量投资兴建的养老机构，积极争取国家发改委城企联动普惠养老项目试点；鼓励探索地方性城企联动普惠养老项目试点，扩大普惠性服务供给。</w:t>
      </w:r>
      <w:r>
        <w:rPr>
          <w:rFonts w:hint="eastAsia" w:ascii="仿宋" w:hAnsi="仿宋" w:eastAsia="仿宋" w:cs="Helvetica"/>
          <w:sz w:val="32"/>
          <w:szCs w:val="32"/>
        </w:rPr>
        <w:t>全面放开市场，鼓励各类社会力量参与养老服务发展，增加养老服务供给，提供多元个性服务。增强居家养老服务中心经营性，引导养老机构优先承接运营；鼓励社会力量，整合自身、社会和产业资源，实行集团化、连锁化、品牌化发展。鼓励利用小区公共设施，创建小型养老服务设施和平台，物业协同业主委员会，探索“物业+养老服务”。加大社会组织培育力度，重点培育社会工作类、公益慈善类、第三方中介类及枢纽型等机构。</w:t>
      </w:r>
    </w:p>
    <w:p>
      <w:pPr>
        <w:spacing w:line="600" w:lineRule="exact"/>
        <w:ind w:firstLine="643" w:firstLineChars="200"/>
        <w:rPr>
          <w:rFonts w:ascii="仿宋" w:hAnsi="仿宋" w:eastAsia="仿宋" w:cs="Helvetica"/>
          <w:sz w:val="32"/>
          <w:szCs w:val="32"/>
        </w:rPr>
      </w:pPr>
      <w:r>
        <w:rPr>
          <w:rFonts w:hint="eastAsia" w:ascii="楷体_GB2312" w:hAnsi="楷体_GB2312" w:eastAsia="楷体_GB2312" w:cs="楷体_GB2312"/>
          <w:b/>
          <w:bCs/>
          <w:kern w:val="2"/>
          <w:sz w:val="32"/>
          <w:szCs w:val="32"/>
          <w:lang w:val="en-US" w:eastAsia="zh-CN" w:bidi="ar-SA"/>
        </w:rPr>
        <w:t>2.健全为老志愿服务机制。</w:t>
      </w:r>
      <w:r>
        <w:rPr>
          <w:rFonts w:hint="eastAsia" w:ascii="仿宋" w:hAnsi="仿宋" w:eastAsia="仿宋" w:cs="Helvetica"/>
          <w:sz w:val="32"/>
          <w:szCs w:val="32"/>
        </w:rPr>
        <w:t>加快推动全市养老服务“时间银行”，以居家养老服务机构为支撑，整合社区多元服务资源，探索建立时间银行公益基金会或公益基金，构建形成运行机制完善、标准统一规范、全域通存通兑的长效可持续服务体系。鼓励组建敬老爱心联盟，对接养老服务需求，创设公益敬老助老项目，筹集社会资金，链接公益服务。</w:t>
      </w:r>
      <w:r>
        <w:rPr>
          <w:rFonts w:hint="eastAsia" w:ascii="仿宋" w:hAnsi="仿宋" w:eastAsia="仿宋" w:cs="Helvetica"/>
          <w:sz w:val="32"/>
          <w:szCs w:val="32"/>
          <w:lang w:val="zh-CN"/>
        </w:rPr>
        <w:t>积极</w:t>
      </w:r>
      <w:r>
        <w:rPr>
          <w:rFonts w:hint="eastAsia" w:ascii="仿宋" w:hAnsi="仿宋" w:eastAsia="仿宋" w:cs="Helvetica"/>
          <w:sz w:val="32"/>
          <w:szCs w:val="32"/>
        </w:rPr>
        <w:t>引入社会工作者等专业力量，拓宽老年人社会支持网络，支持社区服务机构、基层老年协会、企事业单位等开展互助养老活动。加快培养服务于老年人生活服务、精神慰藉、法律援助的社会工作者和社区为老服务志愿者队伍，为老年人提供便利可及、针对性强的服务，到2022年，全市培育10个以上影响力较大的为老志愿服务组织。</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600" w:lineRule="exact"/>
              <w:jc w:val="center"/>
              <w:rPr>
                <w:rFonts w:ascii="华文细黑" w:hAnsi="华文细黑" w:eastAsia="华文细黑"/>
                <w:sz w:val="28"/>
                <w:szCs w:val="28"/>
              </w:rPr>
            </w:pPr>
            <w:r>
              <w:rPr>
                <w:rFonts w:hint="eastAsia" w:ascii="华文细黑" w:hAnsi="华文细黑" w:eastAsia="华文细黑"/>
                <w:sz w:val="28"/>
                <w:szCs w:val="28"/>
              </w:rPr>
              <w:t>专栏</w:t>
            </w:r>
            <w:r>
              <w:rPr>
                <w:rFonts w:ascii="华文细黑" w:hAnsi="华文细黑" w:eastAsia="华文细黑"/>
                <w:sz w:val="28"/>
                <w:szCs w:val="28"/>
              </w:rPr>
              <w:t>7</w:t>
            </w:r>
            <w:r>
              <w:rPr>
                <w:rFonts w:hint="eastAsia" w:ascii="华文细黑" w:hAnsi="华文细黑" w:eastAsia="华文细黑"/>
                <w:sz w:val="28"/>
                <w:szCs w:val="28"/>
              </w:rPr>
              <w:t>：时间银行运行机制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80" w:lineRule="exact"/>
              <w:rPr>
                <w:rFonts w:ascii="仿宋" w:hAnsi="仿宋" w:eastAsia="仿宋" w:cs="Times New Roman"/>
                <w:bCs/>
                <w:sz w:val="28"/>
                <w:szCs w:val="28"/>
              </w:rPr>
            </w:pPr>
            <w:r>
              <w:rPr>
                <w:rFonts w:ascii="华文楷体" w:hAnsi="华文楷体" w:eastAsia="华文楷体" w:cs="Times New Roman"/>
                <w:b/>
                <w:bCs/>
                <w:sz w:val="28"/>
                <w:szCs w:val="28"/>
              </w:rPr>
              <w:t>1.服务管理机制。</w:t>
            </w:r>
            <w:r>
              <w:rPr>
                <w:rFonts w:hint="eastAsia" w:ascii="仿宋" w:hAnsi="仿宋" w:eastAsia="仿宋" w:cs="Times New Roman"/>
                <w:bCs/>
                <w:sz w:val="28"/>
                <w:szCs w:val="28"/>
              </w:rPr>
              <w:t>将志愿服务分专业（基础康护、精神慰藉）、非专业（辅助生活、文化教育）两类，依托市智慧养老服务平台，建立健全涵盖公益组织准入、需求发布与方案申报、志愿者招募与培训、志愿活动组织开展、服务兑换激励、监管与服务评价为一体的养老服务时间银行闭环管理机制。</w:t>
            </w:r>
          </w:p>
          <w:p>
            <w:pPr>
              <w:spacing w:line="480" w:lineRule="exact"/>
              <w:rPr>
                <w:rFonts w:ascii="华文细黑" w:hAnsi="华文细黑" w:eastAsia="华文细黑"/>
                <w:sz w:val="28"/>
                <w:szCs w:val="28"/>
              </w:rPr>
            </w:pPr>
            <w:r>
              <w:rPr>
                <w:rFonts w:hint="eastAsia" w:ascii="华文楷体" w:hAnsi="华文楷体" w:eastAsia="华文楷体" w:cs="Times New Roman"/>
                <w:b/>
                <w:bCs/>
                <w:sz w:val="28"/>
                <w:szCs w:val="28"/>
              </w:rPr>
              <w:t>2</w:t>
            </w:r>
            <w:r>
              <w:rPr>
                <w:rFonts w:ascii="华文楷体" w:hAnsi="华文楷体" w:eastAsia="华文楷体" w:cs="Times New Roman"/>
                <w:b/>
                <w:bCs/>
                <w:sz w:val="28"/>
                <w:szCs w:val="28"/>
              </w:rPr>
              <w:t>.</w:t>
            </w:r>
            <w:r>
              <w:rPr>
                <w:rFonts w:hint="eastAsia" w:ascii="华文楷体" w:hAnsi="华文楷体" w:eastAsia="华文楷体" w:cs="Times New Roman"/>
                <w:b/>
                <w:bCs/>
                <w:sz w:val="28"/>
                <w:szCs w:val="28"/>
              </w:rPr>
              <w:t>“通存通兑”和激励保障机制</w:t>
            </w:r>
            <w:r>
              <w:rPr>
                <w:rFonts w:hint="eastAsia" w:ascii="仿宋" w:hAnsi="仿宋" w:eastAsia="仿宋" w:cs="Times New Roman"/>
                <w:bCs/>
                <w:sz w:val="28"/>
                <w:szCs w:val="28"/>
              </w:rPr>
              <w:t>。志愿者：转赠为老志愿服务对象，累计转赠100时间币可换取1枚“荣誉勋章”，后期给予社会褒奖。公益组织：依托各级公益创投项目、企业捐赠、基金会等，并给予荣誉褒奖</w:t>
            </w:r>
            <w:r>
              <w:rPr>
                <w:rFonts w:hint="eastAsia" w:ascii="仿宋" w:hAnsi="仿宋" w:eastAsia="仿宋" w:cs="Times New Roman"/>
                <w:bCs/>
                <w:sz w:val="28"/>
                <w:szCs w:val="28"/>
                <w:lang w:eastAsia="zh-CN"/>
              </w:rPr>
              <w:t>、</w:t>
            </w:r>
            <w:r>
              <w:rPr>
                <w:rFonts w:hint="eastAsia" w:ascii="仿宋" w:hAnsi="仿宋" w:eastAsia="仿宋" w:cs="Times New Roman"/>
                <w:bCs/>
                <w:sz w:val="28"/>
                <w:szCs w:val="28"/>
              </w:rPr>
              <w:t>公益时或其他延伸权益。</w:t>
            </w:r>
          </w:p>
        </w:tc>
      </w:tr>
    </w:tbl>
    <w:p>
      <w:pPr>
        <w:spacing w:line="600" w:lineRule="exact"/>
        <w:ind w:firstLine="660"/>
        <w:rPr>
          <w:rFonts w:ascii="Times New Roman" w:hAnsi="Times New Roman" w:eastAsia="仿宋_GB2312" w:cs="Times New Roman"/>
          <w:sz w:val="32"/>
          <w:szCs w:val="32"/>
        </w:rPr>
      </w:pPr>
      <w:r>
        <w:rPr>
          <w:rFonts w:hint="eastAsia" w:ascii="楷体_GB2312" w:hAnsi="楷体_GB2312" w:eastAsia="楷体_GB2312" w:cs="楷体_GB2312"/>
          <w:b/>
          <w:bCs/>
          <w:kern w:val="2"/>
          <w:sz w:val="32"/>
          <w:szCs w:val="32"/>
          <w:lang w:val="en-US" w:eastAsia="zh-CN" w:bidi="ar-SA"/>
        </w:rPr>
        <w:t>3.大力发展产品用品产业。</w:t>
      </w:r>
      <w:r>
        <w:rPr>
          <w:rFonts w:ascii="Times New Roman" w:hAnsi="Times New Roman" w:eastAsia="仿宋_GB2312" w:cs="Times New Roman"/>
          <w:sz w:val="32"/>
          <w:szCs w:val="32"/>
        </w:rPr>
        <w:t>发展老年人服装服饰、日用辅助产品、生活护理产品、康复训练及健康促进辅具等老年用品产业，</w:t>
      </w:r>
      <w:r>
        <w:rPr>
          <w:rFonts w:hint="eastAsia" w:ascii="Times New Roman" w:hAnsi="Times New Roman" w:eastAsia="仿宋_GB2312" w:cs="Times New Roman"/>
          <w:sz w:val="32"/>
          <w:szCs w:val="32"/>
        </w:rPr>
        <w:t>依托专业市场、社区养老服务场地和养老机构等开设老年服务、日用辅助用品专区；依托现有健康/医药小镇、产业园区，开拓康复辅具园区；搭建康复辅具展示、租赁、回收洗消、技术和标准研发产业链。</w:t>
      </w:r>
      <w:r>
        <w:rPr>
          <w:rFonts w:ascii="Times New Roman" w:hAnsi="Times New Roman" w:eastAsia="仿宋_GB2312" w:cs="Times New Roman"/>
          <w:sz w:val="32"/>
          <w:szCs w:val="32"/>
        </w:rPr>
        <w:t>到2025年，</w:t>
      </w:r>
      <w:r>
        <w:rPr>
          <w:rFonts w:hint="eastAsia" w:ascii="Times New Roman" w:hAnsi="Times New Roman" w:eastAsia="仿宋_GB2312" w:cs="Times New Roman"/>
          <w:sz w:val="32"/>
          <w:szCs w:val="32"/>
        </w:rPr>
        <w:t>每个区县市</w:t>
      </w:r>
      <w:r>
        <w:rPr>
          <w:rFonts w:ascii="Times New Roman" w:hAnsi="Times New Roman" w:eastAsia="仿宋_GB2312" w:cs="Times New Roman"/>
          <w:sz w:val="32"/>
          <w:szCs w:val="32"/>
        </w:rPr>
        <w:t>建有一个康复辅具与老年用品展示中心和一个区域性康复辅具洗消中心</w:t>
      </w:r>
      <w:r>
        <w:rPr>
          <w:rFonts w:hint="eastAsia" w:ascii="Times New Roman" w:hAnsi="Times New Roman" w:eastAsia="仿宋_GB2312" w:cs="Times New Roman"/>
          <w:sz w:val="32"/>
          <w:szCs w:val="32"/>
        </w:rPr>
        <w:t>，建成街镇康复辅具适配服务中心，普遍开展康复辅具租赁业务</w:t>
      </w:r>
      <w:r>
        <w:rPr>
          <w:rFonts w:ascii="Times New Roman" w:hAnsi="Times New Roman" w:eastAsia="仿宋_GB2312" w:cs="Times New Roman"/>
          <w:sz w:val="32"/>
          <w:szCs w:val="32"/>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600" w:lineRule="exact"/>
              <w:jc w:val="center"/>
              <w:rPr>
                <w:rFonts w:ascii="华文细黑" w:hAnsi="华文细黑" w:eastAsia="华文细黑" w:cs="Times New Roman"/>
                <w:sz w:val="28"/>
                <w:szCs w:val="28"/>
              </w:rPr>
            </w:pPr>
            <w:r>
              <w:rPr>
                <w:rFonts w:hint="eastAsia" w:ascii="华文细黑" w:hAnsi="华文细黑" w:eastAsia="华文细黑" w:cs="Times New Roman"/>
                <w:sz w:val="28"/>
                <w:szCs w:val="28"/>
              </w:rPr>
              <w:t>专栏</w:t>
            </w:r>
            <w:r>
              <w:rPr>
                <w:rFonts w:ascii="华文细黑" w:hAnsi="华文细黑" w:eastAsia="华文细黑" w:cs="Times New Roman"/>
                <w:sz w:val="28"/>
                <w:szCs w:val="28"/>
              </w:rPr>
              <w:t>8</w:t>
            </w:r>
            <w:r>
              <w:rPr>
                <w:rFonts w:hint="eastAsia" w:ascii="华文细黑" w:hAnsi="华文细黑" w:eastAsia="华文细黑" w:cs="Times New Roman"/>
                <w:sz w:val="28"/>
                <w:szCs w:val="28"/>
              </w:rPr>
              <w:t>：康复辅具服务体系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13"/>
              <w:numPr>
                <w:ilvl w:val="0"/>
                <w:numId w:val="3"/>
              </w:numPr>
              <w:adjustRightInd w:val="0"/>
              <w:snapToGrid w:val="0"/>
              <w:spacing w:line="480" w:lineRule="exact"/>
              <w:ind w:left="476" w:hanging="476" w:hangingChars="170"/>
              <w:rPr>
                <w:rFonts w:ascii="仿宋" w:hAnsi="仿宋" w:eastAsia="仿宋" w:cs="Times New Roman"/>
                <w:sz w:val="28"/>
                <w:szCs w:val="28"/>
              </w:rPr>
            </w:pPr>
            <w:r>
              <w:rPr>
                <w:rFonts w:hint="eastAsia" w:ascii="仿宋" w:hAnsi="仿宋" w:eastAsia="仿宋" w:cs="Times New Roman"/>
                <w:sz w:val="28"/>
                <w:szCs w:val="28"/>
              </w:rPr>
              <w:t>编制康复辅助器具展示中心/站建设指南，编制康复辅具产品和技术目录。</w:t>
            </w:r>
          </w:p>
          <w:p>
            <w:pPr>
              <w:pStyle w:val="13"/>
              <w:numPr>
                <w:ilvl w:val="0"/>
                <w:numId w:val="3"/>
              </w:numPr>
              <w:adjustRightInd w:val="0"/>
              <w:snapToGrid w:val="0"/>
              <w:spacing w:line="480" w:lineRule="exact"/>
              <w:ind w:left="476" w:hanging="476" w:hangingChars="170"/>
              <w:rPr>
                <w:rFonts w:ascii="仿宋" w:hAnsi="仿宋" w:eastAsia="仿宋" w:cs="Times New Roman"/>
                <w:sz w:val="28"/>
                <w:szCs w:val="28"/>
              </w:rPr>
            </w:pPr>
            <w:r>
              <w:rPr>
                <w:rFonts w:hint="eastAsia" w:ascii="仿宋" w:hAnsi="仿宋" w:eastAsia="仿宋" w:cs="Times New Roman"/>
                <w:sz w:val="28"/>
                <w:szCs w:val="28"/>
              </w:rPr>
              <w:t>编制康复辅具评估、配置、回收、洗消及维管流程标准，争创老年康复辅具管理和服务地方标准。</w:t>
            </w:r>
          </w:p>
          <w:p>
            <w:pPr>
              <w:pStyle w:val="13"/>
              <w:numPr>
                <w:ilvl w:val="0"/>
                <w:numId w:val="3"/>
              </w:numPr>
              <w:adjustRightInd w:val="0"/>
              <w:snapToGrid w:val="0"/>
              <w:spacing w:line="480" w:lineRule="exact"/>
              <w:ind w:left="476" w:hanging="476" w:hangingChars="170"/>
              <w:rPr>
                <w:rFonts w:ascii="仿宋" w:hAnsi="仿宋" w:eastAsia="仿宋" w:cs="Times New Roman"/>
                <w:sz w:val="28"/>
                <w:szCs w:val="28"/>
              </w:rPr>
            </w:pPr>
            <w:r>
              <w:rPr>
                <w:rFonts w:hint="eastAsia" w:ascii="仿宋" w:hAnsi="仿宋" w:eastAsia="仿宋" w:cs="Times New Roman"/>
                <w:sz w:val="28"/>
                <w:szCs w:val="28"/>
              </w:rPr>
              <w:t>建立康复辅具展示中心、洗消中心、康复辅具租赁点服务供给体系、运营和支付机制。</w:t>
            </w:r>
          </w:p>
          <w:p>
            <w:pPr>
              <w:pStyle w:val="13"/>
              <w:numPr>
                <w:ilvl w:val="0"/>
                <w:numId w:val="3"/>
              </w:numPr>
              <w:adjustRightInd w:val="0"/>
              <w:snapToGrid w:val="0"/>
              <w:spacing w:line="480" w:lineRule="exact"/>
              <w:ind w:left="476" w:hanging="476" w:hangingChars="170"/>
              <w:rPr>
                <w:rFonts w:ascii="仿宋" w:hAnsi="仿宋" w:eastAsia="仿宋" w:cs="Times New Roman"/>
                <w:sz w:val="28"/>
                <w:szCs w:val="28"/>
              </w:rPr>
            </w:pPr>
            <w:r>
              <w:rPr>
                <w:rFonts w:hint="eastAsia" w:ascii="仿宋" w:hAnsi="仿宋" w:eastAsia="仿宋" w:cs="Times New Roman"/>
                <w:sz w:val="28"/>
                <w:szCs w:val="28"/>
              </w:rPr>
              <w:t>建立康复辅具适配人员资质标准和培训体系。</w:t>
            </w:r>
          </w:p>
          <w:p>
            <w:pPr>
              <w:pStyle w:val="13"/>
              <w:numPr>
                <w:ilvl w:val="0"/>
                <w:numId w:val="3"/>
              </w:numPr>
              <w:adjustRightInd w:val="0"/>
              <w:snapToGrid w:val="0"/>
              <w:spacing w:line="480" w:lineRule="exact"/>
              <w:ind w:left="476" w:hanging="476" w:hangingChars="170"/>
              <w:rPr>
                <w:rFonts w:ascii="Times New Roman" w:hAnsi="Times New Roman" w:eastAsia="仿宋_GB2312" w:cs="Times New Roman"/>
                <w:sz w:val="28"/>
                <w:szCs w:val="28"/>
              </w:rPr>
            </w:pPr>
            <w:r>
              <w:rPr>
                <w:rFonts w:hint="eastAsia" w:ascii="仿宋" w:hAnsi="仿宋" w:eastAsia="仿宋" w:cs="Times New Roman"/>
                <w:sz w:val="28"/>
                <w:szCs w:val="28"/>
              </w:rPr>
              <w:t>出台康复辅具产品指导目录。</w:t>
            </w:r>
          </w:p>
        </w:tc>
      </w:tr>
    </w:tbl>
    <w:p>
      <w:pPr>
        <w:spacing w:line="600" w:lineRule="exact"/>
        <w:ind w:firstLine="660"/>
        <w:rPr>
          <w:rFonts w:ascii="仿宋" w:hAnsi="仿宋" w:eastAsia="仿宋"/>
          <w:b/>
          <w:bCs/>
          <w:sz w:val="32"/>
          <w:szCs w:val="32"/>
        </w:rPr>
      </w:pPr>
      <w:r>
        <w:rPr>
          <w:rFonts w:hint="eastAsia" w:ascii="楷体_GB2312" w:hAnsi="楷体_GB2312" w:eastAsia="楷体_GB2312" w:cs="楷体_GB2312"/>
          <w:b/>
          <w:bCs/>
          <w:kern w:val="2"/>
          <w:sz w:val="32"/>
          <w:szCs w:val="32"/>
          <w:lang w:val="en-US" w:eastAsia="zh-CN" w:bidi="ar-SA"/>
        </w:rPr>
        <w:t>4.鼓励发展老年宜居产业。</w:t>
      </w:r>
      <w:r>
        <w:rPr>
          <w:rFonts w:hint="eastAsia" w:ascii="Times New Roman" w:hAnsi="Times New Roman" w:eastAsia="仿宋_GB2312" w:cs="Times New Roman"/>
          <w:sz w:val="32"/>
          <w:szCs w:val="32"/>
        </w:rPr>
        <w:t>在城市规划、土地出让、保障性住房建设中，鼓励建设全龄社区、终身住宅、多代居住宅和连续照护社区，让老年人融入社会，打造年轻人和老年人共同生活、代际融合的家庭、社区和社会场景。将配建租赁型老年公寓、嵌入式养老服务设施等纳入优先供地出让因素。立足长三角一体化战略，推进长三角养老服务一体化协同发展，搭建长三角区域内养老产业资源对接、项目合作、人才交流的服务平台，促进城市间养老服务要素流通、项目合作、养老产业联动</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面向长三角，搭建长三角旅居/异地养老联盟</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大力发展宜居宜养宜游康养新业态。加强国际交流和合作，重点在认知障碍照护、康复辅具、养老服务人才队伍等方面搭建合作机制，鼓励养老服务组织和企业与日本、荷兰、瑞典、澳大利亚等国家和地区搭建项目合作平台。组织开展养老服务/大健康国际论坛和展会，打造国际化养老机构和养老社区（项目性，非行政社区），展示中国老年福利建设制度优势和老年人幸福颐养生活。</w:t>
      </w:r>
    </w:p>
    <w:p>
      <w:pPr>
        <w:spacing w:line="600" w:lineRule="exact"/>
        <w:ind w:firstLine="640" w:firstLineChars="200"/>
        <w:rPr>
          <w:rFonts w:ascii="黑体" w:hAnsi="黑体" w:eastAsia="黑体"/>
          <w:sz w:val="32"/>
          <w:szCs w:val="32"/>
        </w:rPr>
      </w:pPr>
      <w:r>
        <w:rPr>
          <w:rFonts w:ascii="黑体" w:hAnsi="黑体" w:eastAsia="黑体"/>
          <w:sz w:val="32"/>
          <w:szCs w:val="32"/>
        </w:rPr>
        <w:t>（八）</w:t>
      </w:r>
      <w:r>
        <w:rPr>
          <w:rFonts w:hint="eastAsia" w:ascii="黑体" w:hAnsi="黑体" w:eastAsia="黑体"/>
          <w:sz w:val="32"/>
          <w:szCs w:val="32"/>
        </w:rPr>
        <w:t>健全养老服务综合监管制度</w:t>
      </w:r>
    </w:p>
    <w:p>
      <w:pPr>
        <w:spacing w:line="600" w:lineRule="exact"/>
        <w:ind w:firstLine="660"/>
        <w:rPr>
          <w:rFonts w:ascii="Times New Roman" w:hAnsi="Times New Roman" w:eastAsia="仿宋_GB2312" w:cs="Times New Roman"/>
          <w:sz w:val="32"/>
          <w:szCs w:val="32"/>
        </w:rPr>
      </w:pPr>
      <w:r>
        <w:rPr>
          <w:rFonts w:hint="eastAsia" w:ascii="楷体_GB2312" w:hAnsi="楷体_GB2312" w:eastAsia="楷体_GB2312" w:cs="楷体_GB2312"/>
          <w:b/>
          <w:bCs/>
          <w:kern w:val="2"/>
          <w:sz w:val="32"/>
          <w:szCs w:val="32"/>
          <w:lang w:val="en-US" w:eastAsia="zh-CN" w:bidi="ar-SA"/>
        </w:rPr>
        <w:t>1.强化养老服务综合监管制度。</w:t>
      </w:r>
      <w:r>
        <w:rPr>
          <w:rFonts w:hint="eastAsia" w:ascii="Times New Roman" w:hAnsi="Times New Roman" w:eastAsia="仿宋_GB2312" w:cs="Times New Roman"/>
          <w:sz w:val="32"/>
          <w:szCs w:val="32"/>
        </w:rPr>
        <w:t>建立综合监管、专业监管、信用监管、行业自律互为支撑的全方位监管体系。实现不同职能部门之间监管</w:t>
      </w:r>
      <w:r>
        <w:rPr>
          <w:rFonts w:ascii="Times New Roman" w:hAnsi="Times New Roman" w:eastAsia="仿宋_GB2312" w:cs="Times New Roman"/>
          <w:sz w:val="32"/>
          <w:szCs w:val="32"/>
        </w:rPr>
        <w:t>信息联动、互通，推动联合监管、联合执法、联合惩治的部门协同监管机制；进一步健全“双随机一公开”工作机制，完善事中事后监管制度；建立养老服务品质第三方认证工作机制，加大“互联网+监管”“数字+监管”创新应用，发挥行业协会作用。</w:t>
      </w:r>
      <w:r>
        <w:rPr>
          <w:rFonts w:hint="eastAsia" w:ascii="Times New Roman" w:hAnsi="Times New Roman" w:eastAsia="仿宋_GB2312" w:cs="Times New Roman"/>
          <w:sz w:val="32"/>
          <w:szCs w:val="32"/>
        </w:rPr>
        <w:t>建立监管结果与星评、补贴、政府购买服务</w:t>
      </w:r>
      <w:r>
        <w:rPr>
          <w:rFonts w:ascii="Times New Roman" w:hAnsi="Times New Roman" w:eastAsia="仿宋_GB2312" w:cs="Times New Roman"/>
          <w:sz w:val="32"/>
          <w:szCs w:val="32"/>
        </w:rPr>
        <w:t>以及行业退出</w:t>
      </w:r>
      <w:r>
        <w:rPr>
          <w:rFonts w:hint="eastAsia" w:ascii="Times New Roman" w:hAnsi="Times New Roman" w:eastAsia="仿宋_GB2312" w:cs="Times New Roman"/>
          <w:sz w:val="32"/>
          <w:szCs w:val="32"/>
        </w:rPr>
        <w:t>等挂钩的</w:t>
      </w:r>
      <w:r>
        <w:rPr>
          <w:rFonts w:ascii="Times New Roman" w:hAnsi="Times New Roman" w:eastAsia="仿宋_GB2312" w:cs="Times New Roman"/>
          <w:sz w:val="32"/>
          <w:szCs w:val="32"/>
        </w:rPr>
        <w:t>联动</w:t>
      </w:r>
      <w:r>
        <w:rPr>
          <w:rFonts w:hint="eastAsia" w:ascii="Times New Roman" w:hAnsi="Times New Roman" w:eastAsia="仿宋_GB2312" w:cs="Times New Roman"/>
          <w:sz w:val="32"/>
          <w:szCs w:val="32"/>
        </w:rPr>
        <w:t>机制。</w:t>
      </w:r>
    </w:p>
    <w:p>
      <w:pPr>
        <w:spacing w:line="600" w:lineRule="exact"/>
        <w:ind w:firstLine="643" w:firstLineChars="200"/>
        <w:rPr>
          <w:rFonts w:ascii="仿宋" w:hAnsi="仿宋" w:eastAsia="仿宋"/>
          <w:sz w:val="32"/>
          <w:szCs w:val="32"/>
        </w:rPr>
      </w:pPr>
      <w:r>
        <w:rPr>
          <w:rFonts w:hint="eastAsia" w:ascii="楷体_GB2312" w:hAnsi="楷体_GB2312" w:eastAsia="楷体_GB2312" w:cs="楷体_GB2312"/>
          <w:b/>
          <w:bCs/>
          <w:kern w:val="2"/>
          <w:sz w:val="32"/>
          <w:szCs w:val="32"/>
          <w:lang w:val="en-US" w:eastAsia="zh-CN" w:bidi="ar-SA"/>
        </w:rPr>
        <w:t>2.健全养老服务质量综合评估制度。</w:t>
      </w:r>
      <w:r>
        <w:rPr>
          <w:rFonts w:hint="eastAsia" w:ascii="仿宋" w:hAnsi="仿宋" w:eastAsia="仿宋"/>
          <w:color w:val="auto"/>
          <w:sz w:val="32"/>
          <w:szCs w:val="32"/>
        </w:rPr>
        <w:t>建立以养老服务标准为依据的质量提升长效机制，加强对养老服务评估、培训等第三方中介机构等政府购买服务工作的评估监管，</w:t>
      </w:r>
      <w:r>
        <w:rPr>
          <w:rFonts w:ascii="仿宋" w:hAnsi="仿宋" w:eastAsia="仿宋"/>
          <w:color w:val="auto"/>
          <w:sz w:val="32"/>
          <w:szCs w:val="32"/>
        </w:rPr>
        <w:t>建</w:t>
      </w:r>
      <w:r>
        <w:rPr>
          <w:rFonts w:ascii="仿宋" w:hAnsi="仿宋" w:eastAsia="仿宋"/>
          <w:sz w:val="32"/>
          <w:szCs w:val="32"/>
        </w:rPr>
        <w:t>立养老机构疫情防控常态化运行规范。</w:t>
      </w:r>
      <w:r>
        <w:rPr>
          <w:rFonts w:hint="eastAsia" w:ascii="Times New Roman" w:hAnsi="Times New Roman" w:eastAsia="仿宋_GB2312" w:cs="Times New Roman"/>
          <w:sz w:val="32"/>
          <w:szCs w:val="32"/>
        </w:rPr>
        <w:t>对会员制老年公寓实行审慎包容性态度，建立会员费第三方银行监管机制，严控养老服务领域非法融资。</w:t>
      </w:r>
      <w:r>
        <w:rPr>
          <w:rFonts w:hint="eastAsia" w:ascii="仿宋" w:hAnsi="仿宋" w:eastAsia="仿宋" w:cs="仿宋_GB2312"/>
          <w:sz w:val="32"/>
          <w:szCs w:val="32"/>
        </w:rPr>
        <w:t>贯彻实施《养老机构等级划分与评定》国家标准和</w:t>
      </w:r>
      <w:r>
        <w:rPr>
          <w:rFonts w:ascii="仿宋" w:hAnsi="仿宋" w:eastAsia="仿宋"/>
          <w:sz w:val="32"/>
          <w:szCs w:val="32"/>
        </w:rPr>
        <w:t>实施指南，</w:t>
      </w:r>
      <w:r>
        <w:rPr>
          <w:rFonts w:hint="eastAsia" w:ascii="仿宋" w:hAnsi="仿宋" w:eastAsia="仿宋" w:cs="仿宋_GB2312"/>
          <w:sz w:val="32"/>
          <w:szCs w:val="32"/>
        </w:rPr>
        <w:t>全面开展新的养老机构等级评定工作，切实提高养老机构服务质量，</w:t>
      </w:r>
      <w:r>
        <w:rPr>
          <w:rFonts w:hint="eastAsia" w:ascii="仿宋" w:hAnsi="仿宋" w:eastAsia="仿宋"/>
          <w:sz w:val="32"/>
          <w:szCs w:val="32"/>
        </w:rPr>
        <w:t>到2025年，</w:t>
      </w:r>
      <w:r>
        <w:rPr>
          <w:rFonts w:ascii="仿宋" w:hAnsi="仿宋" w:eastAsia="仿宋"/>
          <w:sz w:val="32"/>
          <w:szCs w:val="32"/>
        </w:rPr>
        <w:t>《养老机构服务安全基本规范》强制性国家标准的养老机构达到100%</w:t>
      </w:r>
      <w:r>
        <w:rPr>
          <w:rFonts w:hint="eastAsia" w:ascii="仿宋" w:hAnsi="仿宋" w:eastAsia="仿宋" w:cs="仿宋_GB2312"/>
          <w:sz w:val="32"/>
          <w:szCs w:val="32"/>
        </w:rPr>
        <w:t>。建立养老服务质量日常监测指标体系和动态监测评价机制，建立评估、检测结果公开制度。</w:t>
      </w:r>
    </w:p>
    <w:p>
      <w:pPr>
        <w:spacing w:line="600" w:lineRule="exact"/>
        <w:ind w:firstLine="660"/>
        <w:rPr>
          <w:rFonts w:ascii="Times New Roman" w:hAnsi="Times New Roman" w:eastAsia="仿宋_GB2312" w:cs="Times New Roman"/>
          <w:sz w:val="32"/>
          <w:szCs w:val="32"/>
        </w:rPr>
      </w:pPr>
      <w:r>
        <w:rPr>
          <w:rFonts w:hint="eastAsia" w:ascii="楷体_GB2312" w:hAnsi="楷体_GB2312" w:eastAsia="楷体_GB2312" w:cs="楷体_GB2312"/>
          <w:b/>
          <w:bCs/>
          <w:kern w:val="2"/>
          <w:sz w:val="32"/>
          <w:szCs w:val="32"/>
          <w:lang w:val="en-US" w:eastAsia="zh-CN" w:bidi="ar-SA"/>
        </w:rPr>
        <w:t>3.建立养老服务社会信用体系。</w:t>
      </w:r>
      <w:r>
        <w:rPr>
          <w:rFonts w:hint="eastAsia" w:ascii="Times New Roman" w:hAnsi="Times New Roman" w:eastAsia="仿宋_GB2312" w:cs="Times New Roman"/>
          <w:sz w:val="32"/>
          <w:szCs w:val="32"/>
        </w:rPr>
        <w:t>构建以信用为基础的新型监管体制。依托市养老服务信息化平台，创建养老服务行业日常信用信息，归集各类养老服务机构、从业人员以及服务对象信用信息，开发信用评价模块，对养老服务机构信用状况、履约能力进行全面的判断和评估，供社会查询和参考。贯彻实施《养老服务市场失信联合惩戒对象名单管理办法（试行）》，实施养老服务机构和个人“红黑名单”管理，实现养老服务信息平台与其他公共信用信息平台的信用信息对接，实施失信联合惩戒。</w:t>
      </w:r>
    </w:p>
    <w:p>
      <w:pPr>
        <w:spacing w:line="600" w:lineRule="exact"/>
        <w:ind w:firstLine="640" w:firstLineChars="200"/>
        <w:rPr>
          <w:rFonts w:ascii="黑体" w:hAnsi="黑体" w:eastAsia="黑体"/>
          <w:b w:val="0"/>
          <w:bCs/>
          <w:sz w:val="32"/>
          <w:szCs w:val="32"/>
        </w:rPr>
      </w:pPr>
      <w:r>
        <w:rPr>
          <w:rFonts w:hint="eastAsia" w:ascii="黑体" w:hAnsi="黑体" w:eastAsia="黑体"/>
          <w:b w:val="0"/>
          <w:bCs/>
          <w:sz w:val="32"/>
          <w:szCs w:val="32"/>
        </w:rPr>
        <w:t>四、保障措施</w:t>
      </w:r>
    </w:p>
    <w:p>
      <w:pPr>
        <w:spacing w:line="600" w:lineRule="exact"/>
        <w:ind w:firstLine="643" w:firstLineChars="200"/>
        <w:rPr>
          <w:rFonts w:ascii="Times New Roman" w:hAnsi="Times New Roman" w:eastAsia="仿宋_GB2312" w:cs="Times New Roman"/>
          <w:sz w:val="32"/>
          <w:szCs w:val="32"/>
        </w:rPr>
      </w:pPr>
      <w:r>
        <w:rPr>
          <w:rFonts w:hint="eastAsia" w:ascii="楷体_GB2312" w:hAnsi="楷体_GB2312" w:eastAsia="楷体_GB2312" w:cs="楷体_GB2312"/>
          <w:b/>
          <w:bCs/>
          <w:kern w:val="2"/>
          <w:sz w:val="32"/>
          <w:szCs w:val="32"/>
          <w:lang w:val="en-US" w:eastAsia="zh-CN" w:bidi="ar-SA"/>
        </w:rPr>
        <w:t>（一）加强组织保障。</w:t>
      </w:r>
      <w:r>
        <w:rPr>
          <w:rFonts w:hint="eastAsia" w:ascii="Times New Roman" w:hAnsi="Times New Roman" w:eastAsia="仿宋_GB2312" w:cs="Times New Roman"/>
          <w:sz w:val="32"/>
          <w:szCs w:val="32"/>
        </w:rPr>
        <w:t>健全</w:t>
      </w:r>
      <w:r>
        <w:rPr>
          <w:rFonts w:hint="eastAsia" w:ascii="仿宋" w:hAnsi="仿宋" w:eastAsia="仿宋"/>
          <w:sz w:val="32"/>
          <w:szCs w:val="32"/>
        </w:rPr>
        <w:t>党委</w:t>
      </w:r>
      <w:r>
        <w:rPr>
          <w:rFonts w:hint="eastAsia" w:ascii="Times New Roman" w:hAnsi="Times New Roman" w:eastAsia="仿宋_GB2312" w:cs="Times New Roman"/>
          <w:sz w:val="32"/>
          <w:szCs w:val="32"/>
        </w:rPr>
        <w:t>领导、政府主导、部门负责、社会参与的养老服务工作机制，建立健全养老服务重大政策、重大平台和重大项目部门协调和任务分解机制，将涉老部门养老服务政策落实及工作情况纳入年度绩效考核范围。</w:t>
      </w:r>
    </w:p>
    <w:p>
      <w:pPr>
        <w:spacing w:line="600" w:lineRule="exact"/>
        <w:ind w:firstLine="643" w:firstLineChars="200"/>
        <w:rPr>
          <w:rFonts w:ascii="Times New Roman" w:hAnsi="Times New Roman" w:eastAsia="仿宋_GB2312" w:cs="Times New Roman"/>
          <w:sz w:val="32"/>
          <w:szCs w:val="32"/>
        </w:rPr>
      </w:pPr>
      <w:r>
        <w:rPr>
          <w:rFonts w:hint="eastAsia" w:ascii="楷体_GB2312" w:hAnsi="楷体_GB2312" w:eastAsia="楷体_GB2312" w:cs="楷体_GB2312"/>
          <w:b/>
          <w:bCs/>
          <w:kern w:val="2"/>
          <w:sz w:val="32"/>
          <w:szCs w:val="32"/>
          <w:lang w:val="en-US" w:eastAsia="zh-CN" w:bidi="ar-SA"/>
        </w:rPr>
        <w:t>（二）优化资金投入。</w:t>
      </w:r>
      <w:r>
        <w:rPr>
          <w:rFonts w:hint="eastAsia" w:ascii="Times New Roman" w:hAnsi="Times New Roman" w:eastAsia="仿宋_GB2312" w:cs="Times New Roman"/>
          <w:sz w:val="32"/>
          <w:szCs w:val="32"/>
        </w:rPr>
        <w:t>市财政要根据经济社会发展和老年人口的增加，逐步增加投入，多渠道筹集养老服务业发展资金，确保每年55%以上的社会福利事业的彩票公益金用于养老服务业发展。建立权责清晰市、区县市两级财政共担机制，着力强调欠发达县市财政倾斜；优化财政投入结构，社区居家养老服务资金要达到60%以上，建立农村养老服务专项资金，实现财政补贴由补供方向直补需方转变，由普惠性补贴向基于评估的失能失智老人以及与绩效考核挂钩的奖优转变。加大政府购买服务力度，进一步落实政府购买服务指导性目录中养老服务内容，重点购买生活照料、康复护理、机构运营、社会工作和人员培养等服务。</w:t>
      </w:r>
    </w:p>
    <w:p>
      <w:pPr>
        <w:spacing w:line="600" w:lineRule="exact"/>
        <w:ind w:firstLine="643" w:firstLineChars="200"/>
        <w:rPr>
          <w:rFonts w:ascii="Times New Roman" w:hAnsi="Times New Roman" w:eastAsia="仿宋_GB2312" w:cs="Times New Roman"/>
          <w:sz w:val="32"/>
          <w:szCs w:val="32"/>
        </w:rPr>
      </w:pPr>
      <w:r>
        <w:rPr>
          <w:rFonts w:hint="eastAsia" w:ascii="楷体_GB2312" w:hAnsi="楷体_GB2312" w:eastAsia="楷体_GB2312" w:cs="楷体_GB2312"/>
          <w:b/>
          <w:bCs/>
          <w:kern w:val="2"/>
          <w:sz w:val="32"/>
          <w:szCs w:val="32"/>
          <w:lang w:val="en-US" w:eastAsia="zh-CN" w:bidi="ar-SA"/>
        </w:rPr>
        <w:t>（三）抓好实施评估。</w:t>
      </w:r>
      <w:r>
        <w:rPr>
          <w:rFonts w:hint="eastAsia" w:ascii="Times New Roman" w:hAnsi="Times New Roman" w:eastAsia="仿宋_GB2312" w:cs="Times New Roman"/>
          <w:sz w:val="32"/>
          <w:szCs w:val="32"/>
        </w:rPr>
        <w:t>强化规划指引和执行刚性，做好规划任务分解落实及后续政策配套，规划确定的主要指标以及重大行动、重要政策和重大项目，明确责任主体和进度要求，确保质量和效果；建立反映规划进展的指标和统计体系；建立规划实施督促考核机制，完善向人大、政协的报告和沟通机制；实施规划中期评估和终期评估。</w:t>
      </w: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600" w:lineRule="exact"/>
        <w:jc w:val="center"/>
        <w:rPr>
          <w:rFonts w:asciiTheme="minorEastAsia" w:hAnsiTheme="minorEastAsia"/>
          <w:b/>
          <w:sz w:val="32"/>
          <w:szCs w:val="32"/>
        </w:rPr>
      </w:pPr>
      <w:r>
        <w:rPr>
          <w:rFonts w:hint="eastAsia" w:asciiTheme="minorEastAsia" w:hAnsiTheme="minorEastAsia"/>
          <w:b/>
          <w:sz w:val="32"/>
          <w:szCs w:val="32"/>
        </w:rPr>
        <w:t>附件1：“十四五”养老服务重点建设项目</w:t>
      </w:r>
    </w:p>
    <w:tbl>
      <w:tblPr>
        <w:tblStyle w:val="7"/>
        <w:tblW w:w="15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1071"/>
        <w:gridCol w:w="2423"/>
        <w:gridCol w:w="2502"/>
        <w:gridCol w:w="2117"/>
        <w:gridCol w:w="1245"/>
        <w:gridCol w:w="1245"/>
        <w:gridCol w:w="1150"/>
        <w:gridCol w:w="1791"/>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52"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序号</w:t>
            </w:r>
          </w:p>
        </w:tc>
        <w:tc>
          <w:tcPr>
            <w:tcW w:w="1071"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区县市</w:t>
            </w:r>
          </w:p>
        </w:tc>
        <w:tc>
          <w:tcPr>
            <w:tcW w:w="2423"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项目名称</w:t>
            </w:r>
          </w:p>
        </w:tc>
        <w:tc>
          <w:tcPr>
            <w:tcW w:w="2502"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选址</w:t>
            </w:r>
          </w:p>
        </w:tc>
        <w:tc>
          <w:tcPr>
            <w:tcW w:w="2117"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建设内容</w:t>
            </w:r>
          </w:p>
        </w:tc>
        <w:tc>
          <w:tcPr>
            <w:tcW w:w="1245"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建筑面积</w:t>
            </w:r>
          </w:p>
          <w:p>
            <w:pPr>
              <w:jc w:val="center"/>
              <w:rPr>
                <w:rFonts w:ascii="仿宋_GB2312" w:hAnsi="黑体" w:eastAsia="仿宋_GB2312"/>
                <w:b/>
                <w:sz w:val="24"/>
                <w:szCs w:val="24"/>
              </w:rPr>
            </w:pPr>
            <w:r>
              <w:rPr>
                <w:rFonts w:hint="eastAsia" w:ascii="仿宋_GB2312" w:hAnsi="黑体" w:eastAsia="仿宋_GB2312"/>
                <w:b/>
                <w:sz w:val="24"/>
                <w:szCs w:val="24"/>
              </w:rPr>
              <w:t>（</w:t>
            </w:r>
            <w:r>
              <w:rPr>
                <w:rFonts w:hint="eastAsia" w:ascii="仿宋_GB2312"/>
                <w:b/>
                <w:sz w:val="24"/>
                <w:szCs w:val="24"/>
              </w:rPr>
              <w:t>㎡</w:t>
            </w:r>
            <w:r>
              <w:rPr>
                <w:rFonts w:hint="eastAsia" w:ascii="仿宋_GB2312" w:hAnsi="黑体" w:eastAsia="仿宋_GB2312"/>
                <w:b/>
                <w:sz w:val="24"/>
                <w:szCs w:val="24"/>
              </w:rPr>
              <w:t>）</w:t>
            </w:r>
          </w:p>
        </w:tc>
        <w:tc>
          <w:tcPr>
            <w:tcW w:w="1245"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用地面积（</w:t>
            </w:r>
            <w:r>
              <w:rPr>
                <w:rFonts w:hint="eastAsia" w:ascii="仿宋_GB2312" w:eastAsia="仿宋_GB2312"/>
                <w:b/>
                <w:sz w:val="24"/>
                <w:szCs w:val="24"/>
              </w:rPr>
              <w:t>亩</w:t>
            </w:r>
            <w:r>
              <w:rPr>
                <w:rFonts w:hint="eastAsia" w:ascii="仿宋_GB2312" w:hAnsi="黑体" w:eastAsia="仿宋_GB2312"/>
                <w:b/>
                <w:sz w:val="24"/>
                <w:szCs w:val="24"/>
              </w:rPr>
              <w:t>）</w:t>
            </w:r>
          </w:p>
        </w:tc>
        <w:tc>
          <w:tcPr>
            <w:tcW w:w="1150"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总投资</w:t>
            </w:r>
          </w:p>
          <w:p>
            <w:pPr>
              <w:jc w:val="center"/>
              <w:rPr>
                <w:rFonts w:ascii="仿宋_GB2312" w:hAnsi="黑体" w:eastAsia="仿宋_GB2312"/>
                <w:b/>
                <w:sz w:val="24"/>
                <w:szCs w:val="24"/>
              </w:rPr>
            </w:pPr>
            <w:r>
              <w:rPr>
                <w:rFonts w:hint="eastAsia" w:ascii="仿宋_GB2312" w:hAnsi="黑体" w:eastAsia="仿宋_GB2312"/>
                <w:b/>
                <w:sz w:val="24"/>
                <w:szCs w:val="24"/>
              </w:rPr>
              <w:t>（万元）</w:t>
            </w:r>
          </w:p>
        </w:tc>
        <w:tc>
          <w:tcPr>
            <w:tcW w:w="1791"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建设起止年限</w:t>
            </w:r>
          </w:p>
        </w:tc>
        <w:tc>
          <w:tcPr>
            <w:tcW w:w="1592" w:type="dxa"/>
            <w:vAlign w:val="center"/>
          </w:tcPr>
          <w:p>
            <w:pPr>
              <w:jc w:val="center"/>
              <w:rPr>
                <w:rFonts w:ascii="仿宋_GB2312" w:hAnsi="黑体" w:eastAsia="仿宋_GB2312"/>
                <w:b/>
                <w:sz w:val="24"/>
                <w:szCs w:val="24"/>
              </w:rPr>
            </w:pPr>
            <w:r>
              <w:rPr>
                <w:rFonts w:hint="eastAsia" w:ascii="仿宋_GB2312" w:hAnsi="黑体" w:eastAsia="仿宋_GB2312"/>
                <w:b/>
                <w:sz w:val="24"/>
                <w:szCs w:val="24"/>
              </w:rPr>
              <w:t>建设主体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688" w:type="dxa"/>
            <w:gridSpan w:val="10"/>
            <w:shd w:val="clear" w:color="auto" w:fill="D8D8D8" w:themeFill="background1" w:themeFillShade="D9"/>
            <w:vAlign w:val="center"/>
          </w:tcPr>
          <w:p>
            <w:pPr>
              <w:jc w:val="center"/>
              <w:rPr>
                <w:rFonts w:ascii="华文细黑" w:hAnsi="华文细黑" w:eastAsia="华文细黑"/>
                <w:b/>
                <w:szCs w:val="21"/>
              </w:rPr>
            </w:pPr>
            <w:r>
              <w:rPr>
                <w:rFonts w:hint="eastAsia" w:ascii="华文细黑" w:hAnsi="华文细黑" w:eastAsia="华文细黑"/>
                <w:b/>
                <w:szCs w:val="21"/>
              </w:rPr>
              <w:t>养老机构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1</w:t>
            </w:r>
          </w:p>
        </w:tc>
        <w:tc>
          <w:tcPr>
            <w:tcW w:w="1071" w:type="dxa"/>
            <w:vAlign w:val="center"/>
          </w:tcPr>
          <w:p>
            <w:pPr>
              <w:jc w:val="center"/>
              <w:rPr>
                <w:rFonts w:ascii="仿宋" w:hAnsi="仿宋" w:eastAsia="仿宋"/>
                <w:szCs w:val="21"/>
              </w:rPr>
            </w:pPr>
            <w:r>
              <w:rPr>
                <w:rFonts w:hint="eastAsia" w:ascii="仿宋" w:hAnsi="仿宋" w:eastAsia="仿宋"/>
                <w:szCs w:val="21"/>
              </w:rPr>
              <w:t>江干区</w:t>
            </w:r>
          </w:p>
        </w:tc>
        <w:tc>
          <w:tcPr>
            <w:tcW w:w="2423" w:type="dxa"/>
            <w:vAlign w:val="center"/>
          </w:tcPr>
          <w:p>
            <w:pPr>
              <w:jc w:val="center"/>
              <w:rPr>
                <w:rFonts w:ascii="仿宋" w:hAnsi="仿宋" w:eastAsia="仿宋"/>
                <w:szCs w:val="21"/>
              </w:rPr>
            </w:pPr>
            <w:r>
              <w:rPr>
                <w:rFonts w:hint="eastAsia" w:ascii="仿宋" w:hAnsi="仿宋" w:eastAsia="仿宋"/>
                <w:szCs w:val="21"/>
              </w:rPr>
              <w:t>九堡中心单元JG1701-12地块社会福利设施工程</w:t>
            </w:r>
          </w:p>
        </w:tc>
        <w:tc>
          <w:tcPr>
            <w:tcW w:w="2502" w:type="dxa"/>
            <w:vAlign w:val="center"/>
          </w:tcPr>
          <w:p>
            <w:pPr>
              <w:jc w:val="center"/>
              <w:rPr>
                <w:rFonts w:ascii="仿宋" w:hAnsi="仿宋" w:eastAsia="仿宋"/>
                <w:szCs w:val="21"/>
              </w:rPr>
            </w:pPr>
            <w:r>
              <w:rPr>
                <w:rFonts w:hint="eastAsia" w:ascii="仿宋" w:hAnsi="仿宋" w:eastAsia="仿宋"/>
                <w:szCs w:val="21"/>
              </w:rPr>
              <w:t>江干区九堡街道蚕桑街金田路交叉口西北角</w:t>
            </w:r>
          </w:p>
        </w:tc>
        <w:tc>
          <w:tcPr>
            <w:tcW w:w="2117" w:type="dxa"/>
            <w:vAlign w:val="center"/>
          </w:tcPr>
          <w:p>
            <w:pPr>
              <w:jc w:val="center"/>
              <w:rPr>
                <w:rFonts w:ascii="仿宋" w:hAnsi="仿宋" w:eastAsia="仿宋"/>
                <w:szCs w:val="21"/>
              </w:rPr>
            </w:pPr>
            <w:r>
              <w:rPr>
                <w:rFonts w:hint="eastAsia" w:ascii="仿宋" w:hAnsi="仿宋" w:eastAsia="仿宋"/>
                <w:szCs w:val="21"/>
              </w:rPr>
              <w:t>养老院、工疗站、社区医疗服务站等</w:t>
            </w:r>
          </w:p>
        </w:tc>
        <w:tc>
          <w:tcPr>
            <w:tcW w:w="1245" w:type="dxa"/>
            <w:vAlign w:val="center"/>
          </w:tcPr>
          <w:p>
            <w:pPr>
              <w:jc w:val="center"/>
              <w:textAlignment w:val="center"/>
              <w:rPr>
                <w:rFonts w:ascii="仿宋" w:hAnsi="仿宋" w:eastAsia="仿宋"/>
                <w:szCs w:val="21"/>
              </w:rPr>
            </w:pPr>
            <w:r>
              <w:rPr>
                <w:rFonts w:hint="eastAsia" w:ascii="仿宋" w:hAnsi="仿宋" w:eastAsia="仿宋"/>
                <w:szCs w:val="21"/>
              </w:rPr>
              <w:t>9050</w:t>
            </w:r>
          </w:p>
        </w:tc>
        <w:tc>
          <w:tcPr>
            <w:tcW w:w="1245" w:type="dxa"/>
            <w:vAlign w:val="center"/>
          </w:tcPr>
          <w:p>
            <w:pPr>
              <w:jc w:val="center"/>
              <w:rPr>
                <w:rFonts w:ascii="仿宋" w:hAnsi="仿宋" w:eastAsia="仿宋"/>
                <w:szCs w:val="21"/>
              </w:rPr>
            </w:pPr>
            <w:r>
              <w:rPr>
                <w:rFonts w:hint="eastAsia" w:ascii="仿宋" w:hAnsi="仿宋" w:eastAsia="仿宋"/>
                <w:szCs w:val="21"/>
              </w:rPr>
              <w:t>6.6</w:t>
            </w:r>
          </w:p>
        </w:tc>
        <w:tc>
          <w:tcPr>
            <w:tcW w:w="1150" w:type="dxa"/>
            <w:vAlign w:val="center"/>
          </w:tcPr>
          <w:p>
            <w:pPr>
              <w:jc w:val="center"/>
              <w:rPr>
                <w:rFonts w:ascii="仿宋" w:hAnsi="仿宋" w:eastAsia="仿宋"/>
                <w:szCs w:val="21"/>
              </w:rPr>
            </w:pPr>
            <w:r>
              <w:rPr>
                <w:rFonts w:hint="eastAsia" w:ascii="仿宋" w:hAnsi="仿宋" w:eastAsia="仿宋"/>
                <w:szCs w:val="21"/>
              </w:rPr>
              <w:t>8800</w:t>
            </w:r>
          </w:p>
        </w:tc>
        <w:tc>
          <w:tcPr>
            <w:tcW w:w="1791" w:type="dxa"/>
            <w:vAlign w:val="center"/>
          </w:tcPr>
          <w:p>
            <w:pPr>
              <w:jc w:val="center"/>
              <w:rPr>
                <w:rFonts w:ascii="仿宋" w:hAnsi="仿宋" w:eastAsia="仿宋"/>
                <w:szCs w:val="21"/>
              </w:rPr>
            </w:pPr>
            <w:r>
              <w:rPr>
                <w:rFonts w:hint="eastAsia" w:ascii="仿宋" w:hAnsi="仿宋" w:eastAsia="仿宋"/>
                <w:szCs w:val="21"/>
              </w:rPr>
              <w:t>2019-2021</w:t>
            </w:r>
          </w:p>
        </w:tc>
        <w:tc>
          <w:tcPr>
            <w:tcW w:w="1592" w:type="dxa"/>
            <w:vAlign w:val="center"/>
          </w:tcPr>
          <w:p>
            <w:pPr>
              <w:jc w:val="center"/>
              <w:rPr>
                <w:rFonts w:ascii="仿宋" w:hAnsi="仿宋" w:eastAsia="仿宋"/>
                <w:szCs w:val="21"/>
              </w:rPr>
            </w:pPr>
            <w:r>
              <w:rPr>
                <w:rFonts w:hint="eastAsia" w:ascii="仿宋" w:hAnsi="仿宋" w:eastAsia="仿宋"/>
                <w:szCs w:val="21"/>
              </w:rPr>
              <w:t>杭州钱塘智慧城投资开发有限公司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2</w:t>
            </w:r>
          </w:p>
        </w:tc>
        <w:tc>
          <w:tcPr>
            <w:tcW w:w="1071" w:type="dxa"/>
            <w:vAlign w:val="center"/>
          </w:tcPr>
          <w:p>
            <w:pPr>
              <w:jc w:val="center"/>
              <w:rPr>
                <w:rFonts w:ascii="仿宋" w:hAnsi="仿宋" w:eastAsia="仿宋"/>
                <w:szCs w:val="21"/>
              </w:rPr>
            </w:pPr>
            <w:r>
              <w:rPr>
                <w:rFonts w:hint="eastAsia" w:ascii="仿宋" w:hAnsi="仿宋" w:eastAsia="仿宋"/>
                <w:szCs w:val="21"/>
              </w:rPr>
              <w:t>西湖区</w:t>
            </w:r>
          </w:p>
        </w:tc>
        <w:tc>
          <w:tcPr>
            <w:tcW w:w="2423" w:type="dxa"/>
            <w:vAlign w:val="center"/>
          </w:tcPr>
          <w:p>
            <w:pPr>
              <w:jc w:val="center"/>
              <w:rPr>
                <w:rFonts w:ascii="仿宋" w:hAnsi="仿宋" w:eastAsia="仿宋"/>
                <w:szCs w:val="21"/>
              </w:rPr>
            </w:pPr>
            <w:r>
              <w:rPr>
                <w:rFonts w:hint="eastAsia" w:ascii="仿宋" w:hAnsi="仿宋" w:eastAsia="仿宋"/>
                <w:szCs w:val="21"/>
              </w:rPr>
              <w:t>西湖区社会福利</w:t>
            </w:r>
          </w:p>
          <w:p>
            <w:pPr>
              <w:jc w:val="center"/>
              <w:rPr>
                <w:rFonts w:ascii="仿宋" w:hAnsi="仿宋" w:eastAsia="仿宋"/>
                <w:szCs w:val="21"/>
              </w:rPr>
            </w:pPr>
            <w:r>
              <w:rPr>
                <w:rFonts w:hint="eastAsia" w:ascii="仿宋" w:hAnsi="仿宋" w:eastAsia="仿宋"/>
                <w:szCs w:val="21"/>
              </w:rPr>
              <w:t>中心二期</w:t>
            </w:r>
          </w:p>
        </w:tc>
        <w:tc>
          <w:tcPr>
            <w:tcW w:w="2502" w:type="dxa"/>
            <w:vAlign w:val="center"/>
          </w:tcPr>
          <w:p>
            <w:pPr>
              <w:jc w:val="center"/>
              <w:rPr>
                <w:rFonts w:ascii="仿宋" w:hAnsi="仿宋" w:eastAsia="仿宋"/>
                <w:szCs w:val="21"/>
              </w:rPr>
            </w:pPr>
            <w:r>
              <w:rPr>
                <w:rFonts w:hint="eastAsia" w:ascii="仿宋" w:hAnsi="仿宋" w:eastAsia="仿宋"/>
                <w:szCs w:val="21"/>
              </w:rPr>
              <w:t>西湖区社会福利中心  一期西南侧</w:t>
            </w:r>
          </w:p>
        </w:tc>
        <w:tc>
          <w:tcPr>
            <w:tcW w:w="2117" w:type="dxa"/>
            <w:vAlign w:val="center"/>
          </w:tcPr>
          <w:p>
            <w:pPr>
              <w:jc w:val="center"/>
              <w:rPr>
                <w:rFonts w:ascii="仿宋" w:hAnsi="仿宋" w:eastAsia="仿宋"/>
                <w:szCs w:val="21"/>
              </w:rPr>
            </w:pPr>
            <w:r>
              <w:rPr>
                <w:rFonts w:hint="eastAsia" w:ascii="仿宋" w:hAnsi="仿宋" w:eastAsia="仿宋"/>
                <w:szCs w:val="21"/>
              </w:rPr>
              <w:t>失能失智照护专区</w:t>
            </w:r>
          </w:p>
        </w:tc>
        <w:tc>
          <w:tcPr>
            <w:tcW w:w="1245" w:type="dxa"/>
            <w:vAlign w:val="center"/>
          </w:tcPr>
          <w:p>
            <w:pPr>
              <w:jc w:val="center"/>
              <w:rPr>
                <w:rFonts w:ascii="仿宋" w:hAnsi="仿宋" w:eastAsia="仿宋"/>
                <w:szCs w:val="21"/>
              </w:rPr>
            </w:pPr>
            <w:r>
              <w:rPr>
                <w:rFonts w:hint="eastAsia" w:ascii="仿宋" w:hAnsi="仿宋" w:eastAsia="仿宋"/>
                <w:szCs w:val="21"/>
              </w:rPr>
              <w:t>19000</w:t>
            </w:r>
          </w:p>
        </w:tc>
        <w:tc>
          <w:tcPr>
            <w:tcW w:w="1245" w:type="dxa"/>
            <w:vAlign w:val="center"/>
          </w:tcPr>
          <w:p>
            <w:pPr>
              <w:jc w:val="center"/>
              <w:rPr>
                <w:rFonts w:ascii="仿宋" w:hAnsi="仿宋" w:eastAsia="仿宋"/>
                <w:szCs w:val="21"/>
              </w:rPr>
            </w:pPr>
          </w:p>
        </w:tc>
        <w:tc>
          <w:tcPr>
            <w:tcW w:w="1150" w:type="dxa"/>
            <w:vAlign w:val="center"/>
          </w:tcPr>
          <w:p>
            <w:pPr>
              <w:jc w:val="center"/>
              <w:rPr>
                <w:rFonts w:ascii="仿宋" w:hAnsi="仿宋" w:eastAsia="仿宋"/>
                <w:szCs w:val="21"/>
              </w:rPr>
            </w:pPr>
            <w:r>
              <w:rPr>
                <w:rFonts w:hint="eastAsia" w:ascii="仿宋" w:hAnsi="仿宋" w:eastAsia="仿宋"/>
                <w:szCs w:val="21"/>
              </w:rPr>
              <w:t>17400</w:t>
            </w:r>
          </w:p>
        </w:tc>
        <w:tc>
          <w:tcPr>
            <w:tcW w:w="1791" w:type="dxa"/>
            <w:vAlign w:val="center"/>
          </w:tcPr>
          <w:p>
            <w:pPr>
              <w:jc w:val="center"/>
              <w:rPr>
                <w:rFonts w:ascii="仿宋" w:hAnsi="仿宋" w:eastAsia="仿宋"/>
                <w:szCs w:val="21"/>
              </w:rPr>
            </w:pPr>
            <w:r>
              <w:rPr>
                <w:rFonts w:hint="eastAsia" w:ascii="仿宋" w:hAnsi="仿宋" w:eastAsia="仿宋"/>
                <w:szCs w:val="21"/>
              </w:rPr>
              <w:t>2020-2021</w:t>
            </w:r>
          </w:p>
        </w:tc>
        <w:tc>
          <w:tcPr>
            <w:tcW w:w="1592" w:type="dxa"/>
            <w:vAlign w:val="center"/>
          </w:tcPr>
          <w:p>
            <w:pPr>
              <w:jc w:val="center"/>
              <w:rPr>
                <w:rFonts w:ascii="仿宋" w:hAnsi="仿宋" w:eastAsia="仿宋"/>
                <w:szCs w:val="21"/>
              </w:rPr>
            </w:pPr>
            <w:r>
              <w:rPr>
                <w:rFonts w:hint="eastAsia" w:ascii="仿宋" w:hAnsi="仿宋" w:eastAsia="仿宋"/>
                <w:szCs w:val="21"/>
              </w:rPr>
              <w:t>西湖区民政局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3</w:t>
            </w:r>
          </w:p>
        </w:tc>
        <w:tc>
          <w:tcPr>
            <w:tcW w:w="1071" w:type="dxa"/>
            <w:vMerge w:val="restart"/>
            <w:vAlign w:val="center"/>
          </w:tcPr>
          <w:p>
            <w:pPr>
              <w:jc w:val="center"/>
              <w:rPr>
                <w:rFonts w:ascii="仿宋" w:hAnsi="仿宋" w:eastAsia="仿宋"/>
                <w:szCs w:val="21"/>
              </w:rPr>
            </w:pPr>
            <w:r>
              <w:rPr>
                <w:rFonts w:hint="eastAsia" w:ascii="仿宋" w:hAnsi="仿宋" w:eastAsia="仿宋"/>
                <w:szCs w:val="21"/>
              </w:rPr>
              <w:t>富阳区</w:t>
            </w:r>
          </w:p>
        </w:tc>
        <w:tc>
          <w:tcPr>
            <w:tcW w:w="2423" w:type="dxa"/>
            <w:vAlign w:val="center"/>
          </w:tcPr>
          <w:p>
            <w:pPr>
              <w:jc w:val="center"/>
              <w:rPr>
                <w:rFonts w:ascii="仿宋" w:hAnsi="仿宋" w:eastAsia="仿宋"/>
                <w:szCs w:val="21"/>
              </w:rPr>
            </w:pPr>
            <w:r>
              <w:rPr>
                <w:rFonts w:hint="eastAsia" w:ascii="仿宋" w:hAnsi="仿宋" w:eastAsia="仿宋"/>
                <w:szCs w:val="21"/>
              </w:rPr>
              <w:t>区社会福利中心二期</w:t>
            </w:r>
          </w:p>
        </w:tc>
        <w:tc>
          <w:tcPr>
            <w:tcW w:w="2502" w:type="dxa"/>
            <w:vAlign w:val="center"/>
          </w:tcPr>
          <w:p>
            <w:pPr>
              <w:jc w:val="center"/>
              <w:rPr>
                <w:rFonts w:ascii="仿宋" w:hAnsi="仿宋" w:eastAsia="仿宋"/>
                <w:szCs w:val="21"/>
              </w:rPr>
            </w:pPr>
            <w:r>
              <w:rPr>
                <w:rFonts w:hint="eastAsia" w:ascii="仿宋" w:hAnsi="仿宋" w:eastAsia="仿宋"/>
                <w:szCs w:val="21"/>
              </w:rPr>
              <w:t>金秋大道518号福利中心预留地</w:t>
            </w:r>
          </w:p>
        </w:tc>
        <w:tc>
          <w:tcPr>
            <w:tcW w:w="2117" w:type="dxa"/>
            <w:vAlign w:val="center"/>
          </w:tcPr>
          <w:p>
            <w:pPr>
              <w:jc w:val="center"/>
              <w:rPr>
                <w:rFonts w:ascii="仿宋" w:hAnsi="仿宋" w:eastAsia="仿宋"/>
                <w:szCs w:val="21"/>
              </w:rPr>
            </w:pPr>
            <w:r>
              <w:rPr>
                <w:rFonts w:hint="eastAsia" w:ascii="仿宋" w:hAnsi="仿宋" w:eastAsia="仿宋"/>
                <w:szCs w:val="21"/>
              </w:rPr>
              <w:t>养老机构</w:t>
            </w:r>
          </w:p>
        </w:tc>
        <w:tc>
          <w:tcPr>
            <w:tcW w:w="1245" w:type="dxa"/>
            <w:vAlign w:val="center"/>
          </w:tcPr>
          <w:p>
            <w:pPr>
              <w:jc w:val="center"/>
              <w:rPr>
                <w:rFonts w:ascii="仿宋" w:hAnsi="仿宋" w:eastAsia="仿宋"/>
                <w:szCs w:val="21"/>
              </w:rPr>
            </w:pPr>
            <w:r>
              <w:rPr>
                <w:rFonts w:hint="eastAsia" w:ascii="仿宋" w:hAnsi="仿宋" w:eastAsia="仿宋"/>
                <w:szCs w:val="21"/>
              </w:rPr>
              <w:t>15000</w:t>
            </w:r>
          </w:p>
        </w:tc>
        <w:tc>
          <w:tcPr>
            <w:tcW w:w="1245" w:type="dxa"/>
            <w:vAlign w:val="center"/>
          </w:tcPr>
          <w:p>
            <w:pPr>
              <w:jc w:val="center"/>
              <w:rPr>
                <w:rFonts w:ascii="仿宋" w:hAnsi="仿宋" w:eastAsia="仿宋"/>
                <w:szCs w:val="21"/>
              </w:rPr>
            </w:pPr>
            <w:r>
              <w:rPr>
                <w:rFonts w:hint="eastAsia" w:ascii="仿宋" w:hAnsi="仿宋" w:eastAsia="仿宋"/>
                <w:szCs w:val="21"/>
              </w:rPr>
              <w:t>13</w:t>
            </w:r>
          </w:p>
        </w:tc>
        <w:tc>
          <w:tcPr>
            <w:tcW w:w="1150" w:type="dxa"/>
            <w:vAlign w:val="center"/>
          </w:tcPr>
          <w:p>
            <w:pPr>
              <w:jc w:val="center"/>
              <w:rPr>
                <w:rFonts w:ascii="仿宋" w:hAnsi="仿宋" w:eastAsia="仿宋"/>
                <w:szCs w:val="21"/>
              </w:rPr>
            </w:pPr>
            <w:r>
              <w:rPr>
                <w:rFonts w:hint="eastAsia" w:ascii="仿宋" w:hAnsi="仿宋" w:eastAsia="仿宋"/>
                <w:szCs w:val="21"/>
              </w:rPr>
              <w:t>10000</w:t>
            </w:r>
          </w:p>
        </w:tc>
        <w:tc>
          <w:tcPr>
            <w:tcW w:w="1791" w:type="dxa"/>
            <w:vAlign w:val="center"/>
          </w:tcPr>
          <w:p>
            <w:pPr>
              <w:jc w:val="center"/>
              <w:rPr>
                <w:rFonts w:ascii="仿宋" w:hAnsi="仿宋" w:eastAsia="仿宋"/>
                <w:szCs w:val="21"/>
              </w:rPr>
            </w:pPr>
            <w:r>
              <w:rPr>
                <w:rFonts w:hint="eastAsia" w:ascii="仿宋" w:hAnsi="仿宋" w:eastAsia="仿宋"/>
                <w:szCs w:val="21"/>
              </w:rPr>
              <w:t>2022-2025</w:t>
            </w:r>
          </w:p>
        </w:tc>
        <w:tc>
          <w:tcPr>
            <w:tcW w:w="1592" w:type="dxa"/>
            <w:vAlign w:val="center"/>
          </w:tcPr>
          <w:p>
            <w:pPr>
              <w:jc w:val="center"/>
              <w:rPr>
                <w:rFonts w:ascii="仿宋" w:hAnsi="仿宋" w:eastAsia="仿宋"/>
                <w:szCs w:val="21"/>
              </w:rPr>
            </w:pPr>
            <w:r>
              <w:rPr>
                <w:rFonts w:hint="eastAsia" w:ascii="仿宋" w:hAnsi="仿宋" w:eastAsia="仿宋"/>
                <w:szCs w:val="21"/>
              </w:rPr>
              <w:t>区社会福利中心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4</w:t>
            </w:r>
          </w:p>
        </w:tc>
        <w:tc>
          <w:tcPr>
            <w:tcW w:w="1071" w:type="dxa"/>
            <w:vMerge w:val="continue"/>
            <w:vAlign w:val="center"/>
          </w:tcPr>
          <w:p>
            <w:pPr>
              <w:jc w:val="center"/>
              <w:rPr>
                <w:rFonts w:ascii="仿宋" w:hAnsi="仿宋" w:eastAsia="仿宋"/>
                <w:szCs w:val="21"/>
              </w:rPr>
            </w:pPr>
          </w:p>
        </w:tc>
        <w:tc>
          <w:tcPr>
            <w:tcW w:w="2423" w:type="dxa"/>
            <w:vAlign w:val="center"/>
          </w:tcPr>
          <w:p>
            <w:pPr>
              <w:jc w:val="center"/>
              <w:rPr>
                <w:rFonts w:ascii="仿宋" w:hAnsi="仿宋" w:eastAsia="仿宋" w:cs="仿宋_GB2312"/>
                <w:szCs w:val="21"/>
              </w:rPr>
            </w:pPr>
            <w:r>
              <w:rPr>
                <w:rFonts w:hint="eastAsia" w:ascii="仿宋" w:hAnsi="仿宋" w:eastAsia="仿宋" w:cs="仿宋_GB2312"/>
                <w:szCs w:val="21"/>
              </w:rPr>
              <w:t>银湖街道敬老院</w:t>
            </w:r>
          </w:p>
        </w:tc>
        <w:tc>
          <w:tcPr>
            <w:tcW w:w="2502" w:type="dxa"/>
            <w:vAlign w:val="center"/>
          </w:tcPr>
          <w:p>
            <w:pPr>
              <w:jc w:val="center"/>
              <w:rPr>
                <w:rFonts w:ascii="仿宋" w:hAnsi="仿宋" w:eastAsia="仿宋" w:cs="仿宋_GB2312"/>
                <w:szCs w:val="21"/>
              </w:rPr>
            </w:pPr>
            <w:r>
              <w:rPr>
                <w:rFonts w:hint="eastAsia" w:ascii="仿宋" w:hAnsi="仿宋" w:eastAsia="仿宋" w:cs="仿宋_GB2312"/>
                <w:szCs w:val="21"/>
              </w:rPr>
              <w:t>银湖街道勤丰村</w:t>
            </w:r>
          </w:p>
        </w:tc>
        <w:tc>
          <w:tcPr>
            <w:tcW w:w="2117" w:type="dxa"/>
            <w:vAlign w:val="center"/>
          </w:tcPr>
          <w:p>
            <w:pPr>
              <w:jc w:val="center"/>
              <w:rPr>
                <w:rFonts w:ascii="仿宋" w:hAnsi="仿宋" w:eastAsia="仿宋" w:cs="仿宋_GB2312"/>
                <w:szCs w:val="21"/>
              </w:rPr>
            </w:pPr>
            <w:r>
              <w:rPr>
                <w:rFonts w:hint="eastAsia" w:ascii="仿宋" w:hAnsi="仿宋" w:eastAsia="仿宋" w:cs="仿宋_GB2312"/>
                <w:szCs w:val="21"/>
              </w:rPr>
              <w:t>养老机构</w:t>
            </w:r>
          </w:p>
        </w:tc>
        <w:tc>
          <w:tcPr>
            <w:tcW w:w="1245" w:type="dxa"/>
            <w:vAlign w:val="center"/>
          </w:tcPr>
          <w:p>
            <w:pPr>
              <w:jc w:val="center"/>
              <w:rPr>
                <w:rFonts w:ascii="仿宋" w:hAnsi="仿宋" w:eastAsia="仿宋" w:cs="仿宋_GB2312"/>
                <w:szCs w:val="21"/>
              </w:rPr>
            </w:pPr>
            <w:r>
              <w:rPr>
                <w:rFonts w:hint="eastAsia" w:ascii="仿宋" w:hAnsi="仿宋" w:eastAsia="仿宋" w:cs="仿宋_GB2312"/>
                <w:szCs w:val="21"/>
              </w:rPr>
              <w:t>8000</w:t>
            </w:r>
          </w:p>
        </w:tc>
        <w:tc>
          <w:tcPr>
            <w:tcW w:w="1245" w:type="dxa"/>
            <w:vAlign w:val="center"/>
          </w:tcPr>
          <w:p>
            <w:pPr>
              <w:jc w:val="center"/>
              <w:rPr>
                <w:rFonts w:ascii="仿宋" w:hAnsi="仿宋" w:eastAsia="仿宋" w:cs="仿宋_GB2312"/>
                <w:szCs w:val="21"/>
              </w:rPr>
            </w:pPr>
            <w:r>
              <w:rPr>
                <w:rFonts w:hint="eastAsia" w:ascii="仿宋" w:hAnsi="仿宋" w:eastAsia="仿宋" w:cs="仿宋_GB2312"/>
                <w:szCs w:val="21"/>
              </w:rPr>
              <w:t>7</w:t>
            </w:r>
          </w:p>
        </w:tc>
        <w:tc>
          <w:tcPr>
            <w:tcW w:w="1150" w:type="dxa"/>
            <w:vAlign w:val="center"/>
          </w:tcPr>
          <w:p>
            <w:pPr>
              <w:jc w:val="center"/>
              <w:rPr>
                <w:rFonts w:ascii="仿宋" w:hAnsi="仿宋" w:eastAsia="仿宋" w:cs="仿宋_GB2312"/>
                <w:szCs w:val="21"/>
              </w:rPr>
            </w:pPr>
            <w:r>
              <w:rPr>
                <w:rFonts w:hint="eastAsia" w:ascii="仿宋" w:hAnsi="仿宋" w:eastAsia="仿宋" w:cs="仿宋_GB2312"/>
                <w:szCs w:val="21"/>
              </w:rPr>
              <w:t>6000</w:t>
            </w:r>
          </w:p>
        </w:tc>
        <w:tc>
          <w:tcPr>
            <w:tcW w:w="1791" w:type="dxa"/>
            <w:vAlign w:val="center"/>
          </w:tcPr>
          <w:p>
            <w:pPr>
              <w:jc w:val="center"/>
              <w:rPr>
                <w:rFonts w:ascii="仿宋" w:hAnsi="仿宋" w:eastAsia="仿宋" w:cs="仿宋_GB2312"/>
                <w:szCs w:val="21"/>
              </w:rPr>
            </w:pPr>
            <w:r>
              <w:rPr>
                <w:rFonts w:hint="eastAsia" w:ascii="仿宋" w:hAnsi="仿宋" w:eastAsia="仿宋" w:cs="仿宋_GB2312"/>
                <w:szCs w:val="21"/>
              </w:rPr>
              <w:t>2021-2023</w:t>
            </w:r>
          </w:p>
        </w:tc>
        <w:tc>
          <w:tcPr>
            <w:tcW w:w="1592" w:type="dxa"/>
            <w:vAlign w:val="center"/>
          </w:tcPr>
          <w:p>
            <w:pPr>
              <w:jc w:val="center"/>
              <w:rPr>
                <w:rFonts w:ascii="仿宋" w:hAnsi="仿宋" w:eastAsia="仿宋" w:cs="仿宋_GB2312"/>
                <w:szCs w:val="21"/>
              </w:rPr>
            </w:pPr>
            <w:r>
              <w:rPr>
                <w:rFonts w:hint="eastAsia" w:ascii="仿宋" w:hAnsi="仿宋" w:eastAsia="仿宋" w:cs="仿宋_GB2312"/>
                <w:szCs w:val="21"/>
              </w:rPr>
              <w:t>银湖街道办事处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5</w:t>
            </w:r>
          </w:p>
        </w:tc>
        <w:tc>
          <w:tcPr>
            <w:tcW w:w="1071" w:type="dxa"/>
            <w:vAlign w:val="center"/>
          </w:tcPr>
          <w:p>
            <w:pPr>
              <w:jc w:val="center"/>
              <w:rPr>
                <w:rFonts w:ascii="仿宋" w:hAnsi="仿宋" w:eastAsia="仿宋"/>
                <w:szCs w:val="21"/>
              </w:rPr>
            </w:pPr>
            <w:r>
              <w:rPr>
                <w:rFonts w:hint="eastAsia" w:ascii="仿宋" w:hAnsi="仿宋" w:eastAsia="仿宋"/>
                <w:szCs w:val="21"/>
              </w:rPr>
              <w:t>桐庐县</w:t>
            </w:r>
          </w:p>
        </w:tc>
        <w:tc>
          <w:tcPr>
            <w:tcW w:w="2423" w:type="dxa"/>
            <w:vAlign w:val="center"/>
          </w:tcPr>
          <w:p>
            <w:pPr>
              <w:jc w:val="center"/>
              <w:rPr>
                <w:rFonts w:ascii="仿宋" w:hAnsi="仿宋" w:eastAsia="仿宋" w:cs="仿宋_GB2312"/>
                <w:szCs w:val="21"/>
              </w:rPr>
            </w:pPr>
            <w:r>
              <w:rPr>
                <w:rFonts w:hint="eastAsia" w:ascii="仿宋" w:hAnsi="仿宋" w:eastAsia="仿宋" w:cs="仿宋_GB2312"/>
                <w:szCs w:val="21"/>
              </w:rPr>
              <w:t>分水镇敬老院二期</w:t>
            </w:r>
          </w:p>
        </w:tc>
        <w:tc>
          <w:tcPr>
            <w:tcW w:w="2502" w:type="dxa"/>
            <w:vAlign w:val="center"/>
          </w:tcPr>
          <w:p>
            <w:pPr>
              <w:jc w:val="center"/>
              <w:rPr>
                <w:rFonts w:ascii="仿宋" w:hAnsi="仿宋" w:eastAsia="仿宋" w:cs="仿宋_GB2312"/>
                <w:szCs w:val="21"/>
              </w:rPr>
            </w:pPr>
            <w:r>
              <w:rPr>
                <w:rFonts w:hint="eastAsia" w:ascii="仿宋" w:hAnsi="仿宋" w:eastAsia="仿宋" w:cs="仿宋_GB2312"/>
                <w:szCs w:val="21"/>
              </w:rPr>
              <w:t>分水镇天英村</w:t>
            </w:r>
          </w:p>
        </w:tc>
        <w:tc>
          <w:tcPr>
            <w:tcW w:w="2117" w:type="dxa"/>
            <w:vAlign w:val="center"/>
          </w:tcPr>
          <w:p>
            <w:pPr>
              <w:jc w:val="center"/>
              <w:rPr>
                <w:rFonts w:ascii="仿宋" w:hAnsi="仿宋" w:eastAsia="仿宋" w:cs="仿宋_GB2312"/>
                <w:szCs w:val="21"/>
              </w:rPr>
            </w:pPr>
            <w:r>
              <w:rPr>
                <w:rFonts w:hint="eastAsia" w:ascii="仿宋" w:hAnsi="仿宋" w:eastAsia="仿宋" w:cs="仿宋_GB2312"/>
                <w:szCs w:val="21"/>
              </w:rPr>
              <w:t>养老机构</w:t>
            </w:r>
          </w:p>
        </w:tc>
        <w:tc>
          <w:tcPr>
            <w:tcW w:w="1245" w:type="dxa"/>
            <w:vAlign w:val="center"/>
          </w:tcPr>
          <w:p>
            <w:pPr>
              <w:jc w:val="center"/>
              <w:rPr>
                <w:rFonts w:ascii="仿宋" w:hAnsi="仿宋" w:eastAsia="仿宋" w:cs="仿宋_GB2312"/>
                <w:szCs w:val="21"/>
              </w:rPr>
            </w:pPr>
            <w:r>
              <w:rPr>
                <w:rFonts w:hint="eastAsia" w:ascii="仿宋" w:hAnsi="仿宋" w:eastAsia="仿宋" w:cs="仿宋_GB2312"/>
                <w:szCs w:val="21"/>
              </w:rPr>
              <w:t>2258</w:t>
            </w:r>
          </w:p>
        </w:tc>
        <w:tc>
          <w:tcPr>
            <w:tcW w:w="1245" w:type="dxa"/>
            <w:vAlign w:val="center"/>
          </w:tcPr>
          <w:p>
            <w:pPr>
              <w:jc w:val="center"/>
              <w:rPr>
                <w:rFonts w:ascii="仿宋" w:hAnsi="仿宋" w:eastAsia="仿宋" w:cs="仿宋_GB2312"/>
                <w:szCs w:val="21"/>
              </w:rPr>
            </w:pPr>
          </w:p>
        </w:tc>
        <w:tc>
          <w:tcPr>
            <w:tcW w:w="1150" w:type="dxa"/>
            <w:vAlign w:val="center"/>
          </w:tcPr>
          <w:p>
            <w:pPr>
              <w:jc w:val="center"/>
              <w:rPr>
                <w:rFonts w:ascii="仿宋" w:hAnsi="仿宋" w:eastAsia="仿宋" w:cs="仿宋_GB2312"/>
                <w:szCs w:val="21"/>
              </w:rPr>
            </w:pPr>
            <w:r>
              <w:rPr>
                <w:rFonts w:hint="eastAsia" w:ascii="仿宋" w:hAnsi="仿宋" w:eastAsia="仿宋" w:cs="仿宋_GB2312"/>
                <w:szCs w:val="21"/>
              </w:rPr>
              <w:t>2964.5</w:t>
            </w:r>
          </w:p>
        </w:tc>
        <w:tc>
          <w:tcPr>
            <w:tcW w:w="1791" w:type="dxa"/>
            <w:vAlign w:val="center"/>
          </w:tcPr>
          <w:p>
            <w:pPr>
              <w:jc w:val="center"/>
              <w:rPr>
                <w:rFonts w:ascii="仿宋" w:hAnsi="仿宋" w:eastAsia="仿宋" w:cs="仿宋_GB2312"/>
                <w:szCs w:val="21"/>
              </w:rPr>
            </w:pPr>
            <w:r>
              <w:rPr>
                <w:rFonts w:hint="eastAsia" w:ascii="仿宋" w:hAnsi="仿宋" w:eastAsia="仿宋" w:cs="仿宋_GB2312"/>
                <w:szCs w:val="21"/>
              </w:rPr>
              <w:t>2021</w:t>
            </w:r>
          </w:p>
        </w:tc>
        <w:tc>
          <w:tcPr>
            <w:tcW w:w="1592" w:type="dxa"/>
            <w:vAlign w:val="center"/>
          </w:tcPr>
          <w:p>
            <w:pPr>
              <w:jc w:val="center"/>
              <w:rPr>
                <w:rFonts w:ascii="仿宋" w:hAnsi="仿宋" w:eastAsia="仿宋" w:cs="仿宋_GB2312"/>
                <w:szCs w:val="21"/>
              </w:rPr>
            </w:pPr>
            <w:r>
              <w:rPr>
                <w:rFonts w:hint="eastAsia" w:ascii="仿宋" w:hAnsi="仿宋" w:eastAsia="仿宋" w:cs="仿宋_GB2312"/>
                <w:szCs w:val="21"/>
              </w:rPr>
              <w:t>分水镇人民政府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6</w:t>
            </w:r>
          </w:p>
        </w:tc>
        <w:tc>
          <w:tcPr>
            <w:tcW w:w="1071" w:type="dxa"/>
            <w:vMerge w:val="restart"/>
            <w:vAlign w:val="center"/>
          </w:tcPr>
          <w:p>
            <w:pPr>
              <w:jc w:val="center"/>
              <w:rPr>
                <w:rFonts w:ascii="仿宋" w:hAnsi="仿宋" w:eastAsia="仿宋"/>
                <w:szCs w:val="21"/>
              </w:rPr>
            </w:pPr>
            <w:r>
              <w:rPr>
                <w:rFonts w:hint="eastAsia" w:ascii="仿宋" w:hAnsi="仿宋" w:eastAsia="仿宋"/>
                <w:szCs w:val="21"/>
              </w:rPr>
              <w:t>淳安县</w:t>
            </w:r>
          </w:p>
        </w:tc>
        <w:tc>
          <w:tcPr>
            <w:tcW w:w="2423"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县养老服务中心二期项目</w:t>
            </w:r>
          </w:p>
        </w:tc>
        <w:tc>
          <w:tcPr>
            <w:tcW w:w="2502"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千岛湖镇富城路高山区块</w:t>
            </w:r>
          </w:p>
        </w:tc>
        <w:tc>
          <w:tcPr>
            <w:tcW w:w="2117"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床位500张，配建养老护理培训基地</w:t>
            </w:r>
          </w:p>
        </w:tc>
        <w:tc>
          <w:tcPr>
            <w:tcW w:w="1245"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28000</w:t>
            </w:r>
          </w:p>
        </w:tc>
        <w:tc>
          <w:tcPr>
            <w:tcW w:w="1245"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50</w:t>
            </w:r>
          </w:p>
        </w:tc>
        <w:tc>
          <w:tcPr>
            <w:tcW w:w="1150"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12000</w:t>
            </w:r>
          </w:p>
        </w:tc>
        <w:tc>
          <w:tcPr>
            <w:tcW w:w="1791" w:type="dxa"/>
            <w:vAlign w:val="center"/>
          </w:tcPr>
          <w:p>
            <w:pPr>
              <w:jc w:val="center"/>
              <w:rPr>
                <w:rFonts w:ascii="仿宋" w:hAnsi="仿宋" w:eastAsia="仿宋" w:cs="仿宋"/>
                <w:kern w:val="0"/>
                <w:szCs w:val="21"/>
              </w:rPr>
            </w:pPr>
            <w:r>
              <w:rPr>
                <w:rFonts w:hint="eastAsia" w:ascii="仿宋" w:hAnsi="仿宋" w:eastAsia="仿宋" w:cs="仿宋"/>
                <w:kern w:val="0"/>
                <w:szCs w:val="21"/>
              </w:rPr>
              <w:t>2022-2025</w:t>
            </w:r>
          </w:p>
        </w:tc>
        <w:tc>
          <w:tcPr>
            <w:tcW w:w="1592"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淳安县民政局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7</w:t>
            </w:r>
          </w:p>
        </w:tc>
        <w:tc>
          <w:tcPr>
            <w:tcW w:w="1071" w:type="dxa"/>
            <w:vMerge w:val="continue"/>
            <w:vAlign w:val="center"/>
          </w:tcPr>
          <w:p>
            <w:pPr>
              <w:jc w:val="center"/>
              <w:rPr>
                <w:rFonts w:ascii="仿宋" w:hAnsi="仿宋" w:eastAsia="仿宋"/>
                <w:szCs w:val="21"/>
              </w:rPr>
            </w:pPr>
          </w:p>
        </w:tc>
        <w:tc>
          <w:tcPr>
            <w:tcW w:w="2423" w:type="dxa"/>
            <w:vAlign w:val="center"/>
          </w:tcPr>
          <w:p>
            <w:pPr>
              <w:widowControl/>
              <w:jc w:val="center"/>
              <w:textAlignment w:val="center"/>
              <w:rPr>
                <w:rFonts w:ascii="仿宋" w:hAnsi="仿宋" w:eastAsia="仿宋" w:cs="仿宋_GB2312"/>
                <w:szCs w:val="21"/>
              </w:rPr>
            </w:pPr>
            <w:r>
              <w:rPr>
                <w:rFonts w:hint="eastAsia" w:ascii="仿宋" w:hAnsi="仿宋" w:eastAsia="仿宋" w:cs="仿宋_GB2312"/>
                <w:kern w:val="0"/>
                <w:szCs w:val="21"/>
              </w:rPr>
              <w:t>汾口镇敬老院</w:t>
            </w:r>
          </w:p>
        </w:tc>
        <w:tc>
          <w:tcPr>
            <w:tcW w:w="2502" w:type="dxa"/>
            <w:vAlign w:val="center"/>
          </w:tcPr>
          <w:p>
            <w:pPr>
              <w:widowControl/>
              <w:jc w:val="center"/>
              <w:textAlignment w:val="center"/>
              <w:rPr>
                <w:rFonts w:ascii="仿宋" w:hAnsi="仿宋" w:eastAsia="仿宋" w:cs="仿宋_GB2312"/>
                <w:szCs w:val="21"/>
              </w:rPr>
            </w:pPr>
            <w:r>
              <w:rPr>
                <w:rFonts w:hint="eastAsia" w:ascii="仿宋" w:hAnsi="仿宋" w:eastAsia="仿宋" w:cs="仿宋_GB2312"/>
                <w:kern w:val="0"/>
                <w:szCs w:val="21"/>
              </w:rPr>
              <w:t>汾口镇翁川村</w:t>
            </w:r>
          </w:p>
        </w:tc>
        <w:tc>
          <w:tcPr>
            <w:tcW w:w="2117"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新建床位300张，一期142张</w:t>
            </w:r>
          </w:p>
        </w:tc>
        <w:tc>
          <w:tcPr>
            <w:tcW w:w="1245"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10000</w:t>
            </w:r>
          </w:p>
        </w:tc>
        <w:tc>
          <w:tcPr>
            <w:tcW w:w="1245"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23</w:t>
            </w:r>
          </w:p>
        </w:tc>
        <w:tc>
          <w:tcPr>
            <w:tcW w:w="1150"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3600</w:t>
            </w:r>
          </w:p>
        </w:tc>
        <w:tc>
          <w:tcPr>
            <w:tcW w:w="1791" w:type="dxa"/>
            <w:vAlign w:val="center"/>
          </w:tcPr>
          <w:p>
            <w:pPr>
              <w:jc w:val="center"/>
              <w:rPr>
                <w:rFonts w:ascii="仿宋" w:hAnsi="仿宋" w:eastAsia="仿宋" w:cs="仿宋_GB2312"/>
                <w:szCs w:val="21"/>
              </w:rPr>
            </w:pPr>
            <w:r>
              <w:rPr>
                <w:rFonts w:hint="eastAsia" w:ascii="仿宋" w:hAnsi="仿宋" w:eastAsia="仿宋" w:cs="仿宋_GB2312"/>
                <w:kern w:val="0"/>
                <w:szCs w:val="21"/>
              </w:rPr>
              <w:t>2020-2021</w:t>
            </w:r>
          </w:p>
        </w:tc>
        <w:tc>
          <w:tcPr>
            <w:tcW w:w="1592" w:type="dxa"/>
            <w:vAlign w:val="center"/>
          </w:tcPr>
          <w:p>
            <w:pPr>
              <w:widowControl/>
              <w:jc w:val="center"/>
              <w:textAlignment w:val="center"/>
              <w:rPr>
                <w:rFonts w:ascii="仿宋" w:hAnsi="仿宋" w:eastAsia="仿宋" w:cs="仿宋_GB2312"/>
                <w:szCs w:val="21"/>
              </w:rPr>
            </w:pPr>
            <w:r>
              <w:rPr>
                <w:rFonts w:hint="eastAsia" w:ascii="仿宋" w:hAnsi="仿宋" w:eastAsia="仿宋" w:cs="仿宋_GB2312"/>
                <w:kern w:val="0"/>
                <w:szCs w:val="21"/>
              </w:rPr>
              <w:t>汾口镇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8</w:t>
            </w:r>
          </w:p>
        </w:tc>
        <w:tc>
          <w:tcPr>
            <w:tcW w:w="1071" w:type="dxa"/>
            <w:vMerge w:val="continue"/>
            <w:vAlign w:val="center"/>
          </w:tcPr>
          <w:p>
            <w:pPr>
              <w:jc w:val="center"/>
              <w:rPr>
                <w:rFonts w:ascii="仿宋" w:hAnsi="仿宋" w:eastAsia="仿宋"/>
                <w:szCs w:val="21"/>
              </w:rPr>
            </w:pPr>
          </w:p>
        </w:tc>
        <w:tc>
          <w:tcPr>
            <w:tcW w:w="2423" w:type="dxa"/>
            <w:vAlign w:val="center"/>
          </w:tcPr>
          <w:p>
            <w:pPr>
              <w:widowControl/>
              <w:jc w:val="center"/>
              <w:textAlignment w:val="center"/>
              <w:rPr>
                <w:rFonts w:ascii="仿宋" w:hAnsi="仿宋" w:eastAsia="仿宋" w:cs="仿宋_GB2312"/>
                <w:szCs w:val="21"/>
              </w:rPr>
            </w:pPr>
            <w:r>
              <w:rPr>
                <w:rFonts w:hint="eastAsia" w:ascii="仿宋" w:hAnsi="仿宋" w:eastAsia="仿宋" w:cs="仿宋_GB2312"/>
                <w:kern w:val="0"/>
                <w:szCs w:val="21"/>
              </w:rPr>
              <w:t>威坪镇敬老院</w:t>
            </w:r>
          </w:p>
        </w:tc>
        <w:tc>
          <w:tcPr>
            <w:tcW w:w="2502" w:type="dxa"/>
            <w:vAlign w:val="center"/>
          </w:tcPr>
          <w:p>
            <w:pPr>
              <w:widowControl/>
              <w:jc w:val="center"/>
              <w:textAlignment w:val="center"/>
              <w:rPr>
                <w:rFonts w:ascii="仿宋" w:hAnsi="仿宋" w:eastAsia="仿宋" w:cs="仿宋_GB2312"/>
                <w:szCs w:val="21"/>
              </w:rPr>
            </w:pPr>
            <w:r>
              <w:rPr>
                <w:rFonts w:hint="eastAsia" w:ascii="仿宋" w:hAnsi="仿宋" w:eastAsia="仿宋" w:cs="仿宋_GB2312"/>
                <w:kern w:val="0"/>
                <w:szCs w:val="21"/>
              </w:rPr>
              <w:t>威坪镇杜川村</w:t>
            </w:r>
          </w:p>
        </w:tc>
        <w:tc>
          <w:tcPr>
            <w:tcW w:w="2117"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新建床位200张</w:t>
            </w:r>
          </w:p>
        </w:tc>
        <w:tc>
          <w:tcPr>
            <w:tcW w:w="1245"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10000</w:t>
            </w:r>
          </w:p>
        </w:tc>
        <w:tc>
          <w:tcPr>
            <w:tcW w:w="1245"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20</w:t>
            </w:r>
          </w:p>
        </w:tc>
        <w:tc>
          <w:tcPr>
            <w:tcW w:w="1150"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3500</w:t>
            </w:r>
          </w:p>
        </w:tc>
        <w:tc>
          <w:tcPr>
            <w:tcW w:w="1791" w:type="dxa"/>
            <w:vAlign w:val="center"/>
          </w:tcPr>
          <w:p>
            <w:pPr>
              <w:jc w:val="center"/>
              <w:rPr>
                <w:rFonts w:ascii="仿宋" w:hAnsi="仿宋" w:eastAsia="仿宋" w:cs="仿宋_GB2312"/>
                <w:szCs w:val="21"/>
              </w:rPr>
            </w:pPr>
            <w:r>
              <w:rPr>
                <w:rFonts w:hint="eastAsia" w:ascii="仿宋" w:hAnsi="仿宋" w:eastAsia="仿宋" w:cs="仿宋_GB2312"/>
                <w:kern w:val="0"/>
                <w:szCs w:val="21"/>
              </w:rPr>
              <w:t>2021-2022</w:t>
            </w:r>
          </w:p>
        </w:tc>
        <w:tc>
          <w:tcPr>
            <w:tcW w:w="1592" w:type="dxa"/>
            <w:vAlign w:val="center"/>
          </w:tcPr>
          <w:p>
            <w:pPr>
              <w:widowControl/>
              <w:jc w:val="center"/>
              <w:textAlignment w:val="center"/>
              <w:rPr>
                <w:rFonts w:ascii="仿宋" w:hAnsi="仿宋" w:eastAsia="仿宋" w:cs="仿宋_GB2312"/>
                <w:szCs w:val="21"/>
              </w:rPr>
            </w:pPr>
            <w:r>
              <w:rPr>
                <w:rFonts w:hint="eastAsia" w:ascii="仿宋" w:hAnsi="仿宋" w:eastAsia="仿宋" w:cs="仿宋_GB2312"/>
                <w:kern w:val="0"/>
                <w:szCs w:val="21"/>
              </w:rPr>
              <w:t>威坪镇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9</w:t>
            </w:r>
          </w:p>
        </w:tc>
        <w:tc>
          <w:tcPr>
            <w:tcW w:w="1071" w:type="dxa"/>
            <w:vMerge w:val="continue"/>
            <w:vAlign w:val="center"/>
          </w:tcPr>
          <w:p>
            <w:pPr>
              <w:jc w:val="center"/>
              <w:rPr>
                <w:rFonts w:ascii="仿宋" w:hAnsi="仿宋" w:eastAsia="仿宋"/>
                <w:szCs w:val="21"/>
              </w:rPr>
            </w:pPr>
          </w:p>
        </w:tc>
        <w:tc>
          <w:tcPr>
            <w:tcW w:w="2423" w:type="dxa"/>
            <w:vAlign w:val="center"/>
          </w:tcPr>
          <w:p>
            <w:pPr>
              <w:widowControl/>
              <w:jc w:val="center"/>
              <w:textAlignment w:val="center"/>
              <w:rPr>
                <w:rFonts w:ascii="仿宋" w:hAnsi="仿宋" w:eastAsia="仿宋" w:cs="仿宋_GB2312"/>
                <w:szCs w:val="21"/>
              </w:rPr>
            </w:pPr>
            <w:r>
              <w:rPr>
                <w:rFonts w:hint="eastAsia" w:ascii="仿宋" w:hAnsi="仿宋" w:eastAsia="仿宋" w:cs="仿宋_GB2312"/>
                <w:kern w:val="0"/>
                <w:szCs w:val="21"/>
              </w:rPr>
              <w:t>大墅镇敬老院</w:t>
            </w:r>
          </w:p>
        </w:tc>
        <w:tc>
          <w:tcPr>
            <w:tcW w:w="2502" w:type="dxa"/>
            <w:vAlign w:val="center"/>
          </w:tcPr>
          <w:p>
            <w:pPr>
              <w:widowControl/>
              <w:jc w:val="center"/>
              <w:textAlignment w:val="center"/>
              <w:rPr>
                <w:rFonts w:ascii="仿宋" w:hAnsi="仿宋" w:eastAsia="仿宋" w:cs="仿宋_GB2312"/>
                <w:szCs w:val="21"/>
              </w:rPr>
            </w:pPr>
            <w:r>
              <w:rPr>
                <w:rFonts w:hint="eastAsia" w:ascii="仿宋" w:hAnsi="仿宋" w:eastAsia="仿宋" w:cs="仿宋_GB2312"/>
                <w:kern w:val="0"/>
                <w:szCs w:val="21"/>
              </w:rPr>
              <w:t>大墅镇大墅村</w:t>
            </w:r>
          </w:p>
        </w:tc>
        <w:tc>
          <w:tcPr>
            <w:tcW w:w="2117"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扩建床位40张、改造50张</w:t>
            </w:r>
          </w:p>
        </w:tc>
        <w:tc>
          <w:tcPr>
            <w:tcW w:w="1245"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1600</w:t>
            </w:r>
          </w:p>
        </w:tc>
        <w:tc>
          <w:tcPr>
            <w:tcW w:w="1245"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12</w:t>
            </w:r>
          </w:p>
        </w:tc>
        <w:tc>
          <w:tcPr>
            <w:tcW w:w="1150" w:type="dxa"/>
            <w:vAlign w:val="center"/>
          </w:tcPr>
          <w:p>
            <w:pPr>
              <w:widowControl/>
              <w:jc w:val="center"/>
              <w:textAlignment w:val="center"/>
              <w:rPr>
                <w:rFonts w:ascii="仿宋" w:hAnsi="仿宋" w:eastAsia="仿宋" w:cs="仿宋_GB2312"/>
                <w:kern w:val="0"/>
                <w:szCs w:val="21"/>
              </w:rPr>
            </w:pPr>
            <w:r>
              <w:rPr>
                <w:rFonts w:hint="eastAsia" w:ascii="仿宋" w:hAnsi="仿宋" w:eastAsia="仿宋" w:cs="仿宋_GB2312"/>
                <w:kern w:val="0"/>
                <w:szCs w:val="21"/>
              </w:rPr>
              <w:t>1600</w:t>
            </w:r>
          </w:p>
        </w:tc>
        <w:tc>
          <w:tcPr>
            <w:tcW w:w="1791" w:type="dxa"/>
            <w:vAlign w:val="center"/>
          </w:tcPr>
          <w:p>
            <w:pPr>
              <w:jc w:val="center"/>
              <w:rPr>
                <w:rFonts w:ascii="仿宋" w:hAnsi="仿宋" w:eastAsia="仿宋" w:cs="仿宋_GB2312"/>
                <w:szCs w:val="21"/>
              </w:rPr>
            </w:pPr>
            <w:r>
              <w:rPr>
                <w:rFonts w:hint="eastAsia" w:ascii="仿宋" w:hAnsi="仿宋" w:eastAsia="仿宋" w:cs="仿宋_GB2312"/>
                <w:kern w:val="0"/>
                <w:szCs w:val="21"/>
              </w:rPr>
              <w:t>2021-2022</w:t>
            </w:r>
          </w:p>
        </w:tc>
        <w:tc>
          <w:tcPr>
            <w:tcW w:w="1592" w:type="dxa"/>
            <w:vAlign w:val="center"/>
          </w:tcPr>
          <w:p>
            <w:pPr>
              <w:widowControl/>
              <w:jc w:val="center"/>
              <w:textAlignment w:val="center"/>
              <w:rPr>
                <w:rFonts w:ascii="仿宋" w:hAnsi="仿宋" w:eastAsia="仿宋" w:cs="仿宋_GB2312"/>
                <w:szCs w:val="21"/>
              </w:rPr>
            </w:pPr>
            <w:r>
              <w:rPr>
                <w:rFonts w:hint="eastAsia" w:ascii="仿宋" w:hAnsi="仿宋" w:eastAsia="仿宋" w:cs="仿宋_GB2312"/>
                <w:kern w:val="0"/>
                <w:szCs w:val="21"/>
              </w:rPr>
              <w:t>大墅镇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10</w:t>
            </w:r>
          </w:p>
        </w:tc>
        <w:tc>
          <w:tcPr>
            <w:tcW w:w="1071" w:type="dxa"/>
            <w:vMerge w:val="continue"/>
            <w:vAlign w:val="center"/>
          </w:tcPr>
          <w:p>
            <w:pPr>
              <w:jc w:val="center"/>
              <w:rPr>
                <w:rFonts w:ascii="仿宋" w:hAnsi="仿宋" w:eastAsia="仿宋"/>
                <w:szCs w:val="21"/>
              </w:rPr>
            </w:pPr>
          </w:p>
        </w:tc>
        <w:tc>
          <w:tcPr>
            <w:tcW w:w="2423" w:type="dxa"/>
            <w:vAlign w:val="center"/>
          </w:tcPr>
          <w:p>
            <w:pPr>
              <w:widowControl/>
              <w:jc w:val="center"/>
              <w:textAlignment w:val="center"/>
              <w:rPr>
                <w:rFonts w:ascii="仿宋" w:hAnsi="仿宋" w:eastAsia="仿宋"/>
                <w:szCs w:val="21"/>
              </w:rPr>
            </w:pPr>
            <w:r>
              <w:rPr>
                <w:rFonts w:hint="eastAsia" w:ascii="仿宋" w:hAnsi="仿宋" w:eastAsia="仿宋" w:cs="仿宋"/>
                <w:kern w:val="0"/>
                <w:szCs w:val="21"/>
              </w:rPr>
              <w:t>千岛湖镇敬老院</w:t>
            </w:r>
          </w:p>
        </w:tc>
        <w:tc>
          <w:tcPr>
            <w:tcW w:w="2502" w:type="dxa"/>
            <w:vAlign w:val="center"/>
          </w:tcPr>
          <w:p>
            <w:pPr>
              <w:widowControl/>
              <w:jc w:val="center"/>
              <w:textAlignment w:val="center"/>
              <w:rPr>
                <w:rFonts w:ascii="仿宋" w:hAnsi="仿宋" w:eastAsia="仿宋"/>
                <w:szCs w:val="21"/>
              </w:rPr>
            </w:pPr>
            <w:r>
              <w:rPr>
                <w:rFonts w:hint="eastAsia" w:ascii="仿宋" w:hAnsi="仿宋" w:eastAsia="仿宋" w:cs="仿宋"/>
                <w:kern w:val="0"/>
                <w:szCs w:val="21"/>
              </w:rPr>
              <w:t>千岛湖镇马路村</w:t>
            </w:r>
          </w:p>
        </w:tc>
        <w:tc>
          <w:tcPr>
            <w:tcW w:w="2117"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扩建床位100张</w:t>
            </w:r>
          </w:p>
        </w:tc>
        <w:tc>
          <w:tcPr>
            <w:tcW w:w="1245"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4000</w:t>
            </w:r>
          </w:p>
        </w:tc>
        <w:tc>
          <w:tcPr>
            <w:tcW w:w="1245"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10</w:t>
            </w:r>
          </w:p>
        </w:tc>
        <w:tc>
          <w:tcPr>
            <w:tcW w:w="1150"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1400</w:t>
            </w:r>
          </w:p>
        </w:tc>
        <w:tc>
          <w:tcPr>
            <w:tcW w:w="1791" w:type="dxa"/>
            <w:vAlign w:val="center"/>
          </w:tcPr>
          <w:p>
            <w:pPr>
              <w:jc w:val="center"/>
              <w:rPr>
                <w:rFonts w:ascii="仿宋" w:hAnsi="仿宋" w:eastAsia="仿宋"/>
                <w:szCs w:val="21"/>
              </w:rPr>
            </w:pPr>
            <w:r>
              <w:rPr>
                <w:rFonts w:hint="eastAsia" w:ascii="仿宋" w:hAnsi="仿宋" w:eastAsia="仿宋" w:cs="仿宋"/>
                <w:kern w:val="0"/>
                <w:szCs w:val="21"/>
              </w:rPr>
              <w:t>2021-2022</w:t>
            </w:r>
          </w:p>
        </w:tc>
        <w:tc>
          <w:tcPr>
            <w:tcW w:w="1592" w:type="dxa"/>
            <w:vAlign w:val="center"/>
          </w:tcPr>
          <w:p>
            <w:pPr>
              <w:widowControl/>
              <w:jc w:val="center"/>
              <w:textAlignment w:val="center"/>
              <w:rPr>
                <w:rFonts w:ascii="仿宋" w:hAnsi="仿宋" w:eastAsia="仿宋"/>
                <w:szCs w:val="21"/>
              </w:rPr>
            </w:pPr>
            <w:r>
              <w:rPr>
                <w:rFonts w:hint="eastAsia" w:ascii="仿宋" w:hAnsi="仿宋" w:eastAsia="仿宋" w:cs="仿宋"/>
                <w:kern w:val="0"/>
                <w:szCs w:val="21"/>
              </w:rPr>
              <w:t>千岛湖镇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11</w:t>
            </w:r>
          </w:p>
        </w:tc>
        <w:tc>
          <w:tcPr>
            <w:tcW w:w="1071" w:type="dxa"/>
            <w:vMerge w:val="continue"/>
            <w:vAlign w:val="center"/>
          </w:tcPr>
          <w:p>
            <w:pPr>
              <w:jc w:val="center"/>
              <w:rPr>
                <w:rFonts w:ascii="仿宋" w:hAnsi="仿宋" w:eastAsia="仿宋"/>
                <w:szCs w:val="21"/>
              </w:rPr>
            </w:pPr>
          </w:p>
        </w:tc>
        <w:tc>
          <w:tcPr>
            <w:tcW w:w="2423" w:type="dxa"/>
            <w:vAlign w:val="center"/>
          </w:tcPr>
          <w:p>
            <w:pPr>
              <w:widowControl/>
              <w:jc w:val="center"/>
              <w:textAlignment w:val="center"/>
              <w:rPr>
                <w:rFonts w:ascii="仿宋" w:hAnsi="仿宋" w:eastAsia="仿宋"/>
                <w:szCs w:val="21"/>
              </w:rPr>
            </w:pPr>
            <w:r>
              <w:rPr>
                <w:rFonts w:hint="eastAsia" w:ascii="仿宋" w:hAnsi="仿宋" w:eastAsia="仿宋" w:cs="仿宋"/>
                <w:kern w:val="0"/>
                <w:szCs w:val="21"/>
              </w:rPr>
              <w:t>里商乡敬老院</w:t>
            </w:r>
          </w:p>
        </w:tc>
        <w:tc>
          <w:tcPr>
            <w:tcW w:w="2502" w:type="dxa"/>
            <w:vAlign w:val="center"/>
          </w:tcPr>
          <w:p>
            <w:pPr>
              <w:widowControl/>
              <w:jc w:val="center"/>
              <w:textAlignment w:val="center"/>
              <w:rPr>
                <w:rFonts w:ascii="仿宋" w:hAnsi="仿宋" w:eastAsia="仿宋"/>
                <w:szCs w:val="21"/>
              </w:rPr>
            </w:pPr>
            <w:r>
              <w:rPr>
                <w:rFonts w:hint="eastAsia" w:ascii="仿宋" w:hAnsi="仿宋" w:eastAsia="仿宋" w:cs="仿宋"/>
                <w:kern w:val="0"/>
                <w:szCs w:val="21"/>
              </w:rPr>
              <w:t>里商乡里阳村</w:t>
            </w:r>
          </w:p>
        </w:tc>
        <w:tc>
          <w:tcPr>
            <w:tcW w:w="2117"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改扩建床位40张，失能失智专区</w:t>
            </w:r>
          </w:p>
        </w:tc>
        <w:tc>
          <w:tcPr>
            <w:tcW w:w="1245"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1600</w:t>
            </w:r>
          </w:p>
        </w:tc>
        <w:tc>
          <w:tcPr>
            <w:tcW w:w="1245"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6</w:t>
            </w:r>
          </w:p>
        </w:tc>
        <w:tc>
          <w:tcPr>
            <w:tcW w:w="1150" w:type="dxa"/>
            <w:vAlign w:val="center"/>
          </w:tcPr>
          <w:p>
            <w:pPr>
              <w:widowControl/>
              <w:jc w:val="center"/>
              <w:textAlignment w:val="center"/>
              <w:rPr>
                <w:rFonts w:ascii="仿宋" w:hAnsi="仿宋" w:eastAsia="仿宋" w:cs="仿宋"/>
                <w:kern w:val="0"/>
                <w:szCs w:val="21"/>
              </w:rPr>
            </w:pPr>
            <w:r>
              <w:rPr>
                <w:rFonts w:hint="eastAsia" w:ascii="仿宋" w:hAnsi="仿宋" w:eastAsia="仿宋" w:cs="仿宋"/>
                <w:kern w:val="0"/>
                <w:szCs w:val="21"/>
              </w:rPr>
              <w:t>600</w:t>
            </w:r>
          </w:p>
        </w:tc>
        <w:tc>
          <w:tcPr>
            <w:tcW w:w="1791" w:type="dxa"/>
            <w:vAlign w:val="center"/>
          </w:tcPr>
          <w:p>
            <w:pPr>
              <w:jc w:val="center"/>
              <w:rPr>
                <w:rFonts w:ascii="仿宋" w:hAnsi="仿宋" w:eastAsia="仿宋"/>
                <w:szCs w:val="21"/>
              </w:rPr>
            </w:pPr>
            <w:r>
              <w:rPr>
                <w:rFonts w:hint="eastAsia" w:ascii="仿宋" w:hAnsi="仿宋" w:eastAsia="仿宋" w:cs="仿宋"/>
                <w:kern w:val="0"/>
                <w:szCs w:val="21"/>
              </w:rPr>
              <w:t>2022</w:t>
            </w:r>
          </w:p>
        </w:tc>
        <w:tc>
          <w:tcPr>
            <w:tcW w:w="1592" w:type="dxa"/>
            <w:vAlign w:val="center"/>
          </w:tcPr>
          <w:p>
            <w:pPr>
              <w:widowControl/>
              <w:jc w:val="center"/>
              <w:textAlignment w:val="center"/>
              <w:rPr>
                <w:rFonts w:ascii="仿宋" w:hAnsi="仿宋" w:eastAsia="仿宋"/>
                <w:szCs w:val="21"/>
              </w:rPr>
            </w:pPr>
            <w:r>
              <w:rPr>
                <w:rFonts w:hint="eastAsia" w:ascii="仿宋" w:hAnsi="仿宋" w:eastAsia="仿宋" w:cs="仿宋"/>
                <w:kern w:val="0"/>
                <w:szCs w:val="21"/>
              </w:rPr>
              <w:t>里商乡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12</w:t>
            </w:r>
          </w:p>
        </w:tc>
        <w:tc>
          <w:tcPr>
            <w:tcW w:w="1071" w:type="dxa"/>
            <w:vMerge w:val="restart"/>
            <w:vAlign w:val="center"/>
          </w:tcPr>
          <w:p>
            <w:pPr>
              <w:jc w:val="center"/>
              <w:rPr>
                <w:rFonts w:ascii="仿宋" w:hAnsi="仿宋" w:eastAsia="仿宋"/>
                <w:szCs w:val="21"/>
              </w:rPr>
            </w:pPr>
            <w:r>
              <w:rPr>
                <w:rFonts w:hint="eastAsia" w:ascii="仿宋" w:hAnsi="仿宋" w:eastAsia="仿宋"/>
                <w:szCs w:val="21"/>
              </w:rPr>
              <w:t>建德市</w:t>
            </w:r>
          </w:p>
        </w:tc>
        <w:tc>
          <w:tcPr>
            <w:tcW w:w="2423" w:type="dxa"/>
            <w:vAlign w:val="center"/>
          </w:tcPr>
          <w:p>
            <w:pPr>
              <w:jc w:val="center"/>
              <w:rPr>
                <w:rFonts w:ascii="仿宋" w:hAnsi="仿宋" w:eastAsia="仿宋" w:cs="仿宋_GB2312"/>
                <w:szCs w:val="21"/>
              </w:rPr>
            </w:pPr>
            <w:r>
              <w:rPr>
                <w:rFonts w:hint="eastAsia" w:ascii="仿宋" w:hAnsi="仿宋" w:eastAsia="仿宋" w:cs="仿宋_GB2312"/>
                <w:kern w:val="0"/>
                <w:szCs w:val="21"/>
              </w:rPr>
              <w:t>社会福利中心二期</w:t>
            </w:r>
          </w:p>
        </w:tc>
        <w:tc>
          <w:tcPr>
            <w:tcW w:w="2502" w:type="dxa"/>
            <w:vAlign w:val="center"/>
          </w:tcPr>
          <w:p>
            <w:pPr>
              <w:jc w:val="center"/>
              <w:rPr>
                <w:rFonts w:ascii="仿宋" w:hAnsi="仿宋" w:eastAsia="仿宋" w:cs="仿宋_GB2312"/>
                <w:szCs w:val="21"/>
              </w:rPr>
            </w:pPr>
            <w:r>
              <w:rPr>
                <w:rFonts w:hint="eastAsia" w:ascii="仿宋" w:hAnsi="仿宋" w:eastAsia="仿宋" w:cs="仿宋_GB2312"/>
                <w:kern w:val="0"/>
                <w:szCs w:val="21"/>
              </w:rPr>
              <w:t>白沙社区小塘坞</w:t>
            </w:r>
          </w:p>
        </w:tc>
        <w:tc>
          <w:tcPr>
            <w:tcW w:w="2117" w:type="dxa"/>
            <w:vAlign w:val="center"/>
          </w:tcPr>
          <w:p>
            <w:pPr>
              <w:jc w:val="center"/>
              <w:rPr>
                <w:rFonts w:ascii="仿宋" w:hAnsi="仿宋" w:eastAsia="仿宋" w:cs="仿宋_GB2312"/>
                <w:szCs w:val="21"/>
              </w:rPr>
            </w:pPr>
          </w:p>
        </w:tc>
        <w:tc>
          <w:tcPr>
            <w:tcW w:w="1245" w:type="dxa"/>
            <w:vAlign w:val="center"/>
          </w:tcPr>
          <w:p>
            <w:pPr>
              <w:jc w:val="center"/>
              <w:rPr>
                <w:rFonts w:ascii="仿宋" w:hAnsi="仿宋" w:eastAsia="仿宋" w:cs="仿宋_GB2312"/>
                <w:szCs w:val="21"/>
              </w:rPr>
            </w:pPr>
            <w:r>
              <w:rPr>
                <w:rFonts w:hint="eastAsia" w:ascii="仿宋" w:hAnsi="仿宋" w:eastAsia="仿宋" w:cs="仿宋_GB2312"/>
                <w:kern w:val="0"/>
                <w:szCs w:val="21"/>
              </w:rPr>
              <w:t>2225</w:t>
            </w:r>
          </w:p>
        </w:tc>
        <w:tc>
          <w:tcPr>
            <w:tcW w:w="1245" w:type="dxa"/>
            <w:vAlign w:val="center"/>
          </w:tcPr>
          <w:p>
            <w:pPr>
              <w:jc w:val="center"/>
              <w:rPr>
                <w:rFonts w:ascii="仿宋" w:hAnsi="仿宋" w:eastAsia="仿宋" w:cs="仿宋_GB2312"/>
                <w:szCs w:val="21"/>
              </w:rPr>
            </w:pPr>
            <w:r>
              <w:rPr>
                <w:rFonts w:hint="eastAsia" w:ascii="仿宋" w:hAnsi="仿宋" w:eastAsia="仿宋" w:cs="仿宋_GB2312"/>
                <w:kern w:val="0"/>
                <w:szCs w:val="21"/>
              </w:rPr>
              <w:t>27823</w:t>
            </w:r>
          </w:p>
        </w:tc>
        <w:tc>
          <w:tcPr>
            <w:tcW w:w="1150" w:type="dxa"/>
            <w:vAlign w:val="center"/>
          </w:tcPr>
          <w:p>
            <w:pPr>
              <w:jc w:val="center"/>
              <w:rPr>
                <w:rFonts w:ascii="仿宋" w:hAnsi="仿宋" w:eastAsia="仿宋" w:cs="仿宋_GB2312"/>
                <w:szCs w:val="21"/>
              </w:rPr>
            </w:pPr>
            <w:r>
              <w:rPr>
                <w:rFonts w:hint="eastAsia" w:ascii="仿宋" w:hAnsi="仿宋" w:eastAsia="仿宋" w:cs="仿宋_GB2312"/>
                <w:szCs w:val="21"/>
              </w:rPr>
              <w:t>12000</w:t>
            </w:r>
          </w:p>
        </w:tc>
        <w:tc>
          <w:tcPr>
            <w:tcW w:w="1791" w:type="dxa"/>
            <w:vAlign w:val="center"/>
          </w:tcPr>
          <w:p>
            <w:pPr>
              <w:jc w:val="center"/>
              <w:rPr>
                <w:rFonts w:ascii="仿宋" w:hAnsi="仿宋" w:eastAsia="仿宋" w:cs="仿宋_GB2312"/>
                <w:szCs w:val="21"/>
              </w:rPr>
            </w:pPr>
            <w:r>
              <w:rPr>
                <w:rFonts w:hint="eastAsia" w:ascii="仿宋" w:hAnsi="仿宋" w:eastAsia="仿宋" w:cs="仿宋_GB2312"/>
                <w:kern w:val="0"/>
                <w:szCs w:val="21"/>
              </w:rPr>
              <w:t>2021-2023</w:t>
            </w:r>
          </w:p>
        </w:tc>
        <w:tc>
          <w:tcPr>
            <w:tcW w:w="1592" w:type="dxa"/>
            <w:vAlign w:val="center"/>
          </w:tcPr>
          <w:p>
            <w:pPr>
              <w:jc w:val="center"/>
              <w:rPr>
                <w:rFonts w:ascii="仿宋" w:hAnsi="仿宋" w:eastAsia="仿宋" w:cs="仿宋_GB2312"/>
                <w:kern w:val="0"/>
                <w:szCs w:val="21"/>
              </w:rPr>
            </w:pPr>
            <w:r>
              <w:rPr>
                <w:rFonts w:hint="eastAsia" w:ascii="仿宋" w:hAnsi="仿宋" w:eastAsia="仿宋" w:cs="仿宋_GB2312"/>
                <w:kern w:val="0"/>
                <w:szCs w:val="21"/>
              </w:rPr>
              <w:t>民建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13</w:t>
            </w:r>
          </w:p>
        </w:tc>
        <w:tc>
          <w:tcPr>
            <w:tcW w:w="1071" w:type="dxa"/>
            <w:vMerge w:val="continue"/>
            <w:vAlign w:val="center"/>
          </w:tcPr>
          <w:p>
            <w:pPr>
              <w:jc w:val="center"/>
              <w:rPr>
                <w:rFonts w:ascii="仿宋" w:hAnsi="仿宋" w:eastAsia="仿宋"/>
                <w:szCs w:val="21"/>
              </w:rPr>
            </w:pPr>
          </w:p>
        </w:tc>
        <w:tc>
          <w:tcPr>
            <w:tcW w:w="2423" w:type="dxa"/>
            <w:vAlign w:val="center"/>
          </w:tcPr>
          <w:p>
            <w:pPr>
              <w:jc w:val="center"/>
              <w:rPr>
                <w:rFonts w:ascii="仿宋" w:hAnsi="仿宋" w:eastAsia="仿宋" w:cs="仿宋_GB2312"/>
                <w:szCs w:val="21"/>
              </w:rPr>
            </w:pPr>
            <w:r>
              <w:rPr>
                <w:rFonts w:hint="eastAsia" w:ascii="仿宋" w:hAnsi="仿宋" w:eastAsia="仿宋" w:cs="仿宋_GB2312"/>
                <w:kern w:val="0"/>
                <w:szCs w:val="21"/>
              </w:rPr>
              <w:t>新安江老年休养中心</w:t>
            </w:r>
          </w:p>
        </w:tc>
        <w:tc>
          <w:tcPr>
            <w:tcW w:w="2502" w:type="dxa"/>
            <w:vAlign w:val="center"/>
          </w:tcPr>
          <w:p>
            <w:pPr>
              <w:jc w:val="center"/>
              <w:rPr>
                <w:rFonts w:ascii="仿宋" w:hAnsi="仿宋" w:eastAsia="仿宋" w:cs="仿宋_GB2312"/>
                <w:szCs w:val="21"/>
              </w:rPr>
            </w:pPr>
            <w:r>
              <w:rPr>
                <w:rFonts w:hint="eastAsia" w:ascii="仿宋" w:hAnsi="仿宋" w:eastAsia="仿宋" w:cs="仿宋_GB2312"/>
                <w:kern w:val="0"/>
                <w:szCs w:val="21"/>
              </w:rPr>
              <w:t>新安江街道丰产村</w:t>
            </w:r>
          </w:p>
        </w:tc>
        <w:tc>
          <w:tcPr>
            <w:tcW w:w="2117" w:type="dxa"/>
            <w:vAlign w:val="center"/>
          </w:tcPr>
          <w:p>
            <w:pPr>
              <w:jc w:val="center"/>
              <w:rPr>
                <w:rFonts w:ascii="仿宋" w:hAnsi="仿宋" w:eastAsia="仿宋" w:cs="仿宋_GB2312"/>
                <w:szCs w:val="21"/>
              </w:rPr>
            </w:pPr>
          </w:p>
        </w:tc>
        <w:tc>
          <w:tcPr>
            <w:tcW w:w="1245" w:type="dxa"/>
            <w:vAlign w:val="center"/>
          </w:tcPr>
          <w:p>
            <w:pPr>
              <w:jc w:val="center"/>
              <w:rPr>
                <w:rFonts w:ascii="仿宋" w:hAnsi="仿宋" w:eastAsia="仿宋" w:cs="仿宋_GB2312"/>
                <w:szCs w:val="21"/>
              </w:rPr>
            </w:pPr>
            <w:r>
              <w:rPr>
                <w:rFonts w:hint="eastAsia" w:ascii="仿宋" w:hAnsi="仿宋" w:eastAsia="仿宋" w:cs="仿宋_GB2312"/>
                <w:kern w:val="0"/>
                <w:szCs w:val="21"/>
              </w:rPr>
              <w:t>1144</w:t>
            </w:r>
          </w:p>
        </w:tc>
        <w:tc>
          <w:tcPr>
            <w:tcW w:w="1245" w:type="dxa"/>
            <w:vAlign w:val="center"/>
          </w:tcPr>
          <w:p>
            <w:pPr>
              <w:jc w:val="center"/>
              <w:rPr>
                <w:rFonts w:ascii="仿宋" w:hAnsi="仿宋" w:eastAsia="仿宋" w:cs="仿宋_GB2312"/>
                <w:szCs w:val="21"/>
              </w:rPr>
            </w:pPr>
          </w:p>
        </w:tc>
        <w:tc>
          <w:tcPr>
            <w:tcW w:w="1150" w:type="dxa"/>
            <w:vAlign w:val="center"/>
          </w:tcPr>
          <w:p>
            <w:pPr>
              <w:jc w:val="center"/>
              <w:rPr>
                <w:rFonts w:ascii="仿宋" w:hAnsi="仿宋" w:eastAsia="仿宋" w:cs="仿宋_GB2312"/>
                <w:szCs w:val="21"/>
              </w:rPr>
            </w:pPr>
            <w:r>
              <w:rPr>
                <w:rFonts w:hint="eastAsia" w:ascii="仿宋" w:hAnsi="仿宋" w:eastAsia="仿宋" w:cs="仿宋_GB2312"/>
                <w:szCs w:val="21"/>
              </w:rPr>
              <w:t>3971</w:t>
            </w:r>
          </w:p>
        </w:tc>
        <w:tc>
          <w:tcPr>
            <w:tcW w:w="1791" w:type="dxa"/>
            <w:vAlign w:val="center"/>
          </w:tcPr>
          <w:p>
            <w:pPr>
              <w:jc w:val="center"/>
              <w:rPr>
                <w:rFonts w:ascii="仿宋" w:hAnsi="仿宋" w:eastAsia="仿宋" w:cs="仿宋_GB2312"/>
                <w:szCs w:val="21"/>
              </w:rPr>
            </w:pPr>
            <w:r>
              <w:rPr>
                <w:rFonts w:hint="eastAsia" w:ascii="仿宋" w:hAnsi="仿宋" w:eastAsia="仿宋" w:cs="仿宋_GB2312"/>
                <w:kern w:val="0"/>
                <w:szCs w:val="21"/>
              </w:rPr>
              <w:t>2021-2023</w:t>
            </w:r>
          </w:p>
        </w:tc>
        <w:tc>
          <w:tcPr>
            <w:tcW w:w="1592" w:type="dxa"/>
            <w:vAlign w:val="center"/>
          </w:tcPr>
          <w:p>
            <w:pPr>
              <w:jc w:val="center"/>
              <w:rPr>
                <w:rFonts w:ascii="仿宋" w:hAnsi="仿宋" w:eastAsia="仿宋" w:cs="仿宋_GB2312"/>
                <w:kern w:val="0"/>
                <w:szCs w:val="21"/>
              </w:rPr>
            </w:pPr>
            <w:r>
              <w:rPr>
                <w:rFonts w:hint="eastAsia" w:ascii="仿宋" w:hAnsi="仿宋" w:eastAsia="仿宋" w:cs="仿宋_GB2312"/>
                <w:kern w:val="0"/>
                <w:szCs w:val="21"/>
              </w:rPr>
              <w:t>民建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14</w:t>
            </w:r>
          </w:p>
        </w:tc>
        <w:tc>
          <w:tcPr>
            <w:tcW w:w="1071" w:type="dxa"/>
            <w:vAlign w:val="center"/>
          </w:tcPr>
          <w:p>
            <w:pPr>
              <w:jc w:val="center"/>
              <w:rPr>
                <w:rFonts w:ascii="仿宋" w:hAnsi="仿宋" w:eastAsia="仿宋"/>
                <w:szCs w:val="21"/>
              </w:rPr>
            </w:pPr>
            <w:r>
              <w:rPr>
                <w:rFonts w:hint="eastAsia" w:ascii="仿宋" w:hAnsi="仿宋" w:eastAsia="仿宋"/>
                <w:szCs w:val="21"/>
              </w:rPr>
              <w:t>钱塘新区</w:t>
            </w:r>
          </w:p>
        </w:tc>
        <w:tc>
          <w:tcPr>
            <w:tcW w:w="2423" w:type="dxa"/>
            <w:vAlign w:val="center"/>
          </w:tcPr>
          <w:p>
            <w:pPr>
              <w:jc w:val="center"/>
              <w:rPr>
                <w:rFonts w:ascii="仿宋" w:hAnsi="仿宋" w:eastAsia="仿宋"/>
                <w:szCs w:val="21"/>
              </w:rPr>
            </w:pPr>
            <w:r>
              <w:rPr>
                <w:rFonts w:hint="eastAsia" w:ascii="仿宋" w:hAnsi="仿宋" w:eastAsia="仿宋"/>
                <w:szCs w:val="21"/>
              </w:rPr>
              <w:t>江东和平老年康复中心异地新建项目</w:t>
            </w:r>
          </w:p>
        </w:tc>
        <w:tc>
          <w:tcPr>
            <w:tcW w:w="2502" w:type="dxa"/>
            <w:vAlign w:val="center"/>
          </w:tcPr>
          <w:p>
            <w:pPr>
              <w:jc w:val="center"/>
              <w:rPr>
                <w:rFonts w:ascii="仿宋" w:hAnsi="仿宋" w:eastAsia="仿宋"/>
                <w:szCs w:val="21"/>
              </w:rPr>
            </w:pPr>
            <w:r>
              <w:rPr>
                <w:rFonts w:hint="eastAsia" w:ascii="仿宋" w:hAnsi="仿宋" w:eastAsia="仿宋"/>
                <w:szCs w:val="21"/>
              </w:rPr>
              <w:t>钱塘新区河庄街道北至艮山东路东沿线南侧绿化带，南至萧山区南阳街道</w:t>
            </w:r>
          </w:p>
        </w:tc>
        <w:tc>
          <w:tcPr>
            <w:tcW w:w="2117" w:type="dxa"/>
            <w:vAlign w:val="center"/>
          </w:tcPr>
          <w:p>
            <w:pPr>
              <w:jc w:val="center"/>
              <w:rPr>
                <w:rFonts w:ascii="仿宋" w:hAnsi="仿宋" w:eastAsia="仿宋"/>
                <w:szCs w:val="21"/>
              </w:rPr>
            </w:pPr>
            <w:r>
              <w:rPr>
                <w:rFonts w:hint="eastAsia" w:ascii="仿宋" w:hAnsi="仿宋" w:eastAsia="仿宋"/>
                <w:szCs w:val="21"/>
              </w:rPr>
              <w:t>医养结合养老机构</w:t>
            </w:r>
          </w:p>
        </w:tc>
        <w:tc>
          <w:tcPr>
            <w:tcW w:w="1245" w:type="dxa"/>
            <w:vAlign w:val="center"/>
          </w:tcPr>
          <w:p>
            <w:pPr>
              <w:jc w:val="center"/>
              <w:rPr>
                <w:rFonts w:ascii="仿宋" w:hAnsi="仿宋" w:eastAsia="仿宋"/>
                <w:szCs w:val="21"/>
              </w:rPr>
            </w:pPr>
          </w:p>
        </w:tc>
        <w:tc>
          <w:tcPr>
            <w:tcW w:w="1245" w:type="dxa"/>
            <w:vAlign w:val="center"/>
          </w:tcPr>
          <w:p>
            <w:pPr>
              <w:jc w:val="center"/>
              <w:rPr>
                <w:rFonts w:ascii="仿宋" w:hAnsi="仿宋" w:eastAsia="仿宋"/>
                <w:szCs w:val="21"/>
              </w:rPr>
            </w:pPr>
            <w:r>
              <w:rPr>
                <w:rFonts w:hint="eastAsia" w:ascii="仿宋" w:hAnsi="仿宋" w:eastAsia="仿宋"/>
                <w:szCs w:val="21"/>
              </w:rPr>
              <w:t>75</w:t>
            </w:r>
          </w:p>
        </w:tc>
        <w:tc>
          <w:tcPr>
            <w:tcW w:w="1150" w:type="dxa"/>
            <w:vAlign w:val="center"/>
          </w:tcPr>
          <w:p>
            <w:pPr>
              <w:jc w:val="center"/>
              <w:rPr>
                <w:rFonts w:ascii="仿宋" w:hAnsi="仿宋" w:eastAsia="仿宋"/>
                <w:szCs w:val="21"/>
              </w:rPr>
            </w:pPr>
            <w:r>
              <w:rPr>
                <w:rFonts w:hint="eastAsia" w:ascii="仿宋" w:hAnsi="仿宋" w:eastAsia="仿宋"/>
                <w:szCs w:val="21"/>
              </w:rPr>
              <w:t>50000</w:t>
            </w:r>
          </w:p>
        </w:tc>
        <w:tc>
          <w:tcPr>
            <w:tcW w:w="1791" w:type="dxa"/>
            <w:vAlign w:val="center"/>
          </w:tcPr>
          <w:p>
            <w:pPr>
              <w:jc w:val="center"/>
              <w:rPr>
                <w:rFonts w:ascii="仿宋" w:hAnsi="仿宋" w:eastAsia="仿宋"/>
                <w:szCs w:val="21"/>
              </w:rPr>
            </w:pPr>
            <w:r>
              <w:rPr>
                <w:rFonts w:hint="eastAsia" w:ascii="仿宋" w:hAnsi="仿宋" w:eastAsia="仿宋"/>
                <w:szCs w:val="21"/>
              </w:rPr>
              <w:t>2021-2025</w:t>
            </w:r>
          </w:p>
        </w:tc>
        <w:tc>
          <w:tcPr>
            <w:tcW w:w="1592" w:type="dxa"/>
            <w:vAlign w:val="center"/>
          </w:tcPr>
          <w:p>
            <w:pPr>
              <w:jc w:val="center"/>
              <w:rPr>
                <w:rFonts w:ascii="仿宋" w:hAnsi="仿宋" w:eastAsia="仿宋"/>
                <w:szCs w:val="21"/>
              </w:rPr>
            </w:pPr>
            <w:r>
              <w:rPr>
                <w:rFonts w:hint="eastAsia" w:ascii="仿宋" w:hAnsi="仿宋" w:eastAsia="仿宋"/>
                <w:szCs w:val="21"/>
              </w:rPr>
              <w:t>江东和平老年康复中心（和平医院）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688" w:type="dxa"/>
            <w:gridSpan w:val="10"/>
            <w:shd w:val="clear" w:color="auto" w:fill="D8D8D8" w:themeFill="background1" w:themeFillShade="D9"/>
            <w:vAlign w:val="center"/>
          </w:tcPr>
          <w:p>
            <w:pPr>
              <w:widowControl/>
              <w:jc w:val="center"/>
              <w:textAlignment w:val="center"/>
              <w:rPr>
                <w:rFonts w:ascii="华文细黑" w:hAnsi="华文细黑" w:eastAsia="华文细黑" w:cs="仿宋"/>
                <w:b/>
                <w:kern w:val="0"/>
                <w:szCs w:val="21"/>
              </w:rPr>
            </w:pPr>
            <w:r>
              <w:rPr>
                <w:rFonts w:hint="eastAsia" w:ascii="华文细黑" w:hAnsi="华文细黑" w:eastAsia="华文细黑" w:cs="仿宋"/>
                <w:b/>
                <w:kern w:val="0"/>
                <w:szCs w:val="21"/>
              </w:rPr>
              <w:t>居家养老服务中心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15</w:t>
            </w:r>
          </w:p>
        </w:tc>
        <w:tc>
          <w:tcPr>
            <w:tcW w:w="1071" w:type="dxa"/>
            <w:vAlign w:val="center"/>
          </w:tcPr>
          <w:p>
            <w:pPr>
              <w:jc w:val="center"/>
              <w:rPr>
                <w:rFonts w:ascii="仿宋" w:hAnsi="仿宋" w:eastAsia="仿宋"/>
                <w:szCs w:val="21"/>
              </w:rPr>
            </w:pPr>
            <w:r>
              <w:rPr>
                <w:rFonts w:hint="eastAsia" w:ascii="仿宋" w:hAnsi="仿宋" w:eastAsia="仿宋"/>
                <w:szCs w:val="21"/>
              </w:rPr>
              <w:t>江干区</w:t>
            </w:r>
          </w:p>
        </w:tc>
        <w:tc>
          <w:tcPr>
            <w:tcW w:w="2423" w:type="dxa"/>
            <w:vAlign w:val="center"/>
          </w:tcPr>
          <w:p>
            <w:pPr>
              <w:jc w:val="center"/>
              <w:rPr>
                <w:rFonts w:ascii="仿宋" w:hAnsi="仿宋" w:eastAsia="仿宋"/>
                <w:szCs w:val="21"/>
              </w:rPr>
            </w:pPr>
            <w:r>
              <w:rPr>
                <w:rFonts w:hint="eastAsia" w:ascii="仿宋" w:hAnsi="仿宋" w:eastAsia="仿宋"/>
                <w:szCs w:val="21"/>
              </w:rPr>
              <w:t>绿园弄邻里中心</w:t>
            </w:r>
          </w:p>
        </w:tc>
        <w:tc>
          <w:tcPr>
            <w:tcW w:w="2502" w:type="dxa"/>
            <w:vAlign w:val="center"/>
          </w:tcPr>
          <w:p>
            <w:pPr>
              <w:jc w:val="center"/>
              <w:rPr>
                <w:rFonts w:ascii="仿宋" w:hAnsi="仿宋" w:eastAsia="仿宋"/>
                <w:szCs w:val="21"/>
              </w:rPr>
            </w:pPr>
            <w:r>
              <w:rPr>
                <w:rFonts w:ascii="仿宋" w:hAnsi="仿宋" w:eastAsia="仿宋"/>
                <w:szCs w:val="21"/>
              </w:rPr>
              <w:t>丁兰街道绿园弄</w:t>
            </w:r>
            <w:r>
              <w:rPr>
                <w:rFonts w:hint="eastAsia" w:ascii="仿宋" w:hAnsi="仿宋" w:eastAsia="仿宋"/>
                <w:szCs w:val="21"/>
              </w:rPr>
              <w:t>51号</w:t>
            </w:r>
          </w:p>
        </w:tc>
        <w:tc>
          <w:tcPr>
            <w:tcW w:w="2117" w:type="dxa"/>
            <w:vAlign w:val="center"/>
          </w:tcPr>
          <w:p>
            <w:pPr>
              <w:jc w:val="center"/>
              <w:rPr>
                <w:rFonts w:ascii="仿宋" w:hAnsi="仿宋" w:eastAsia="仿宋"/>
                <w:szCs w:val="21"/>
              </w:rPr>
            </w:pPr>
            <w:r>
              <w:rPr>
                <w:rFonts w:hint="eastAsia" w:ascii="仿宋" w:hAnsi="仿宋" w:eastAsia="仿宋"/>
                <w:szCs w:val="21"/>
              </w:rPr>
              <w:t>一楼：社区食堂、便利超市、健康小屋；三楼：街道级居家养老服务中心；四楼、五楼：嵌入式养老机构。</w:t>
            </w:r>
          </w:p>
        </w:tc>
        <w:tc>
          <w:tcPr>
            <w:tcW w:w="1245" w:type="dxa"/>
            <w:vAlign w:val="center"/>
          </w:tcPr>
          <w:p>
            <w:pPr>
              <w:jc w:val="center"/>
              <w:textAlignment w:val="center"/>
              <w:rPr>
                <w:rFonts w:ascii="仿宋" w:hAnsi="仿宋" w:eastAsia="仿宋"/>
                <w:szCs w:val="21"/>
              </w:rPr>
            </w:pPr>
            <w:r>
              <w:rPr>
                <w:rFonts w:hint="eastAsia" w:ascii="仿宋" w:hAnsi="仿宋" w:eastAsia="仿宋"/>
                <w:szCs w:val="21"/>
              </w:rPr>
              <w:t>5351</w:t>
            </w:r>
          </w:p>
        </w:tc>
        <w:tc>
          <w:tcPr>
            <w:tcW w:w="1245" w:type="dxa"/>
            <w:vAlign w:val="center"/>
          </w:tcPr>
          <w:p>
            <w:pPr>
              <w:jc w:val="center"/>
              <w:rPr>
                <w:rFonts w:ascii="仿宋" w:hAnsi="仿宋" w:eastAsia="仿宋"/>
                <w:szCs w:val="21"/>
              </w:rPr>
            </w:pPr>
            <w:r>
              <w:rPr>
                <w:rFonts w:hint="eastAsia" w:ascii="仿宋" w:hAnsi="仿宋" w:eastAsia="仿宋"/>
                <w:szCs w:val="21"/>
              </w:rPr>
              <w:t>2.85</w:t>
            </w:r>
          </w:p>
        </w:tc>
        <w:tc>
          <w:tcPr>
            <w:tcW w:w="1150" w:type="dxa"/>
            <w:vAlign w:val="center"/>
          </w:tcPr>
          <w:p>
            <w:pPr>
              <w:jc w:val="center"/>
              <w:rPr>
                <w:rFonts w:ascii="仿宋" w:hAnsi="仿宋" w:eastAsia="仿宋"/>
                <w:szCs w:val="21"/>
              </w:rPr>
            </w:pPr>
            <w:r>
              <w:rPr>
                <w:rFonts w:hint="eastAsia" w:ascii="仿宋" w:hAnsi="仿宋" w:eastAsia="仿宋"/>
                <w:szCs w:val="21"/>
              </w:rPr>
              <w:t>1300</w:t>
            </w:r>
          </w:p>
        </w:tc>
        <w:tc>
          <w:tcPr>
            <w:tcW w:w="1791" w:type="dxa"/>
            <w:vAlign w:val="center"/>
          </w:tcPr>
          <w:p>
            <w:pPr>
              <w:jc w:val="center"/>
              <w:rPr>
                <w:rFonts w:ascii="仿宋" w:hAnsi="仿宋" w:eastAsia="仿宋"/>
                <w:szCs w:val="21"/>
              </w:rPr>
            </w:pPr>
            <w:r>
              <w:rPr>
                <w:rFonts w:hint="eastAsia" w:ascii="仿宋" w:hAnsi="仿宋" w:eastAsia="仿宋"/>
                <w:szCs w:val="21"/>
              </w:rPr>
              <w:t>2020-2021</w:t>
            </w:r>
          </w:p>
        </w:tc>
        <w:tc>
          <w:tcPr>
            <w:tcW w:w="1592" w:type="dxa"/>
            <w:vAlign w:val="center"/>
          </w:tcPr>
          <w:p>
            <w:pPr>
              <w:jc w:val="center"/>
              <w:rPr>
                <w:rFonts w:ascii="仿宋" w:hAnsi="仿宋" w:eastAsia="仿宋"/>
                <w:szCs w:val="21"/>
              </w:rPr>
            </w:pPr>
            <w:r>
              <w:rPr>
                <w:rFonts w:hint="eastAsia" w:ascii="仿宋" w:hAnsi="仿宋" w:eastAsia="仿宋"/>
                <w:szCs w:val="21"/>
              </w:rPr>
              <w:t>丁兰街道办事处和杭州绿康医院有限公司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52" w:type="dxa"/>
            <w:vAlign w:val="center"/>
          </w:tcPr>
          <w:p>
            <w:pPr>
              <w:jc w:val="center"/>
              <w:rPr>
                <w:rFonts w:ascii="仿宋" w:hAnsi="仿宋" w:eastAsia="仿宋"/>
                <w:szCs w:val="21"/>
              </w:rPr>
            </w:pPr>
            <w:r>
              <w:rPr>
                <w:rFonts w:ascii="仿宋" w:hAnsi="仿宋" w:eastAsia="仿宋"/>
                <w:szCs w:val="21"/>
              </w:rPr>
              <w:t>16</w:t>
            </w:r>
          </w:p>
        </w:tc>
        <w:tc>
          <w:tcPr>
            <w:tcW w:w="1071" w:type="dxa"/>
            <w:vMerge w:val="restart"/>
            <w:vAlign w:val="center"/>
          </w:tcPr>
          <w:p>
            <w:pPr>
              <w:jc w:val="center"/>
              <w:rPr>
                <w:rFonts w:ascii="仿宋" w:hAnsi="仿宋" w:eastAsia="仿宋"/>
                <w:szCs w:val="21"/>
              </w:rPr>
            </w:pPr>
            <w:r>
              <w:rPr>
                <w:rFonts w:hint="eastAsia" w:ascii="仿宋" w:hAnsi="仿宋" w:eastAsia="仿宋"/>
                <w:szCs w:val="21"/>
              </w:rPr>
              <w:t>拱墅区</w:t>
            </w:r>
          </w:p>
        </w:tc>
        <w:tc>
          <w:tcPr>
            <w:tcW w:w="2423" w:type="dxa"/>
            <w:vAlign w:val="center"/>
          </w:tcPr>
          <w:p>
            <w:pPr>
              <w:jc w:val="center"/>
              <w:rPr>
                <w:rFonts w:ascii="仿宋" w:hAnsi="仿宋" w:eastAsia="仿宋" w:cs="仿宋_GB2312"/>
                <w:szCs w:val="21"/>
              </w:rPr>
            </w:pPr>
            <w:r>
              <w:rPr>
                <w:rFonts w:hint="eastAsia" w:ascii="仿宋" w:hAnsi="仿宋" w:eastAsia="仿宋" w:cs="仿宋_GB2312"/>
                <w:szCs w:val="21"/>
              </w:rPr>
              <w:t>杭钢北苑社区阳光老人家（暂定）</w:t>
            </w:r>
          </w:p>
        </w:tc>
        <w:tc>
          <w:tcPr>
            <w:tcW w:w="2502" w:type="dxa"/>
            <w:vAlign w:val="center"/>
          </w:tcPr>
          <w:p>
            <w:pPr>
              <w:jc w:val="center"/>
              <w:rPr>
                <w:rFonts w:ascii="仿宋" w:hAnsi="仿宋" w:eastAsia="仿宋" w:cs="仿宋_GB2312"/>
                <w:szCs w:val="21"/>
              </w:rPr>
            </w:pPr>
            <w:r>
              <w:rPr>
                <w:rFonts w:hint="eastAsia" w:ascii="仿宋" w:hAnsi="仿宋" w:eastAsia="仿宋" w:cs="仿宋_GB2312"/>
                <w:szCs w:val="21"/>
              </w:rPr>
              <w:t>杭钢北苑76号</w:t>
            </w:r>
          </w:p>
        </w:tc>
        <w:tc>
          <w:tcPr>
            <w:tcW w:w="2117" w:type="dxa"/>
            <w:vAlign w:val="center"/>
          </w:tcPr>
          <w:p>
            <w:pPr>
              <w:jc w:val="center"/>
              <w:rPr>
                <w:rFonts w:ascii="仿宋" w:hAnsi="仿宋" w:eastAsia="仿宋" w:cs="仿宋_GB2312"/>
                <w:szCs w:val="21"/>
              </w:rPr>
            </w:pPr>
            <w:r>
              <w:rPr>
                <w:rFonts w:hint="eastAsia" w:ascii="仿宋" w:hAnsi="仿宋" w:eastAsia="仿宋" w:cs="仿宋_GB2312"/>
                <w:szCs w:val="21"/>
              </w:rPr>
              <w:t>枢纽型的街道老年人医养管理服务中心</w:t>
            </w:r>
          </w:p>
        </w:tc>
        <w:tc>
          <w:tcPr>
            <w:tcW w:w="1245" w:type="dxa"/>
            <w:vAlign w:val="center"/>
          </w:tcPr>
          <w:p>
            <w:pPr>
              <w:jc w:val="center"/>
              <w:rPr>
                <w:rFonts w:ascii="仿宋" w:hAnsi="仿宋" w:eastAsia="仿宋" w:cs="仿宋_GB2312"/>
                <w:szCs w:val="21"/>
              </w:rPr>
            </w:pPr>
            <w:r>
              <w:rPr>
                <w:rFonts w:hint="eastAsia" w:ascii="仿宋" w:hAnsi="仿宋" w:eastAsia="仿宋" w:cs="仿宋_GB2312"/>
                <w:szCs w:val="21"/>
              </w:rPr>
              <w:t>1470</w:t>
            </w:r>
          </w:p>
        </w:tc>
        <w:tc>
          <w:tcPr>
            <w:tcW w:w="1245" w:type="dxa"/>
            <w:vAlign w:val="center"/>
          </w:tcPr>
          <w:p>
            <w:pPr>
              <w:jc w:val="center"/>
              <w:rPr>
                <w:rFonts w:ascii="仿宋" w:hAnsi="仿宋" w:eastAsia="仿宋" w:cs="仿宋_GB2312"/>
                <w:szCs w:val="21"/>
              </w:rPr>
            </w:pPr>
            <w:r>
              <w:rPr>
                <w:rFonts w:hint="eastAsia" w:ascii="仿宋" w:hAnsi="仿宋" w:eastAsia="仿宋" w:cs="仿宋_GB2312"/>
                <w:szCs w:val="21"/>
              </w:rPr>
              <w:t>1.55</w:t>
            </w:r>
          </w:p>
        </w:tc>
        <w:tc>
          <w:tcPr>
            <w:tcW w:w="1150" w:type="dxa"/>
            <w:vAlign w:val="center"/>
          </w:tcPr>
          <w:p>
            <w:pPr>
              <w:jc w:val="center"/>
              <w:rPr>
                <w:rFonts w:ascii="仿宋" w:hAnsi="仿宋" w:eastAsia="仿宋" w:cs="仿宋_GB2312"/>
                <w:szCs w:val="21"/>
              </w:rPr>
            </w:pPr>
            <w:r>
              <w:rPr>
                <w:rFonts w:hint="eastAsia" w:ascii="仿宋" w:hAnsi="仿宋" w:eastAsia="仿宋" w:cs="仿宋_GB2312"/>
                <w:szCs w:val="21"/>
              </w:rPr>
              <w:t>500</w:t>
            </w:r>
          </w:p>
        </w:tc>
        <w:tc>
          <w:tcPr>
            <w:tcW w:w="1791" w:type="dxa"/>
            <w:vAlign w:val="center"/>
          </w:tcPr>
          <w:p>
            <w:pPr>
              <w:jc w:val="center"/>
              <w:rPr>
                <w:rFonts w:ascii="仿宋" w:hAnsi="仿宋" w:eastAsia="仿宋" w:cs="仿宋_GB2312"/>
                <w:szCs w:val="21"/>
              </w:rPr>
            </w:pPr>
            <w:r>
              <w:rPr>
                <w:rFonts w:hint="eastAsia" w:ascii="仿宋" w:hAnsi="仿宋" w:eastAsia="仿宋" w:cs="仿宋_GB2312"/>
                <w:szCs w:val="21"/>
              </w:rPr>
              <w:t>2021．12</w:t>
            </w:r>
          </w:p>
        </w:tc>
        <w:tc>
          <w:tcPr>
            <w:tcW w:w="1592" w:type="dxa"/>
            <w:vAlign w:val="center"/>
          </w:tcPr>
          <w:p>
            <w:pPr>
              <w:jc w:val="center"/>
              <w:rPr>
                <w:rFonts w:ascii="仿宋" w:hAnsi="仿宋" w:eastAsia="仿宋" w:cs="仿宋_GB2312"/>
                <w:szCs w:val="21"/>
              </w:rPr>
            </w:pPr>
            <w:r>
              <w:rPr>
                <w:rFonts w:hint="eastAsia" w:ascii="仿宋" w:hAnsi="仿宋" w:eastAsia="仿宋" w:cs="仿宋_GB2312"/>
                <w:szCs w:val="21"/>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52" w:type="dxa"/>
            <w:vAlign w:val="center"/>
          </w:tcPr>
          <w:p>
            <w:pPr>
              <w:jc w:val="center"/>
              <w:rPr>
                <w:rFonts w:ascii="仿宋" w:hAnsi="仿宋" w:eastAsia="仿宋"/>
                <w:szCs w:val="21"/>
              </w:rPr>
            </w:pPr>
            <w:r>
              <w:rPr>
                <w:rFonts w:ascii="仿宋" w:hAnsi="仿宋" w:eastAsia="仿宋"/>
                <w:szCs w:val="21"/>
              </w:rPr>
              <w:t>17</w:t>
            </w:r>
          </w:p>
        </w:tc>
        <w:tc>
          <w:tcPr>
            <w:tcW w:w="1071" w:type="dxa"/>
            <w:vMerge w:val="continue"/>
            <w:vAlign w:val="center"/>
          </w:tcPr>
          <w:p>
            <w:pPr>
              <w:jc w:val="center"/>
              <w:rPr>
                <w:rFonts w:ascii="仿宋" w:hAnsi="仿宋" w:eastAsia="仿宋"/>
                <w:szCs w:val="21"/>
              </w:rPr>
            </w:pPr>
          </w:p>
        </w:tc>
        <w:tc>
          <w:tcPr>
            <w:tcW w:w="2423" w:type="dxa"/>
            <w:vAlign w:val="center"/>
          </w:tcPr>
          <w:p>
            <w:pPr>
              <w:jc w:val="center"/>
              <w:rPr>
                <w:rFonts w:ascii="仿宋" w:hAnsi="仿宋" w:eastAsia="仿宋" w:cs="仿宋_GB2312"/>
                <w:szCs w:val="21"/>
              </w:rPr>
            </w:pPr>
            <w:r>
              <w:rPr>
                <w:rFonts w:hint="eastAsia" w:ascii="仿宋" w:hAnsi="仿宋" w:eastAsia="仿宋" w:cs="仿宋_GB2312"/>
                <w:szCs w:val="21"/>
              </w:rPr>
              <w:t>康桥街道永和社区阳光老人家</w:t>
            </w:r>
          </w:p>
        </w:tc>
        <w:tc>
          <w:tcPr>
            <w:tcW w:w="2502" w:type="dxa"/>
            <w:vAlign w:val="center"/>
          </w:tcPr>
          <w:p>
            <w:pPr>
              <w:jc w:val="center"/>
              <w:rPr>
                <w:rFonts w:ascii="仿宋" w:hAnsi="仿宋" w:eastAsia="仿宋" w:cs="仿宋_GB2312"/>
                <w:szCs w:val="21"/>
              </w:rPr>
            </w:pPr>
            <w:r>
              <w:rPr>
                <w:rFonts w:hint="eastAsia" w:ascii="仿宋" w:hAnsi="仿宋" w:eastAsia="仿宋" w:cs="仿宋_GB2312"/>
                <w:szCs w:val="21"/>
              </w:rPr>
              <w:t>康桥街道康桥人家1幢北侧社区用房</w:t>
            </w:r>
          </w:p>
        </w:tc>
        <w:tc>
          <w:tcPr>
            <w:tcW w:w="2117" w:type="dxa"/>
            <w:vAlign w:val="center"/>
          </w:tcPr>
          <w:p>
            <w:pPr>
              <w:jc w:val="center"/>
              <w:rPr>
                <w:rFonts w:ascii="仿宋" w:hAnsi="仿宋" w:eastAsia="仿宋" w:cs="仿宋_GB2312"/>
                <w:szCs w:val="21"/>
              </w:rPr>
            </w:pPr>
            <w:r>
              <w:rPr>
                <w:rFonts w:hint="eastAsia" w:ascii="仿宋" w:hAnsi="仿宋" w:eastAsia="仿宋" w:cs="仿宋_GB2312"/>
                <w:szCs w:val="21"/>
              </w:rPr>
              <w:t>社区居家养老综合体</w:t>
            </w:r>
          </w:p>
        </w:tc>
        <w:tc>
          <w:tcPr>
            <w:tcW w:w="1245" w:type="dxa"/>
            <w:vAlign w:val="center"/>
          </w:tcPr>
          <w:p>
            <w:pPr>
              <w:jc w:val="center"/>
              <w:rPr>
                <w:rFonts w:ascii="仿宋" w:hAnsi="仿宋" w:eastAsia="仿宋" w:cs="仿宋_GB2312"/>
                <w:szCs w:val="21"/>
              </w:rPr>
            </w:pPr>
            <w:r>
              <w:rPr>
                <w:rFonts w:hint="eastAsia" w:ascii="仿宋" w:hAnsi="仿宋" w:eastAsia="仿宋" w:cs="仿宋_GB2312"/>
                <w:szCs w:val="21"/>
              </w:rPr>
              <w:t>345</w:t>
            </w:r>
          </w:p>
        </w:tc>
        <w:tc>
          <w:tcPr>
            <w:tcW w:w="1245" w:type="dxa"/>
            <w:vAlign w:val="center"/>
          </w:tcPr>
          <w:p>
            <w:pPr>
              <w:jc w:val="center"/>
              <w:rPr>
                <w:rFonts w:ascii="仿宋" w:hAnsi="仿宋" w:eastAsia="仿宋" w:cs="仿宋_GB2312"/>
                <w:szCs w:val="21"/>
              </w:rPr>
            </w:pPr>
          </w:p>
        </w:tc>
        <w:tc>
          <w:tcPr>
            <w:tcW w:w="1150" w:type="dxa"/>
            <w:vAlign w:val="center"/>
          </w:tcPr>
          <w:p>
            <w:pPr>
              <w:jc w:val="center"/>
              <w:rPr>
                <w:rFonts w:ascii="仿宋" w:hAnsi="仿宋" w:eastAsia="仿宋" w:cs="仿宋_GB2312"/>
                <w:szCs w:val="21"/>
              </w:rPr>
            </w:pPr>
            <w:r>
              <w:rPr>
                <w:rFonts w:hint="eastAsia" w:ascii="仿宋" w:hAnsi="仿宋" w:eastAsia="仿宋" w:cs="仿宋_GB2312"/>
                <w:szCs w:val="21"/>
                <w:highlight w:val="yellow"/>
              </w:rPr>
              <w:t>10.5</w:t>
            </w:r>
          </w:p>
        </w:tc>
        <w:tc>
          <w:tcPr>
            <w:tcW w:w="1791" w:type="dxa"/>
            <w:vAlign w:val="center"/>
          </w:tcPr>
          <w:p>
            <w:pPr>
              <w:jc w:val="center"/>
              <w:rPr>
                <w:rFonts w:ascii="仿宋" w:hAnsi="仿宋" w:eastAsia="仿宋" w:cs="仿宋_GB2312"/>
                <w:szCs w:val="21"/>
              </w:rPr>
            </w:pPr>
            <w:r>
              <w:rPr>
                <w:rFonts w:hint="eastAsia" w:ascii="仿宋" w:hAnsi="仿宋" w:eastAsia="仿宋" w:cs="仿宋_GB2312"/>
                <w:szCs w:val="21"/>
              </w:rPr>
              <w:t>2021-2021</w:t>
            </w:r>
          </w:p>
        </w:tc>
        <w:tc>
          <w:tcPr>
            <w:tcW w:w="1592" w:type="dxa"/>
            <w:vAlign w:val="center"/>
          </w:tcPr>
          <w:p>
            <w:pPr>
              <w:jc w:val="center"/>
              <w:rPr>
                <w:rFonts w:ascii="仿宋" w:hAnsi="仿宋" w:eastAsia="仿宋" w:cs="仿宋_GB2312"/>
                <w:szCs w:val="21"/>
              </w:rPr>
            </w:pPr>
            <w:r>
              <w:rPr>
                <w:rFonts w:hint="eastAsia" w:ascii="仿宋" w:hAnsi="仿宋" w:eastAsia="仿宋" w:cs="仿宋_GB2312"/>
                <w:szCs w:val="21"/>
              </w:rPr>
              <w:t>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52" w:type="dxa"/>
            <w:vAlign w:val="center"/>
          </w:tcPr>
          <w:p>
            <w:pPr>
              <w:jc w:val="center"/>
              <w:rPr>
                <w:rFonts w:ascii="仿宋" w:hAnsi="仿宋" w:eastAsia="仿宋"/>
                <w:szCs w:val="21"/>
              </w:rPr>
            </w:pPr>
            <w:r>
              <w:rPr>
                <w:rFonts w:ascii="仿宋" w:hAnsi="仿宋" w:eastAsia="仿宋"/>
                <w:szCs w:val="21"/>
              </w:rPr>
              <w:t>18</w:t>
            </w:r>
          </w:p>
        </w:tc>
        <w:tc>
          <w:tcPr>
            <w:tcW w:w="1071" w:type="dxa"/>
            <w:vMerge w:val="continue"/>
            <w:vAlign w:val="center"/>
          </w:tcPr>
          <w:p>
            <w:pPr>
              <w:jc w:val="center"/>
              <w:rPr>
                <w:rFonts w:ascii="仿宋" w:hAnsi="仿宋" w:eastAsia="仿宋"/>
                <w:szCs w:val="21"/>
              </w:rPr>
            </w:pPr>
          </w:p>
        </w:tc>
        <w:tc>
          <w:tcPr>
            <w:tcW w:w="2423" w:type="dxa"/>
            <w:vAlign w:val="center"/>
          </w:tcPr>
          <w:p>
            <w:pPr>
              <w:jc w:val="center"/>
              <w:rPr>
                <w:rFonts w:ascii="仿宋" w:hAnsi="仿宋" w:eastAsia="仿宋" w:cs="仿宋_GB2312"/>
                <w:szCs w:val="21"/>
              </w:rPr>
            </w:pPr>
            <w:r>
              <w:rPr>
                <w:rFonts w:hint="eastAsia" w:ascii="仿宋" w:hAnsi="仿宋" w:eastAsia="仿宋" w:cs="仿宋_GB2312"/>
                <w:szCs w:val="21"/>
              </w:rPr>
              <w:t>招商观颐阳光老人家</w:t>
            </w:r>
          </w:p>
        </w:tc>
        <w:tc>
          <w:tcPr>
            <w:tcW w:w="2502" w:type="dxa"/>
            <w:vAlign w:val="center"/>
          </w:tcPr>
          <w:p>
            <w:pPr>
              <w:jc w:val="center"/>
              <w:rPr>
                <w:rFonts w:ascii="仿宋" w:hAnsi="仿宋" w:eastAsia="仿宋" w:cs="仿宋_GB2312"/>
                <w:szCs w:val="21"/>
              </w:rPr>
            </w:pPr>
            <w:r>
              <w:rPr>
                <w:rFonts w:hint="eastAsia" w:ascii="仿宋" w:hAnsi="仿宋" w:eastAsia="仿宋" w:cs="仿宋_GB2312"/>
                <w:szCs w:val="21"/>
              </w:rPr>
              <w:t>同协路1709号</w:t>
            </w:r>
          </w:p>
        </w:tc>
        <w:tc>
          <w:tcPr>
            <w:tcW w:w="2117" w:type="dxa"/>
            <w:vAlign w:val="center"/>
          </w:tcPr>
          <w:p>
            <w:pPr>
              <w:jc w:val="center"/>
              <w:rPr>
                <w:rFonts w:ascii="仿宋" w:hAnsi="仿宋" w:eastAsia="仿宋" w:cs="仿宋_GB2312"/>
                <w:szCs w:val="21"/>
              </w:rPr>
            </w:pPr>
            <w:r>
              <w:rPr>
                <w:rFonts w:hint="eastAsia" w:ascii="仿宋" w:hAnsi="仿宋" w:eastAsia="仿宋" w:cs="仿宋_GB2312"/>
                <w:szCs w:val="21"/>
              </w:rPr>
              <w:t>社区居家养老综合体</w:t>
            </w:r>
          </w:p>
        </w:tc>
        <w:tc>
          <w:tcPr>
            <w:tcW w:w="1245" w:type="dxa"/>
            <w:vAlign w:val="center"/>
          </w:tcPr>
          <w:p>
            <w:pPr>
              <w:jc w:val="center"/>
              <w:rPr>
                <w:rFonts w:ascii="仿宋" w:hAnsi="仿宋" w:eastAsia="仿宋" w:cs="仿宋_GB2312"/>
                <w:szCs w:val="21"/>
              </w:rPr>
            </w:pPr>
            <w:r>
              <w:rPr>
                <w:rFonts w:hint="eastAsia" w:ascii="仿宋" w:hAnsi="仿宋" w:eastAsia="仿宋" w:cs="仿宋_GB2312"/>
                <w:szCs w:val="21"/>
              </w:rPr>
              <w:t>2500</w:t>
            </w:r>
          </w:p>
        </w:tc>
        <w:tc>
          <w:tcPr>
            <w:tcW w:w="1245" w:type="dxa"/>
            <w:vAlign w:val="center"/>
          </w:tcPr>
          <w:p>
            <w:pPr>
              <w:jc w:val="center"/>
              <w:rPr>
                <w:rFonts w:ascii="仿宋" w:hAnsi="仿宋" w:eastAsia="仿宋" w:cs="仿宋_GB2312"/>
                <w:szCs w:val="21"/>
              </w:rPr>
            </w:pPr>
            <w:r>
              <w:rPr>
                <w:rFonts w:hint="eastAsia" w:ascii="仿宋" w:hAnsi="仿宋" w:eastAsia="仿宋" w:cs="仿宋_GB2312"/>
                <w:szCs w:val="21"/>
              </w:rPr>
              <w:t>1.2</w:t>
            </w:r>
          </w:p>
        </w:tc>
        <w:tc>
          <w:tcPr>
            <w:tcW w:w="1150" w:type="dxa"/>
            <w:vAlign w:val="center"/>
          </w:tcPr>
          <w:p>
            <w:pPr>
              <w:jc w:val="center"/>
              <w:rPr>
                <w:rFonts w:ascii="仿宋" w:hAnsi="仿宋" w:eastAsia="仿宋" w:cs="仿宋_GB2312"/>
                <w:szCs w:val="21"/>
              </w:rPr>
            </w:pPr>
            <w:r>
              <w:rPr>
                <w:rFonts w:hint="eastAsia" w:ascii="仿宋" w:hAnsi="仿宋" w:eastAsia="仿宋" w:cs="仿宋_GB2312"/>
                <w:szCs w:val="21"/>
              </w:rPr>
              <w:t>3500</w:t>
            </w:r>
          </w:p>
        </w:tc>
        <w:tc>
          <w:tcPr>
            <w:tcW w:w="1791" w:type="dxa"/>
            <w:vAlign w:val="center"/>
          </w:tcPr>
          <w:p>
            <w:pPr>
              <w:jc w:val="center"/>
              <w:rPr>
                <w:rFonts w:ascii="仿宋" w:hAnsi="仿宋" w:eastAsia="仿宋" w:cs="仿宋_GB2312"/>
                <w:szCs w:val="21"/>
              </w:rPr>
            </w:pPr>
            <w:r>
              <w:rPr>
                <w:rFonts w:hint="eastAsia" w:ascii="仿宋" w:hAnsi="仿宋" w:eastAsia="仿宋" w:cs="仿宋_GB2312"/>
                <w:szCs w:val="21"/>
              </w:rPr>
              <w:t>2021.6</w:t>
            </w:r>
          </w:p>
        </w:tc>
        <w:tc>
          <w:tcPr>
            <w:tcW w:w="1592" w:type="dxa"/>
            <w:vAlign w:val="center"/>
          </w:tcPr>
          <w:p>
            <w:pPr>
              <w:jc w:val="center"/>
              <w:rPr>
                <w:rFonts w:ascii="仿宋" w:hAnsi="仿宋" w:eastAsia="仿宋" w:cs="仿宋_GB2312"/>
                <w:szCs w:val="21"/>
              </w:rPr>
            </w:pPr>
            <w:r>
              <w:rPr>
                <w:rFonts w:hint="eastAsia" w:ascii="仿宋" w:hAnsi="仿宋" w:eastAsia="仿宋" w:cs="仿宋_GB2312"/>
                <w:szCs w:val="21"/>
              </w:rPr>
              <w:t>招商蛇口</w:t>
            </w:r>
          </w:p>
          <w:p>
            <w:pPr>
              <w:jc w:val="center"/>
              <w:rPr>
                <w:rFonts w:ascii="仿宋" w:hAnsi="仿宋" w:eastAsia="仿宋" w:cs="仿宋_GB2312"/>
                <w:szCs w:val="21"/>
              </w:rPr>
            </w:pPr>
            <w:r>
              <w:rPr>
                <w:rFonts w:hint="eastAsia" w:ascii="仿宋" w:hAnsi="仿宋" w:eastAsia="仿宋" w:cs="仿宋_GB2312"/>
                <w:szCs w:val="21"/>
              </w:rPr>
              <w:t>杭州公司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52" w:type="dxa"/>
            <w:vAlign w:val="center"/>
          </w:tcPr>
          <w:p>
            <w:pPr>
              <w:jc w:val="center"/>
              <w:rPr>
                <w:rFonts w:ascii="仿宋" w:hAnsi="仿宋" w:eastAsia="仿宋"/>
                <w:szCs w:val="21"/>
              </w:rPr>
            </w:pPr>
            <w:r>
              <w:rPr>
                <w:rFonts w:ascii="仿宋" w:hAnsi="仿宋" w:eastAsia="仿宋"/>
                <w:szCs w:val="21"/>
              </w:rPr>
              <w:t>19</w:t>
            </w:r>
          </w:p>
        </w:tc>
        <w:tc>
          <w:tcPr>
            <w:tcW w:w="1071" w:type="dxa"/>
            <w:vAlign w:val="center"/>
          </w:tcPr>
          <w:p>
            <w:pPr>
              <w:jc w:val="center"/>
              <w:rPr>
                <w:rFonts w:ascii="仿宋" w:hAnsi="仿宋" w:eastAsia="仿宋"/>
                <w:szCs w:val="21"/>
              </w:rPr>
            </w:pPr>
            <w:r>
              <w:rPr>
                <w:rFonts w:hint="eastAsia" w:ascii="仿宋" w:hAnsi="仿宋" w:eastAsia="仿宋"/>
                <w:szCs w:val="21"/>
              </w:rPr>
              <w:t>西湖区</w:t>
            </w:r>
          </w:p>
        </w:tc>
        <w:tc>
          <w:tcPr>
            <w:tcW w:w="2423" w:type="dxa"/>
            <w:vAlign w:val="center"/>
          </w:tcPr>
          <w:p>
            <w:pPr>
              <w:jc w:val="center"/>
              <w:rPr>
                <w:rFonts w:ascii="仿宋" w:hAnsi="仿宋" w:eastAsia="仿宋"/>
                <w:szCs w:val="21"/>
              </w:rPr>
            </w:pPr>
            <w:r>
              <w:rPr>
                <w:rFonts w:hint="eastAsia" w:ascii="仿宋" w:hAnsi="仿宋" w:eastAsia="仿宋"/>
                <w:szCs w:val="21"/>
              </w:rPr>
              <w:t>幸福西湖民生综合体</w:t>
            </w:r>
          </w:p>
        </w:tc>
        <w:tc>
          <w:tcPr>
            <w:tcW w:w="2502" w:type="dxa"/>
            <w:vAlign w:val="center"/>
          </w:tcPr>
          <w:p>
            <w:pPr>
              <w:jc w:val="center"/>
              <w:rPr>
                <w:rFonts w:ascii="仿宋" w:hAnsi="仿宋" w:eastAsia="仿宋"/>
                <w:szCs w:val="21"/>
              </w:rPr>
            </w:pPr>
            <w:r>
              <w:rPr>
                <w:rFonts w:hint="eastAsia" w:ascii="仿宋" w:hAnsi="仿宋" w:eastAsia="仿宋"/>
                <w:szCs w:val="21"/>
              </w:rPr>
              <w:t>嘉禾花苑18幢</w:t>
            </w:r>
          </w:p>
        </w:tc>
        <w:tc>
          <w:tcPr>
            <w:tcW w:w="2117" w:type="dxa"/>
            <w:vAlign w:val="center"/>
          </w:tcPr>
          <w:p>
            <w:pPr>
              <w:jc w:val="center"/>
              <w:rPr>
                <w:rFonts w:ascii="仿宋" w:hAnsi="仿宋" w:eastAsia="仿宋"/>
                <w:szCs w:val="21"/>
              </w:rPr>
            </w:pPr>
            <w:r>
              <w:rPr>
                <w:rFonts w:hint="eastAsia" w:ascii="仿宋" w:hAnsi="仿宋" w:eastAsia="仿宋"/>
                <w:szCs w:val="21"/>
              </w:rPr>
              <w:t>居家养老综合体</w:t>
            </w:r>
          </w:p>
        </w:tc>
        <w:tc>
          <w:tcPr>
            <w:tcW w:w="1245" w:type="dxa"/>
            <w:vAlign w:val="center"/>
          </w:tcPr>
          <w:p>
            <w:pPr>
              <w:jc w:val="center"/>
              <w:rPr>
                <w:rFonts w:ascii="仿宋" w:hAnsi="仿宋" w:eastAsia="仿宋"/>
                <w:szCs w:val="21"/>
              </w:rPr>
            </w:pPr>
            <w:r>
              <w:rPr>
                <w:rFonts w:hint="eastAsia" w:ascii="仿宋" w:hAnsi="仿宋" w:eastAsia="仿宋"/>
                <w:szCs w:val="21"/>
              </w:rPr>
              <w:t>3000</w:t>
            </w:r>
          </w:p>
        </w:tc>
        <w:tc>
          <w:tcPr>
            <w:tcW w:w="1245" w:type="dxa"/>
            <w:vAlign w:val="center"/>
          </w:tcPr>
          <w:p>
            <w:pPr>
              <w:jc w:val="center"/>
              <w:rPr>
                <w:rFonts w:ascii="仿宋" w:hAnsi="仿宋" w:eastAsia="仿宋"/>
                <w:szCs w:val="21"/>
              </w:rPr>
            </w:pPr>
          </w:p>
        </w:tc>
        <w:tc>
          <w:tcPr>
            <w:tcW w:w="1150" w:type="dxa"/>
            <w:vAlign w:val="center"/>
          </w:tcPr>
          <w:p>
            <w:pPr>
              <w:jc w:val="center"/>
              <w:rPr>
                <w:rFonts w:ascii="仿宋" w:hAnsi="仿宋" w:eastAsia="仿宋"/>
                <w:szCs w:val="21"/>
              </w:rPr>
            </w:pPr>
            <w:r>
              <w:rPr>
                <w:rFonts w:hint="eastAsia" w:ascii="仿宋" w:hAnsi="仿宋" w:eastAsia="仿宋"/>
                <w:szCs w:val="21"/>
              </w:rPr>
              <w:t>1000</w:t>
            </w:r>
          </w:p>
        </w:tc>
        <w:tc>
          <w:tcPr>
            <w:tcW w:w="1791" w:type="dxa"/>
            <w:vAlign w:val="center"/>
          </w:tcPr>
          <w:p>
            <w:pPr>
              <w:jc w:val="center"/>
              <w:rPr>
                <w:rFonts w:ascii="仿宋" w:hAnsi="仿宋" w:eastAsia="仿宋"/>
                <w:szCs w:val="21"/>
              </w:rPr>
            </w:pPr>
            <w:r>
              <w:rPr>
                <w:rFonts w:hint="eastAsia" w:ascii="仿宋" w:hAnsi="仿宋" w:eastAsia="仿宋"/>
                <w:szCs w:val="21"/>
              </w:rPr>
              <w:t>2020.3—2021.10</w:t>
            </w:r>
          </w:p>
        </w:tc>
        <w:tc>
          <w:tcPr>
            <w:tcW w:w="1592" w:type="dxa"/>
            <w:vAlign w:val="center"/>
          </w:tcPr>
          <w:p>
            <w:pPr>
              <w:jc w:val="center"/>
              <w:rPr>
                <w:rFonts w:ascii="仿宋" w:hAnsi="仿宋" w:eastAsia="仿宋"/>
                <w:szCs w:val="21"/>
              </w:rPr>
            </w:pPr>
            <w:r>
              <w:rPr>
                <w:rFonts w:hint="eastAsia" w:ascii="仿宋" w:hAnsi="仿宋" w:eastAsia="仿宋"/>
                <w:szCs w:val="21"/>
              </w:rPr>
              <w:t>西湖区古荡街道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52" w:type="dxa"/>
            <w:vAlign w:val="center"/>
          </w:tcPr>
          <w:p>
            <w:pPr>
              <w:jc w:val="center"/>
              <w:rPr>
                <w:rFonts w:ascii="仿宋" w:hAnsi="仿宋" w:eastAsia="仿宋"/>
                <w:szCs w:val="21"/>
              </w:rPr>
            </w:pPr>
            <w:r>
              <w:rPr>
                <w:rFonts w:ascii="仿宋" w:hAnsi="仿宋" w:eastAsia="仿宋"/>
                <w:szCs w:val="21"/>
              </w:rPr>
              <w:t>20</w:t>
            </w:r>
          </w:p>
        </w:tc>
        <w:tc>
          <w:tcPr>
            <w:tcW w:w="1071" w:type="dxa"/>
            <w:vAlign w:val="center"/>
          </w:tcPr>
          <w:p>
            <w:pPr>
              <w:jc w:val="center"/>
              <w:rPr>
                <w:rFonts w:ascii="仿宋" w:hAnsi="仿宋" w:eastAsia="仿宋"/>
                <w:szCs w:val="21"/>
              </w:rPr>
            </w:pPr>
            <w:r>
              <w:rPr>
                <w:rFonts w:hint="eastAsia" w:ascii="仿宋" w:hAnsi="仿宋" w:eastAsia="仿宋"/>
                <w:szCs w:val="21"/>
              </w:rPr>
              <w:t>余杭区</w:t>
            </w:r>
          </w:p>
        </w:tc>
        <w:tc>
          <w:tcPr>
            <w:tcW w:w="2423" w:type="dxa"/>
            <w:vAlign w:val="center"/>
          </w:tcPr>
          <w:p>
            <w:pPr>
              <w:jc w:val="center"/>
              <w:rPr>
                <w:rFonts w:ascii="仿宋" w:hAnsi="仿宋" w:eastAsia="仿宋"/>
                <w:szCs w:val="21"/>
              </w:rPr>
            </w:pPr>
            <w:r>
              <w:rPr>
                <w:rFonts w:hint="eastAsia" w:ascii="仿宋" w:hAnsi="仿宋" w:eastAsia="仿宋"/>
                <w:szCs w:val="21"/>
              </w:rPr>
              <w:t>东湖街道居家养老服务中心</w:t>
            </w:r>
          </w:p>
        </w:tc>
        <w:tc>
          <w:tcPr>
            <w:tcW w:w="2502" w:type="dxa"/>
            <w:vAlign w:val="center"/>
          </w:tcPr>
          <w:p>
            <w:pPr>
              <w:jc w:val="center"/>
              <w:rPr>
                <w:rFonts w:ascii="仿宋" w:hAnsi="仿宋" w:eastAsia="仿宋"/>
                <w:szCs w:val="21"/>
              </w:rPr>
            </w:pPr>
            <w:r>
              <w:rPr>
                <w:rFonts w:hint="eastAsia" w:ascii="仿宋" w:hAnsi="仿宋" w:eastAsia="仿宋"/>
                <w:szCs w:val="21"/>
              </w:rPr>
              <w:t>振兴东路（原东湖派出所）</w:t>
            </w:r>
          </w:p>
        </w:tc>
        <w:tc>
          <w:tcPr>
            <w:tcW w:w="2117" w:type="dxa"/>
            <w:vAlign w:val="center"/>
          </w:tcPr>
          <w:p>
            <w:pPr>
              <w:jc w:val="center"/>
              <w:rPr>
                <w:rFonts w:ascii="仿宋" w:hAnsi="仿宋" w:eastAsia="仿宋"/>
                <w:szCs w:val="21"/>
              </w:rPr>
            </w:pPr>
            <w:r>
              <w:rPr>
                <w:rFonts w:hint="eastAsia" w:ascii="仿宋" w:hAnsi="仿宋" w:eastAsia="仿宋"/>
                <w:szCs w:val="21"/>
              </w:rPr>
              <w:t>街道级居家养老服务中心</w:t>
            </w:r>
          </w:p>
        </w:tc>
        <w:tc>
          <w:tcPr>
            <w:tcW w:w="1245" w:type="dxa"/>
            <w:vAlign w:val="center"/>
          </w:tcPr>
          <w:p>
            <w:pPr>
              <w:jc w:val="center"/>
              <w:rPr>
                <w:rFonts w:ascii="仿宋" w:hAnsi="仿宋" w:eastAsia="仿宋"/>
                <w:szCs w:val="21"/>
              </w:rPr>
            </w:pPr>
            <w:r>
              <w:rPr>
                <w:rFonts w:hint="eastAsia" w:ascii="仿宋" w:hAnsi="仿宋" w:eastAsia="仿宋"/>
                <w:szCs w:val="21"/>
              </w:rPr>
              <w:t>2000</w:t>
            </w:r>
          </w:p>
        </w:tc>
        <w:tc>
          <w:tcPr>
            <w:tcW w:w="1245" w:type="dxa"/>
            <w:vAlign w:val="center"/>
          </w:tcPr>
          <w:p>
            <w:pPr>
              <w:jc w:val="center"/>
              <w:rPr>
                <w:rFonts w:ascii="仿宋" w:hAnsi="仿宋" w:eastAsia="仿宋"/>
                <w:szCs w:val="21"/>
              </w:rPr>
            </w:pPr>
          </w:p>
        </w:tc>
        <w:tc>
          <w:tcPr>
            <w:tcW w:w="1150" w:type="dxa"/>
            <w:vAlign w:val="center"/>
          </w:tcPr>
          <w:p>
            <w:pPr>
              <w:jc w:val="center"/>
              <w:rPr>
                <w:rFonts w:ascii="仿宋" w:hAnsi="仿宋" w:eastAsia="仿宋"/>
                <w:szCs w:val="21"/>
              </w:rPr>
            </w:pPr>
            <w:r>
              <w:rPr>
                <w:rFonts w:hint="eastAsia" w:ascii="仿宋" w:hAnsi="仿宋" w:eastAsia="仿宋"/>
                <w:szCs w:val="21"/>
              </w:rPr>
              <w:t>600</w:t>
            </w:r>
          </w:p>
        </w:tc>
        <w:tc>
          <w:tcPr>
            <w:tcW w:w="1791" w:type="dxa"/>
            <w:vAlign w:val="center"/>
          </w:tcPr>
          <w:p>
            <w:pPr>
              <w:jc w:val="center"/>
              <w:rPr>
                <w:rFonts w:ascii="仿宋" w:hAnsi="仿宋" w:eastAsia="仿宋"/>
                <w:szCs w:val="21"/>
              </w:rPr>
            </w:pPr>
            <w:r>
              <w:rPr>
                <w:rFonts w:hint="eastAsia" w:ascii="仿宋" w:hAnsi="仿宋" w:eastAsia="仿宋"/>
                <w:szCs w:val="21"/>
              </w:rPr>
              <w:t>2020.10-2021.6</w:t>
            </w:r>
          </w:p>
        </w:tc>
        <w:tc>
          <w:tcPr>
            <w:tcW w:w="1592" w:type="dxa"/>
            <w:vAlign w:val="center"/>
          </w:tcPr>
          <w:p>
            <w:pPr>
              <w:jc w:val="center"/>
              <w:rPr>
                <w:rFonts w:ascii="仿宋" w:hAnsi="仿宋" w:eastAsia="仿宋"/>
                <w:szCs w:val="21"/>
              </w:rPr>
            </w:pPr>
            <w:r>
              <w:rPr>
                <w:rFonts w:hint="eastAsia" w:ascii="仿宋" w:hAnsi="仿宋" w:eastAsia="仿宋"/>
                <w:szCs w:val="21"/>
              </w:rPr>
              <w:t>东湖街道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688" w:type="dxa"/>
            <w:gridSpan w:val="10"/>
            <w:shd w:val="clear" w:color="auto" w:fill="D8D8D8" w:themeFill="background1" w:themeFillShade="D9"/>
            <w:vAlign w:val="center"/>
          </w:tcPr>
          <w:p>
            <w:pPr>
              <w:jc w:val="center"/>
              <w:rPr>
                <w:rFonts w:ascii="华文细黑" w:hAnsi="华文细黑" w:eastAsia="华文细黑" w:cs="仿宋_GB2312"/>
                <w:b/>
                <w:szCs w:val="21"/>
              </w:rPr>
            </w:pPr>
            <w:r>
              <w:rPr>
                <w:rFonts w:hint="eastAsia" w:ascii="华文细黑" w:hAnsi="华文细黑" w:eastAsia="华文细黑" w:cs="仿宋_GB2312"/>
                <w:b/>
                <w:szCs w:val="21"/>
              </w:rPr>
              <w:t>智慧养老信息平台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52" w:type="dxa"/>
            <w:vAlign w:val="center"/>
          </w:tcPr>
          <w:p>
            <w:pPr>
              <w:jc w:val="center"/>
              <w:rPr>
                <w:rFonts w:ascii="仿宋" w:hAnsi="仿宋" w:eastAsia="仿宋"/>
                <w:szCs w:val="21"/>
              </w:rPr>
            </w:pPr>
            <w:r>
              <w:rPr>
                <w:rFonts w:ascii="仿宋" w:hAnsi="仿宋" w:eastAsia="仿宋"/>
                <w:szCs w:val="21"/>
              </w:rPr>
              <w:t>21</w:t>
            </w:r>
          </w:p>
        </w:tc>
        <w:tc>
          <w:tcPr>
            <w:tcW w:w="1071" w:type="dxa"/>
            <w:vAlign w:val="center"/>
          </w:tcPr>
          <w:p>
            <w:pPr>
              <w:jc w:val="center"/>
              <w:rPr>
                <w:rFonts w:ascii="仿宋" w:hAnsi="仿宋" w:eastAsia="仿宋"/>
                <w:szCs w:val="21"/>
              </w:rPr>
            </w:pPr>
            <w:r>
              <w:rPr>
                <w:rFonts w:hint="eastAsia" w:ascii="仿宋" w:hAnsi="仿宋" w:eastAsia="仿宋"/>
                <w:szCs w:val="21"/>
              </w:rPr>
              <w:t>萧山区</w:t>
            </w:r>
          </w:p>
        </w:tc>
        <w:tc>
          <w:tcPr>
            <w:tcW w:w="2423" w:type="dxa"/>
            <w:vAlign w:val="center"/>
          </w:tcPr>
          <w:p>
            <w:pPr>
              <w:jc w:val="center"/>
              <w:rPr>
                <w:rFonts w:ascii="仿宋" w:hAnsi="仿宋" w:eastAsia="仿宋"/>
                <w:szCs w:val="21"/>
              </w:rPr>
            </w:pPr>
            <w:r>
              <w:rPr>
                <w:rFonts w:hint="eastAsia" w:ascii="仿宋" w:hAnsi="仿宋" w:eastAsia="仿宋"/>
                <w:szCs w:val="21"/>
              </w:rPr>
              <w:t>区智慧养老信息化</w:t>
            </w:r>
          </w:p>
          <w:p>
            <w:pPr>
              <w:jc w:val="center"/>
              <w:rPr>
                <w:rFonts w:ascii="仿宋" w:hAnsi="仿宋" w:eastAsia="仿宋"/>
                <w:szCs w:val="21"/>
              </w:rPr>
            </w:pPr>
            <w:r>
              <w:rPr>
                <w:rFonts w:hint="eastAsia" w:ascii="仿宋" w:hAnsi="仿宋" w:eastAsia="仿宋"/>
                <w:szCs w:val="21"/>
              </w:rPr>
              <w:t>系统</w:t>
            </w:r>
          </w:p>
        </w:tc>
        <w:tc>
          <w:tcPr>
            <w:tcW w:w="2502" w:type="dxa"/>
            <w:vAlign w:val="center"/>
          </w:tcPr>
          <w:p>
            <w:pPr>
              <w:jc w:val="center"/>
              <w:rPr>
                <w:rFonts w:ascii="仿宋" w:hAnsi="仿宋" w:eastAsia="仿宋"/>
                <w:szCs w:val="21"/>
              </w:rPr>
            </w:pPr>
            <w:r>
              <w:rPr>
                <w:rFonts w:hint="eastAsia" w:ascii="仿宋" w:hAnsi="仿宋" w:eastAsia="仿宋"/>
                <w:szCs w:val="21"/>
              </w:rPr>
              <w:t>全区</w:t>
            </w:r>
          </w:p>
        </w:tc>
        <w:tc>
          <w:tcPr>
            <w:tcW w:w="2117" w:type="dxa"/>
            <w:vAlign w:val="center"/>
          </w:tcPr>
          <w:p>
            <w:pPr>
              <w:jc w:val="center"/>
              <w:rPr>
                <w:rFonts w:ascii="仿宋" w:hAnsi="仿宋" w:eastAsia="仿宋" w:cs="仿宋_GB2312"/>
                <w:szCs w:val="21"/>
              </w:rPr>
            </w:pPr>
            <w:r>
              <w:rPr>
                <w:rFonts w:hint="eastAsia" w:ascii="仿宋" w:hAnsi="仿宋" w:eastAsia="仿宋" w:cs="仿宋_GB2312"/>
                <w:szCs w:val="21"/>
              </w:rPr>
              <w:t>10大体系</w:t>
            </w:r>
          </w:p>
        </w:tc>
        <w:tc>
          <w:tcPr>
            <w:tcW w:w="1245" w:type="dxa"/>
            <w:vAlign w:val="center"/>
          </w:tcPr>
          <w:p>
            <w:pPr>
              <w:jc w:val="center"/>
              <w:rPr>
                <w:rFonts w:ascii="仿宋" w:hAnsi="仿宋" w:eastAsia="仿宋"/>
                <w:szCs w:val="21"/>
              </w:rPr>
            </w:pPr>
            <w:r>
              <w:rPr>
                <w:rFonts w:hint="eastAsia" w:ascii="仿宋" w:hAnsi="仿宋" w:eastAsia="仿宋"/>
                <w:szCs w:val="21"/>
              </w:rPr>
              <w:t>600</w:t>
            </w:r>
          </w:p>
        </w:tc>
        <w:tc>
          <w:tcPr>
            <w:tcW w:w="1245" w:type="dxa"/>
            <w:vAlign w:val="center"/>
          </w:tcPr>
          <w:p>
            <w:pPr>
              <w:jc w:val="center"/>
              <w:rPr>
                <w:rFonts w:ascii="仿宋" w:hAnsi="仿宋" w:eastAsia="仿宋"/>
                <w:szCs w:val="21"/>
              </w:rPr>
            </w:pPr>
            <w:r>
              <w:rPr>
                <w:rFonts w:hint="eastAsia" w:ascii="仿宋" w:hAnsi="仿宋" w:eastAsia="仿宋"/>
                <w:szCs w:val="21"/>
              </w:rPr>
              <w:t>/</w:t>
            </w:r>
          </w:p>
        </w:tc>
        <w:tc>
          <w:tcPr>
            <w:tcW w:w="1150" w:type="dxa"/>
            <w:vAlign w:val="center"/>
          </w:tcPr>
          <w:p>
            <w:pPr>
              <w:jc w:val="center"/>
              <w:rPr>
                <w:rFonts w:ascii="仿宋" w:hAnsi="仿宋" w:eastAsia="仿宋"/>
                <w:szCs w:val="21"/>
              </w:rPr>
            </w:pPr>
            <w:r>
              <w:rPr>
                <w:rFonts w:hint="eastAsia" w:ascii="仿宋" w:hAnsi="仿宋" w:eastAsia="仿宋"/>
                <w:szCs w:val="21"/>
              </w:rPr>
              <w:t>6500</w:t>
            </w:r>
          </w:p>
        </w:tc>
        <w:tc>
          <w:tcPr>
            <w:tcW w:w="1791" w:type="dxa"/>
            <w:vAlign w:val="center"/>
          </w:tcPr>
          <w:p>
            <w:pPr>
              <w:jc w:val="center"/>
              <w:rPr>
                <w:rFonts w:ascii="仿宋" w:hAnsi="仿宋" w:eastAsia="仿宋"/>
                <w:szCs w:val="21"/>
              </w:rPr>
            </w:pPr>
            <w:r>
              <w:rPr>
                <w:rFonts w:hint="eastAsia" w:ascii="仿宋" w:hAnsi="仿宋" w:eastAsia="仿宋"/>
                <w:szCs w:val="21"/>
              </w:rPr>
              <w:t>2020.8-2021.6</w:t>
            </w:r>
          </w:p>
        </w:tc>
        <w:tc>
          <w:tcPr>
            <w:tcW w:w="1592" w:type="dxa"/>
            <w:vAlign w:val="center"/>
          </w:tcPr>
          <w:p>
            <w:pPr>
              <w:jc w:val="center"/>
              <w:rPr>
                <w:rFonts w:ascii="仿宋" w:hAnsi="仿宋" w:eastAsia="仿宋"/>
                <w:szCs w:val="21"/>
              </w:rPr>
            </w:pPr>
            <w:r>
              <w:rPr>
                <w:rFonts w:hint="eastAsia" w:ascii="仿宋" w:hAnsi="仿宋" w:eastAsia="仿宋"/>
                <w:szCs w:val="21"/>
              </w:rPr>
              <w:t>萧山区民政局</w:t>
            </w:r>
          </w:p>
        </w:tc>
      </w:tr>
    </w:tbl>
    <w:p>
      <w:pPr>
        <w:spacing w:line="600" w:lineRule="exact"/>
        <w:rPr>
          <w:rFonts w:ascii="仿宋" w:hAnsi="仿宋" w:eastAsia="仿宋"/>
          <w:sz w:val="24"/>
          <w:szCs w:val="24"/>
        </w:rPr>
      </w:pPr>
      <w:r>
        <w:rPr>
          <w:rFonts w:hint="eastAsia" w:ascii="华文细黑" w:hAnsi="华文细黑" w:eastAsia="华文细黑"/>
          <w:sz w:val="24"/>
          <w:szCs w:val="24"/>
          <w:highlight w:val="yellow"/>
        </w:rPr>
        <w:t>建议：</w:t>
      </w:r>
      <w:r>
        <w:rPr>
          <w:rFonts w:hint="eastAsia" w:ascii="仿宋" w:hAnsi="仿宋" w:eastAsia="仿宋"/>
          <w:sz w:val="24"/>
          <w:szCs w:val="24"/>
        </w:rPr>
        <w:t>1.养老机构项目1000万及以上列入项目表；2.社区居家养老服务设施，示范性居家养老中心基本实现了镇街全覆盖，新的大社区养老要根据区域老年人口和老龄化水平确定建设数，不好明确任务数，后续应该还要出台细化指导政策，建议不列入项目表。3.智慧养老服务平台是必建项目，也建议不列入。其他的诸如养老服务产业项目没有，区老年活动中心只有西湖区，就不再单列。</w:t>
      </w:r>
    </w:p>
    <w:p/>
    <w:p/>
    <w:p/>
    <w:p/>
    <w:p/>
    <w:p/>
    <w:p/>
    <w:p/>
    <w:p>
      <w:p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AndChars" w:linePitch="312" w:charSpace="0"/>
        </w:sectPr>
      </w:pPr>
    </w:p>
    <w:p>
      <w:pPr>
        <w:rPr>
          <w:rFonts w:ascii="华文细黑" w:hAnsi="华文细黑" w:eastAsia="华文细黑"/>
          <w:sz w:val="28"/>
          <w:szCs w:val="28"/>
        </w:rPr>
      </w:pPr>
      <w:r>
        <w:rPr>
          <w:rFonts w:ascii="华文细黑" w:hAnsi="华文细黑" w:eastAsia="华文细黑"/>
          <w:sz w:val="28"/>
          <w:szCs w:val="28"/>
        </w:rPr>
        <w:t>附件</w:t>
      </w:r>
      <w:r>
        <w:rPr>
          <w:rFonts w:hint="eastAsia" w:ascii="华文细黑" w:hAnsi="华文细黑" w:eastAsia="华文细黑"/>
          <w:sz w:val="28"/>
          <w:szCs w:val="28"/>
        </w:rPr>
        <w:t>2：</w:t>
      </w:r>
      <w:r>
        <w:rPr>
          <w:rFonts w:ascii="华文细黑" w:hAnsi="华文细黑" w:eastAsia="华文细黑"/>
          <w:sz w:val="28"/>
          <w:szCs w:val="28"/>
        </w:rPr>
        <w:t>名词解释</w:t>
      </w:r>
    </w:p>
    <w:p>
      <w:pPr>
        <w:spacing w:line="520" w:lineRule="exact"/>
        <w:rPr>
          <w:rFonts w:ascii="仿宋" w:hAnsi="仿宋" w:eastAsia="仿宋"/>
          <w:sz w:val="28"/>
          <w:szCs w:val="28"/>
        </w:rPr>
      </w:pPr>
      <w:r>
        <w:rPr>
          <w:rFonts w:hint="eastAsia" w:ascii="华文楷体" w:hAnsi="华文楷体" w:eastAsia="华文楷体"/>
          <w:b/>
          <w:sz w:val="28"/>
          <w:szCs w:val="28"/>
        </w:rPr>
        <w:t>1</w:t>
      </w:r>
      <w:r>
        <w:rPr>
          <w:rFonts w:ascii="华文楷体" w:hAnsi="华文楷体" w:eastAsia="华文楷体"/>
          <w:b/>
          <w:sz w:val="28"/>
          <w:szCs w:val="28"/>
        </w:rPr>
        <w:t>.</w:t>
      </w:r>
      <w:r>
        <w:rPr>
          <w:rFonts w:hint="eastAsia" w:ascii="华文楷体" w:hAnsi="华文楷体" w:eastAsia="华文楷体"/>
          <w:b/>
          <w:sz w:val="28"/>
          <w:szCs w:val="28"/>
        </w:rPr>
        <w:t>照护型床位，</w:t>
      </w:r>
      <w:r>
        <w:rPr>
          <w:rFonts w:hint="eastAsia" w:ascii="仿宋" w:hAnsi="仿宋" w:eastAsia="仿宋"/>
          <w:sz w:val="28"/>
          <w:szCs w:val="28"/>
        </w:rPr>
        <w:t>指养老机构的护理型床位和医疗机构的长期护理康复床位。</w:t>
      </w:r>
    </w:p>
    <w:p>
      <w:pPr>
        <w:spacing w:line="520" w:lineRule="exact"/>
        <w:rPr>
          <w:rFonts w:ascii="仿宋" w:hAnsi="仿宋" w:eastAsia="仿宋"/>
          <w:sz w:val="28"/>
          <w:szCs w:val="28"/>
        </w:rPr>
      </w:pPr>
      <w:r>
        <w:rPr>
          <w:rFonts w:hint="eastAsia" w:ascii="华文楷体" w:hAnsi="华文楷体" w:eastAsia="华文楷体"/>
          <w:b/>
          <w:sz w:val="28"/>
          <w:szCs w:val="28"/>
        </w:rPr>
        <w:t>2</w:t>
      </w:r>
      <w:r>
        <w:rPr>
          <w:rFonts w:ascii="华文楷体" w:hAnsi="华文楷体" w:eastAsia="华文楷体"/>
          <w:b/>
          <w:sz w:val="28"/>
          <w:szCs w:val="28"/>
        </w:rPr>
        <w:t>.</w:t>
      </w:r>
      <w:r>
        <w:rPr>
          <w:rFonts w:hint="eastAsia" w:ascii="华文楷体" w:hAnsi="华文楷体" w:eastAsia="华文楷体"/>
          <w:b/>
          <w:sz w:val="28"/>
          <w:szCs w:val="28"/>
        </w:rPr>
        <w:t>社区照护中心，</w:t>
      </w:r>
      <w:r>
        <w:rPr>
          <w:rFonts w:hint="eastAsia" w:ascii="仿宋" w:hAnsi="仿宋" w:eastAsia="仿宋"/>
          <w:sz w:val="28"/>
          <w:szCs w:val="28"/>
        </w:rPr>
        <w:t>指以养老机构为支撑的居家养老服务综合体。</w:t>
      </w:r>
      <w:r>
        <w:rPr>
          <w:rFonts w:ascii="仿宋" w:hAnsi="仿宋" w:eastAsia="仿宋"/>
          <w:sz w:val="28"/>
          <w:szCs w:val="28"/>
        </w:rPr>
        <w:t xml:space="preserve"> </w:t>
      </w:r>
    </w:p>
    <w:p>
      <w:pPr>
        <w:spacing w:line="520" w:lineRule="exact"/>
        <w:rPr>
          <w:rFonts w:ascii="仿宋" w:hAnsi="仿宋" w:eastAsia="仿宋"/>
          <w:sz w:val="28"/>
          <w:szCs w:val="28"/>
        </w:rPr>
      </w:pPr>
      <w:r>
        <w:rPr>
          <w:rFonts w:hint="eastAsia" w:ascii="华文楷体" w:hAnsi="华文楷体" w:eastAsia="华文楷体"/>
          <w:b/>
          <w:sz w:val="28"/>
          <w:szCs w:val="28"/>
        </w:rPr>
        <w:t>3</w:t>
      </w:r>
      <w:r>
        <w:rPr>
          <w:rFonts w:ascii="华文楷体" w:hAnsi="华文楷体" w:eastAsia="华文楷体"/>
          <w:b/>
          <w:sz w:val="28"/>
          <w:szCs w:val="28"/>
        </w:rPr>
        <w:t>.</w:t>
      </w:r>
      <w:r>
        <w:rPr>
          <w:rFonts w:hint="eastAsia" w:ascii="华文楷体" w:hAnsi="华文楷体" w:eastAsia="华文楷体"/>
          <w:b/>
          <w:sz w:val="28"/>
          <w:szCs w:val="28"/>
        </w:rPr>
        <w:t>普惠性养老服务，</w:t>
      </w:r>
      <w:r>
        <w:rPr>
          <w:rFonts w:hint="eastAsia" w:ascii="仿宋" w:hAnsi="仿宋" w:eastAsia="仿宋"/>
          <w:sz w:val="28"/>
          <w:szCs w:val="28"/>
        </w:rPr>
        <w:t>由政府、市场和社会提供的，面向广大老年人价格可负担的养老服务。</w:t>
      </w:r>
    </w:p>
    <w:p>
      <w:pPr>
        <w:spacing w:line="520" w:lineRule="exact"/>
        <w:rPr>
          <w:rFonts w:ascii="仿宋" w:hAnsi="仿宋" w:eastAsia="仿宋"/>
          <w:sz w:val="28"/>
          <w:szCs w:val="28"/>
        </w:rPr>
      </w:pPr>
      <w:r>
        <w:rPr>
          <w:rFonts w:hint="eastAsia" w:ascii="华文楷体" w:hAnsi="华文楷体" w:eastAsia="华文楷体"/>
          <w:b/>
          <w:sz w:val="28"/>
          <w:szCs w:val="28"/>
        </w:rPr>
        <w:t>4</w:t>
      </w:r>
      <w:r>
        <w:rPr>
          <w:rFonts w:ascii="华文楷体" w:hAnsi="华文楷体" w:eastAsia="华文楷体"/>
          <w:b/>
          <w:sz w:val="28"/>
          <w:szCs w:val="28"/>
        </w:rPr>
        <w:t>.</w:t>
      </w:r>
      <w:r>
        <w:rPr>
          <w:rFonts w:hint="eastAsia" w:ascii="华文楷体" w:hAnsi="华文楷体" w:eastAsia="华文楷体"/>
          <w:b/>
          <w:sz w:val="28"/>
          <w:szCs w:val="28"/>
        </w:rPr>
        <w:t>记忆家园，</w:t>
      </w:r>
      <w:r>
        <w:rPr>
          <w:rFonts w:hint="eastAsia" w:ascii="仿宋" w:hAnsi="仿宋" w:eastAsia="仿宋"/>
          <w:sz w:val="28"/>
          <w:szCs w:val="28"/>
        </w:rPr>
        <w:t>指以认知障碍干预和照护为主，设施和服务达到认知障碍照护标准的养老机构或专区。</w:t>
      </w:r>
    </w:p>
    <w:p>
      <w:pPr>
        <w:spacing w:line="520" w:lineRule="exact"/>
        <w:rPr>
          <w:rFonts w:ascii="仿宋" w:hAnsi="仿宋" w:eastAsia="仿宋" w:cs="仿宋_GB2312"/>
          <w:bCs/>
          <w:sz w:val="28"/>
          <w:szCs w:val="28"/>
        </w:rPr>
      </w:pPr>
      <w:r>
        <w:rPr>
          <w:rFonts w:ascii="华文楷体" w:hAnsi="华文楷体" w:eastAsia="华文楷体"/>
          <w:b/>
          <w:sz w:val="28"/>
          <w:szCs w:val="28"/>
        </w:rPr>
        <w:t>5.</w:t>
      </w:r>
      <w:r>
        <w:rPr>
          <w:rFonts w:hint="eastAsia" w:ascii="华文楷体" w:hAnsi="华文楷体" w:eastAsia="华文楷体"/>
          <w:b/>
          <w:sz w:val="28"/>
          <w:szCs w:val="28"/>
        </w:rPr>
        <w:t>在宅服务，指</w:t>
      </w:r>
      <w:r>
        <w:rPr>
          <w:rFonts w:hint="eastAsia" w:ascii="仿宋" w:hAnsi="仿宋" w:eastAsia="仿宋" w:cs="仿宋_GB2312"/>
          <w:bCs/>
          <w:sz w:val="28"/>
          <w:szCs w:val="28"/>
        </w:rPr>
        <w:t>围绕老年人居住的房子，提供居家生活照料、巡诊、康复护理、送餐助餐、助浴和家庭设施</w:t>
      </w:r>
      <w:r>
        <w:rPr>
          <w:rFonts w:hint="eastAsia" w:ascii="仿宋" w:hAnsi="仿宋" w:eastAsia="仿宋" w:cs="Calibri"/>
          <w:bCs/>
          <w:sz w:val="28"/>
          <w:szCs w:val="28"/>
        </w:rPr>
        <w:t>适</w:t>
      </w:r>
      <w:r>
        <w:rPr>
          <w:rFonts w:hint="eastAsia" w:ascii="仿宋" w:hAnsi="仿宋" w:eastAsia="仿宋" w:cs="仿宋_GB2312"/>
          <w:bCs/>
          <w:sz w:val="28"/>
          <w:szCs w:val="28"/>
        </w:rPr>
        <w:t>老化改造等服务，俗称上门服务。</w:t>
      </w:r>
    </w:p>
    <w:p>
      <w:pPr>
        <w:spacing w:line="520" w:lineRule="exact"/>
        <w:rPr>
          <w:rFonts w:ascii="仿宋" w:hAnsi="仿宋" w:eastAsia="仿宋"/>
          <w:color w:val="000000"/>
          <w:kern w:val="0"/>
          <w:sz w:val="28"/>
          <w:szCs w:val="28"/>
        </w:rPr>
      </w:pPr>
      <w:r>
        <w:rPr>
          <w:rFonts w:hint="eastAsia" w:ascii="华文楷体" w:hAnsi="华文楷体" w:eastAsia="华文楷体"/>
          <w:b/>
          <w:sz w:val="28"/>
          <w:szCs w:val="28"/>
        </w:rPr>
        <w:t>6</w:t>
      </w:r>
      <w:r>
        <w:rPr>
          <w:rFonts w:ascii="华文楷体" w:hAnsi="华文楷体" w:eastAsia="华文楷体"/>
          <w:b/>
          <w:sz w:val="28"/>
          <w:szCs w:val="28"/>
        </w:rPr>
        <w:t>.</w:t>
      </w:r>
      <w:r>
        <w:rPr>
          <w:rFonts w:hint="eastAsia" w:ascii="华文楷体" w:hAnsi="华文楷体" w:eastAsia="华文楷体"/>
          <w:b/>
          <w:sz w:val="28"/>
          <w:szCs w:val="28"/>
        </w:rPr>
        <w:t>家庭照护床位，</w:t>
      </w:r>
      <w:r>
        <w:rPr>
          <w:rFonts w:hint="eastAsia" w:ascii="仿宋" w:hAnsi="仿宋" w:eastAsia="仿宋"/>
          <w:color w:val="000000"/>
          <w:kern w:val="0"/>
          <w:sz w:val="28"/>
          <w:szCs w:val="28"/>
        </w:rPr>
        <w:t>指依托有资质的养老服务机构，将专业照护服务延伸至老年人家中，使老年人家中的床位成为具备“类机构”照护功能的床位。</w:t>
      </w:r>
    </w:p>
    <w:p>
      <w:pPr>
        <w:spacing w:line="520" w:lineRule="exact"/>
        <w:rPr>
          <w:rFonts w:ascii="仿宋" w:hAnsi="仿宋" w:eastAsia="仿宋"/>
          <w:color w:val="000000"/>
          <w:kern w:val="0"/>
          <w:sz w:val="28"/>
          <w:szCs w:val="28"/>
        </w:rPr>
      </w:pPr>
      <w:r>
        <w:rPr>
          <w:rFonts w:hint="eastAsia" w:ascii="华文楷体" w:hAnsi="华文楷体" w:eastAsia="华文楷体"/>
          <w:b/>
          <w:sz w:val="28"/>
          <w:szCs w:val="28"/>
        </w:rPr>
        <w:t>7</w:t>
      </w:r>
      <w:r>
        <w:rPr>
          <w:rFonts w:ascii="华文楷体" w:hAnsi="华文楷体" w:eastAsia="华文楷体"/>
          <w:b/>
          <w:sz w:val="28"/>
          <w:szCs w:val="28"/>
        </w:rPr>
        <w:t>.康养联合体，</w:t>
      </w:r>
      <w:r>
        <w:rPr>
          <w:rFonts w:ascii="仿宋" w:hAnsi="仿宋" w:eastAsia="仿宋"/>
          <w:color w:val="000000"/>
          <w:kern w:val="0"/>
          <w:sz w:val="28"/>
          <w:szCs w:val="28"/>
        </w:rPr>
        <w:t>指依托养老或康复医疗机构，整合康复医师、康复治疗师、康复护</w:t>
      </w:r>
      <w:r>
        <w:rPr>
          <w:rFonts w:hint="eastAsia" w:ascii="仿宋" w:hAnsi="仿宋" w:eastAsia="仿宋" w:cs="微软雅黑"/>
          <w:color w:val="000000"/>
          <w:kern w:val="0"/>
          <w:sz w:val="28"/>
          <w:szCs w:val="28"/>
        </w:rPr>
        <w:t>士</w:t>
      </w:r>
      <w:r>
        <w:rPr>
          <w:rFonts w:ascii="仿宋" w:hAnsi="仿宋" w:eastAsia="仿宋"/>
          <w:color w:val="000000"/>
          <w:kern w:val="0"/>
          <w:sz w:val="28"/>
          <w:szCs w:val="28"/>
        </w:rPr>
        <w:t>和护理员等服务资源，为老年人提供综合、持续转接的健康管理和干预、生活照料、康复护理等服务。</w:t>
      </w:r>
    </w:p>
    <w:p>
      <w:pPr>
        <w:spacing w:line="520" w:lineRule="exact"/>
        <w:rPr>
          <w:rFonts w:ascii="仿宋" w:hAnsi="仿宋" w:eastAsia="仿宋"/>
          <w:sz w:val="28"/>
          <w:szCs w:val="28"/>
        </w:rPr>
      </w:pPr>
      <w:r>
        <w:rPr>
          <w:rFonts w:hint="eastAsia" w:ascii="华文楷体" w:hAnsi="华文楷体" w:eastAsia="华文楷体"/>
          <w:b/>
          <w:sz w:val="28"/>
          <w:szCs w:val="28"/>
        </w:rPr>
        <w:t>8</w:t>
      </w:r>
      <w:r>
        <w:rPr>
          <w:rFonts w:ascii="华文楷体" w:hAnsi="华文楷体" w:eastAsia="华文楷体"/>
          <w:b/>
          <w:sz w:val="28"/>
          <w:szCs w:val="28"/>
        </w:rPr>
        <w:t>.</w:t>
      </w:r>
      <w:r>
        <w:rPr>
          <w:rFonts w:hint="eastAsia" w:ascii="华文楷体" w:hAnsi="华文楷体" w:eastAsia="华文楷体"/>
          <w:b/>
          <w:sz w:val="28"/>
          <w:szCs w:val="28"/>
        </w:rPr>
        <w:t>数智养老，</w:t>
      </w:r>
      <w:r>
        <w:rPr>
          <w:rFonts w:hint="eastAsia" w:ascii="仿宋" w:hAnsi="仿宋" w:eastAsia="仿宋"/>
          <w:color w:val="000000"/>
          <w:kern w:val="0"/>
          <w:sz w:val="28"/>
          <w:szCs w:val="28"/>
        </w:rPr>
        <w:t>将5</w:t>
      </w:r>
      <w:r>
        <w:rPr>
          <w:rFonts w:ascii="仿宋" w:hAnsi="仿宋" w:eastAsia="仿宋"/>
          <w:color w:val="000000"/>
          <w:kern w:val="0"/>
          <w:sz w:val="28"/>
          <w:szCs w:val="28"/>
        </w:rPr>
        <w:t>G、人工智能、物联网、</w:t>
      </w:r>
      <w:r>
        <w:rPr>
          <w:rFonts w:hint="eastAsia" w:ascii="仿宋" w:hAnsi="仿宋" w:eastAsia="仿宋" w:cs="微软雅黑"/>
          <w:color w:val="000000"/>
          <w:kern w:val="0"/>
          <w:sz w:val="28"/>
          <w:szCs w:val="28"/>
        </w:rPr>
        <w:t>云</w:t>
      </w:r>
      <w:r>
        <w:rPr>
          <w:rFonts w:hint="eastAsia" w:ascii="仿宋" w:hAnsi="仿宋" w:eastAsia="仿宋" w:cs="___WRD_EMBED_SUB_45"/>
          <w:color w:val="000000"/>
          <w:kern w:val="0"/>
          <w:sz w:val="28"/>
          <w:szCs w:val="28"/>
        </w:rPr>
        <w:t>计算、大数据等新一代</w:t>
      </w:r>
      <w:r>
        <w:rPr>
          <w:rFonts w:ascii="仿宋" w:hAnsi="仿宋" w:eastAsia="仿宋"/>
          <w:sz w:val="28"/>
          <w:szCs w:val="28"/>
        </w:rPr>
        <w:t>信息技术和智能硬件应用于养老服务，实现养老政务、服务和监管等全面、全过程</w:t>
      </w:r>
      <w:r>
        <w:rPr>
          <w:rFonts w:hint="eastAsia" w:ascii="仿宋" w:hAnsi="仿宋" w:eastAsia="仿宋"/>
          <w:sz w:val="28"/>
          <w:szCs w:val="28"/>
        </w:rPr>
        <w:t>数字化和智能化。</w:t>
      </w:r>
    </w:p>
    <w:p>
      <w:pPr>
        <w:spacing w:line="520" w:lineRule="exact"/>
        <w:rPr>
          <w:rFonts w:ascii="仿宋" w:hAnsi="仿宋" w:eastAsia="仿宋" w:cs="Times New Roman"/>
          <w:bCs/>
          <w:sz w:val="28"/>
          <w:szCs w:val="28"/>
        </w:rPr>
      </w:pPr>
      <w:r>
        <w:rPr>
          <w:rFonts w:hint="eastAsia" w:ascii="华文楷体" w:hAnsi="华文楷体" w:eastAsia="华文楷体"/>
          <w:b/>
          <w:sz w:val="28"/>
          <w:szCs w:val="28"/>
        </w:rPr>
        <w:t>9</w:t>
      </w:r>
      <w:r>
        <w:rPr>
          <w:rFonts w:ascii="华文楷体" w:hAnsi="华文楷体" w:eastAsia="华文楷体"/>
          <w:b/>
          <w:sz w:val="28"/>
          <w:szCs w:val="28"/>
        </w:rPr>
        <w:t>.智慧养老院，</w:t>
      </w:r>
      <w:r>
        <w:rPr>
          <w:rFonts w:ascii="仿宋" w:hAnsi="仿宋" w:eastAsia="仿宋"/>
          <w:sz w:val="28"/>
          <w:szCs w:val="28"/>
        </w:rPr>
        <w:t>将现代信息技术和智能终端全面应用于养老院，对接“浙里养”和市智慧养老服务平台好，在公众信息获取、</w:t>
      </w:r>
      <w:r>
        <w:rPr>
          <w:rFonts w:hint="eastAsia" w:ascii="仿宋" w:hAnsi="仿宋" w:eastAsia="仿宋" w:cs="Times New Roman"/>
          <w:bCs/>
          <w:sz w:val="28"/>
          <w:szCs w:val="28"/>
        </w:rPr>
        <w:t>安防、服务、服务感知和记录等数字化、智能化程度高</w:t>
      </w:r>
      <w:r>
        <w:rPr>
          <w:rFonts w:ascii="仿宋" w:hAnsi="仿宋" w:eastAsia="仿宋" w:cs="Times New Roman"/>
          <w:bCs/>
          <w:sz w:val="28"/>
          <w:szCs w:val="28"/>
        </w:rPr>
        <w:t>的养老机构。</w:t>
      </w:r>
    </w:p>
    <w:p>
      <w:pPr>
        <w:spacing w:line="520" w:lineRule="exact"/>
        <w:rPr>
          <w:rStyle w:val="17"/>
          <w:rFonts w:ascii="仿宋" w:hAnsi="仿宋" w:eastAsia="仿宋"/>
          <w:sz w:val="28"/>
          <w:szCs w:val="28"/>
        </w:rPr>
      </w:pPr>
      <w:r>
        <w:rPr>
          <w:rFonts w:hint="eastAsia" w:ascii="华文楷体" w:hAnsi="华文楷体" w:eastAsia="华文楷体"/>
          <w:b/>
          <w:sz w:val="28"/>
          <w:szCs w:val="28"/>
        </w:rPr>
        <w:t>1</w:t>
      </w:r>
      <w:r>
        <w:rPr>
          <w:rFonts w:ascii="华文楷体" w:hAnsi="华文楷体" w:eastAsia="华文楷体"/>
          <w:b/>
          <w:sz w:val="28"/>
          <w:szCs w:val="28"/>
        </w:rPr>
        <w:t>0.</w:t>
      </w:r>
      <w:r>
        <w:rPr>
          <w:rFonts w:hint="eastAsia" w:ascii="华文楷体" w:hAnsi="华文楷体" w:eastAsia="华文楷体"/>
          <w:b/>
          <w:sz w:val="28"/>
          <w:szCs w:val="28"/>
        </w:rPr>
        <w:t>山区支老，</w:t>
      </w:r>
      <w:r>
        <w:rPr>
          <w:rStyle w:val="17"/>
          <w:rFonts w:hint="eastAsia" w:ascii="仿宋" w:hAnsi="仿宋" w:eastAsia="仿宋"/>
          <w:sz w:val="28"/>
          <w:szCs w:val="28"/>
        </w:rPr>
        <w:t>对外出流动人口高、社会组织缺乏、老年人聚集的偏远山区，通过城市养老服务机构与其结对帮扶，为其提供养老服务管理、服务、培训和物资支持。</w:t>
      </w:r>
    </w:p>
    <w:p>
      <w:pPr>
        <w:spacing w:line="520" w:lineRule="exact"/>
        <w:rPr>
          <w:rFonts w:ascii="仿宋" w:hAnsi="仿宋" w:eastAsia="仿宋" w:cs="Times New Roman"/>
          <w:bCs/>
          <w:sz w:val="28"/>
          <w:szCs w:val="28"/>
        </w:rPr>
      </w:pPr>
      <w:r>
        <w:rPr>
          <w:rFonts w:hint="eastAsia" w:ascii="华文楷体" w:hAnsi="华文楷体" w:eastAsia="华文楷体"/>
          <w:b/>
          <w:sz w:val="28"/>
          <w:szCs w:val="28"/>
        </w:rPr>
        <w:t>1</w:t>
      </w:r>
      <w:r>
        <w:rPr>
          <w:rFonts w:ascii="华文楷体" w:hAnsi="华文楷体" w:eastAsia="华文楷体"/>
          <w:b/>
          <w:sz w:val="28"/>
          <w:szCs w:val="28"/>
        </w:rPr>
        <w:t>1.</w:t>
      </w:r>
      <w:r>
        <w:rPr>
          <w:rFonts w:hint="eastAsia" w:ascii="华文楷体" w:hAnsi="华文楷体" w:eastAsia="华文楷体"/>
          <w:b/>
          <w:sz w:val="28"/>
          <w:szCs w:val="28"/>
        </w:rPr>
        <w:t>时间银行，</w:t>
      </w:r>
      <w:r>
        <w:rPr>
          <w:rStyle w:val="17"/>
          <w:rFonts w:ascii="仿宋" w:hAnsi="仿宋" w:eastAsia="仿宋"/>
          <w:sz w:val="28"/>
          <w:szCs w:val="28"/>
        </w:rPr>
        <w:t>指志愿者为高龄、独居或者特别需要人群提供志愿服务，将提供志愿服务的时间进行储蓄，待自己年老需要帮助的时候，从“时间银行”支取时间兑换服务的一种新型养老模式。</w:t>
      </w:r>
      <w:r>
        <w:rPr>
          <w:rFonts w:ascii="仿宋" w:hAnsi="仿宋" w:eastAsia="仿宋"/>
          <w:sz w:val="28"/>
          <w:szCs w:val="28"/>
        </w:rPr>
        <w:t>是指志愿者将参与</w:t>
      </w:r>
      <w:r>
        <w:fldChar w:fldCharType="begin"/>
      </w:r>
      <w:r>
        <w:instrText xml:space="preserve"> HYPERLINK "https://baike.baidu.com/item/%E5%85%AC%E7%9B%8A%E6%9C%8D%E5%8A%A1/9210091" \t "_blank" </w:instrText>
      </w:r>
      <w:r>
        <w:fldChar w:fldCharType="separate"/>
      </w:r>
      <w:r>
        <w:rPr>
          <w:rStyle w:val="11"/>
          <w:rFonts w:ascii="仿宋" w:hAnsi="仿宋" w:eastAsia="仿宋"/>
          <w:sz w:val="28"/>
          <w:szCs w:val="28"/>
        </w:rPr>
        <w:t>公益服务</w:t>
      </w:r>
      <w:r>
        <w:rPr>
          <w:rStyle w:val="11"/>
          <w:rFonts w:ascii="仿宋" w:hAnsi="仿宋" w:eastAsia="仿宋"/>
          <w:sz w:val="28"/>
          <w:szCs w:val="28"/>
        </w:rPr>
        <w:fldChar w:fldCharType="end"/>
      </w:r>
      <w:r>
        <w:rPr>
          <w:rFonts w:ascii="仿宋" w:hAnsi="仿宋" w:eastAsia="仿宋"/>
          <w:sz w:val="28"/>
          <w:szCs w:val="28"/>
        </w:rPr>
        <w:t>的时间存进时间银行，当自己遭遇困难时就可以从中支取“被服务时间”。</w:t>
      </w:r>
      <w:r>
        <w:rPr>
          <w:rFonts w:hint="eastAsia" w:ascii="仿宋" w:hAnsi="仿宋" w:eastAsia="仿宋" w:cs="Times New Roman"/>
          <w:bCs/>
          <w:sz w:val="28"/>
          <w:szCs w:val="28"/>
        </w:rPr>
        <w:t xml:space="preserve"> </w:t>
      </w:r>
    </w:p>
    <w:p>
      <w:pPr>
        <w:spacing w:line="520" w:lineRule="exact"/>
        <w:rPr>
          <w:rFonts w:ascii="仿宋" w:hAnsi="仿宋" w:eastAsia="仿宋" w:cs="Times New Roman"/>
          <w:sz w:val="28"/>
          <w:szCs w:val="28"/>
        </w:rPr>
      </w:pPr>
      <w:r>
        <w:rPr>
          <w:rFonts w:hint="eastAsia" w:ascii="华文楷体" w:hAnsi="华文楷体" w:eastAsia="华文楷体"/>
          <w:b/>
          <w:sz w:val="28"/>
          <w:szCs w:val="28"/>
        </w:rPr>
        <w:t>1</w:t>
      </w:r>
      <w:r>
        <w:rPr>
          <w:rFonts w:ascii="华文楷体" w:hAnsi="华文楷体" w:eastAsia="华文楷体"/>
          <w:b/>
          <w:sz w:val="28"/>
          <w:szCs w:val="28"/>
        </w:rPr>
        <w:t>2.</w:t>
      </w:r>
      <w:r>
        <w:rPr>
          <w:rFonts w:hint="eastAsia" w:ascii="华文楷体" w:hAnsi="华文楷体" w:eastAsia="华文楷体"/>
          <w:b/>
          <w:sz w:val="28"/>
          <w:szCs w:val="28"/>
        </w:rPr>
        <w:t>国际化养老机构/养老社区</w:t>
      </w:r>
      <w:r>
        <w:rPr>
          <w:rFonts w:ascii="华文楷体" w:hAnsi="华文楷体" w:eastAsia="华文楷体"/>
          <w:b/>
          <w:sz w:val="28"/>
          <w:szCs w:val="28"/>
        </w:rPr>
        <w:t>，</w:t>
      </w:r>
      <w:r>
        <w:rPr>
          <w:rFonts w:hint="eastAsia" w:ascii="仿宋" w:hAnsi="仿宋" w:eastAsia="仿宋"/>
          <w:sz w:val="28"/>
          <w:szCs w:val="28"/>
        </w:rPr>
        <w:t>在设施、环境、管理及文化建设等方面，体现中国传统文化，展示杭州城市风韵，中国老年人幸福颐养生活；在机构标识、简介等方面实行双语，工作人员具有良好英语交流能力、懂外事礼仪的养老机构/</w:t>
      </w:r>
      <w:r>
        <w:rPr>
          <w:rFonts w:ascii="仿宋" w:hAnsi="仿宋" w:eastAsia="仿宋"/>
          <w:sz w:val="28"/>
          <w:szCs w:val="28"/>
        </w:rPr>
        <w:t>养老社区（非行政性社区）</w:t>
      </w:r>
      <w:r>
        <w:rPr>
          <w:rFonts w:hint="eastAsia" w:ascii="仿宋" w:hAnsi="仿宋" w:eastAsia="仿宋" w:cs="Times New Roman"/>
          <w:sz w:val="28"/>
          <w:szCs w:val="28"/>
        </w:rPr>
        <w:t>。</w:t>
      </w:r>
    </w:p>
    <w:p>
      <w:pPr>
        <w:rPr>
          <w:sz w:val="28"/>
          <w:szCs w:val="28"/>
        </w:rPr>
        <w:sectPr>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12" w:charSpace="0"/>
        </w:sectPr>
      </w:pPr>
    </w:p>
    <w:p/>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807D27-DBFE-410C-8FE0-259DB0D4DAAA}"/>
  </w:font>
  <w:font w:name="Arial">
    <w:panose1 w:val="020B0604020202020204"/>
    <w:charset w:val="01"/>
    <w:family w:val="swiss"/>
    <w:pitch w:val="default"/>
    <w:sig w:usb0="E0002EFF" w:usb1="C000785B" w:usb2="00000009" w:usb3="00000000" w:csb0="400001FF" w:csb1="FFFF0000"/>
    <w:embedRegular r:id="rId2" w:fontKey="{707FC7FF-EA04-4F66-A10C-BCFACC4232DD}"/>
  </w:font>
  <w:font w:name="黑体">
    <w:panose1 w:val="02010609060101010101"/>
    <w:charset w:val="86"/>
    <w:family w:val="auto"/>
    <w:pitch w:val="default"/>
    <w:sig w:usb0="800002BF" w:usb1="38CF7CFA" w:usb2="00000016" w:usb3="00000000" w:csb0="00040001" w:csb1="00000000"/>
    <w:embedRegular r:id="rId3" w:fontKey="{55E70B65-9FAA-4C48-A259-55B4A7D7D773}"/>
  </w:font>
  <w:font w:name="Courier New">
    <w:panose1 w:val="02070309020205020404"/>
    <w:charset w:val="01"/>
    <w:family w:val="modern"/>
    <w:pitch w:val="default"/>
    <w:sig w:usb0="E0002EFF" w:usb1="C0007843" w:usb2="00000009" w:usb3="00000000" w:csb0="400001FF" w:csb1="FFFF0000"/>
    <w:embedRegular r:id="rId4" w:fontKey="{02B0FF1A-72D5-4910-B788-39FE99151958}"/>
  </w:font>
  <w:font w:name="Symbol">
    <w:panose1 w:val="05050102010706020507"/>
    <w:charset w:val="02"/>
    <w:family w:val="roman"/>
    <w:pitch w:val="default"/>
    <w:sig w:usb0="00000000" w:usb1="00000000" w:usb2="00000000" w:usb3="00000000" w:csb0="80000000" w:csb1="00000000"/>
    <w:embedRegular r:id="rId5" w:fontKey="{B3DF4AA7-04F7-4B14-911F-878D245E8776}"/>
  </w:font>
  <w:font w:name="Calibri">
    <w:panose1 w:val="020F0502020204030204"/>
    <w:charset w:val="00"/>
    <w:family w:val="swiss"/>
    <w:pitch w:val="default"/>
    <w:sig w:usb0="E4002EFF" w:usb1="C200247B" w:usb2="00000009" w:usb3="00000000" w:csb0="200001FF" w:csb1="00000000"/>
    <w:embedRegular r:id="rId6" w:fontKey="{2FB4D690-5999-4604-8976-9C441EE518CB}"/>
  </w:font>
  <w:font w:name="方正小标宋简体">
    <w:panose1 w:val="03000509000000000000"/>
    <w:charset w:val="86"/>
    <w:family w:val="auto"/>
    <w:pitch w:val="default"/>
    <w:sig w:usb0="00000001" w:usb1="080E0000" w:usb2="00000000" w:usb3="00000000" w:csb0="00040000" w:csb1="00000000"/>
    <w:embedRegular r:id="rId7" w:fontKey="{C51424ED-64D2-48AD-9AD7-275FE29A4213}"/>
  </w:font>
  <w:font w:name="楷体_GB2312">
    <w:panose1 w:val="02010609030101010101"/>
    <w:charset w:val="86"/>
    <w:family w:val="modern"/>
    <w:pitch w:val="default"/>
    <w:sig w:usb0="00000001" w:usb1="080E0000" w:usb2="00000000" w:usb3="00000000" w:csb0="00040000" w:csb1="00000000"/>
    <w:embedRegular r:id="rId8" w:fontKey="{5F8ECF70-7E0B-4ED6-855F-E95C5D4F239D}"/>
  </w:font>
  <w:font w:name="微软雅黑">
    <w:panose1 w:val="020B0503020204020204"/>
    <w:charset w:val="86"/>
    <w:family w:val="swiss"/>
    <w:pitch w:val="default"/>
    <w:sig w:usb0="80000287" w:usb1="2ACF3C50" w:usb2="00000016" w:usb3="00000000" w:csb0="0004001F" w:csb1="00000000"/>
    <w:embedRegular r:id="rId9" w:fontKey="{70E2754D-83A0-4282-BD73-39DD8A3DF577}"/>
  </w:font>
  <w:font w:name="华文楷体">
    <w:panose1 w:val="02010600040101010101"/>
    <w:charset w:val="86"/>
    <w:family w:val="auto"/>
    <w:pitch w:val="default"/>
    <w:sig w:usb0="00000287" w:usb1="080F0000" w:usb2="00000000" w:usb3="00000000" w:csb0="0004009F" w:csb1="DFD70000"/>
    <w:embedRegular r:id="rId10" w:fontKey="{F002C5DF-168D-45B8-AD00-C06516E36AA9}"/>
  </w:font>
  <w:font w:name="Helvetica">
    <w:altName w:val="Arial"/>
    <w:panose1 w:val="020B0604020202020204"/>
    <w:charset w:val="00"/>
    <w:family w:val="swiss"/>
    <w:pitch w:val="default"/>
    <w:sig w:usb0="00000000" w:usb1="00000000" w:usb2="00000000" w:usb3="00000000" w:csb0="00000001" w:csb1="00000000"/>
    <w:embedRegular r:id="rId11" w:fontKey="{9B4C4C48-1694-4886-ACA9-B3D13D8B39A5}"/>
  </w:font>
  <w:font w:name="仿宋">
    <w:panose1 w:val="02010609060101010101"/>
    <w:charset w:val="86"/>
    <w:family w:val="modern"/>
    <w:pitch w:val="default"/>
    <w:sig w:usb0="800002BF" w:usb1="38CF7CFA" w:usb2="00000016" w:usb3="00000000" w:csb0="00040001" w:csb1="00000000"/>
    <w:embedRegular r:id="rId12" w:fontKey="{909494E3-DD21-47D3-9203-EA4DFF26ACB9}"/>
  </w:font>
  <w:font w:name="方正小标宋_GBK">
    <w:panose1 w:val="03000509000000000000"/>
    <w:charset w:val="86"/>
    <w:family w:val="script"/>
    <w:pitch w:val="default"/>
    <w:sig w:usb0="00000001" w:usb1="080E0000" w:usb2="00000000" w:usb3="00000000" w:csb0="00040000" w:csb1="00000000"/>
    <w:embedRegular r:id="rId13" w:fontKey="{6470475C-7654-44EE-948B-87F33FADBF18}"/>
  </w:font>
  <w:font w:name="仿宋_GB2312">
    <w:panose1 w:val="02010609030101010101"/>
    <w:charset w:val="86"/>
    <w:family w:val="modern"/>
    <w:pitch w:val="default"/>
    <w:sig w:usb0="00000001" w:usb1="080E0000" w:usb2="00000000" w:usb3="00000000" w:csb0="00040000" w:csb1="00000000"/>
    <w:embedRegular r:id="rId14" w:fontKey="{944F6902-0B08-4143-B0A3-0F45D51BB8CE}"/>
  </w:font>
  <w:font w:name="楷体">
    <w:panose1 w:val="02010609060101010101"/>
    <w:charset w:val="86"/>
    <w:family w:val="modern"/>
    <w:pitch w:val="default"/>
    <w:sig w:usb0="800002BF" w:usb1="38CF7CFA" w:usb2="00000016" w:usb3="00000000" w:csb0="00040001" w:csb1="00000000"/>
    <w:embedRegular r:id="rId15" w:fontKey="{9C3494C4-71FE-4451-A3FA-EDA8C7185D55}"/>
  </w:font>
  <w:font w:name="华文细黑">
    <w:panose1 w:val="02010600040101010101"/>
    <w:charset w:val="86"/>
    <w:family w:val="auto"/>
    <w:pitch w:val="default"/>
    <w:sig w:usb0="00000287" w:usb1="080F0000" w:usb2="00000000" w:usb3="00000000" w:csb0="0004009F" w:csb1="DFD70000"/>
    <w:embedRegular r:id="rId16" w:fontKey="{49A7AF58-BB59-4F42-B1EE-C23FDBC01264}"/>
  </w:font>
  <w:font w:name="___WRD_EMBED_SUB_45">
    <w:altName w:val="Arial Unicode MS"/>
    <w:panose1 w:val="00000000000000000000"/>
    <w:charset w:val="86"/>
    <w:family w:val="modern"/>
    <w:pitch w:val="default"/>
    <w:sig w:usb0="00000000" w:usb1="00000000" w:usb2="00000000" w:usb3="00000000" w:csb0="00040000" w:csb1="00000000"/>
    <w:embedRegular r:id="rId17" w:fontKey="{571608AD-D9BF-47A0-9405-1F0FB67AACEB}"/>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6085775"/>
    </w:sdtPr>
    <w:sdtContent>
      <w:p>
        <w:pPr>
          <w:pStyle w:val="3"/>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5"/>
      </w:pPr>
      <w:r>
        <w:rPr>
          <w:rStyle w:val="12"/>
        </w:rPr>
        <w:footnoteRef/>
      </w:r>
      <w:r>
        <w:t xml:space="preserve"> </w:t>
      </w:r>
      <w:r>
        <w:rPr>
          <w:rFonts w:hint="eastAsia"/>
        </w:rPr>
        <w:t>5项全国试点项目：2016年，全省养老服务业综合改革试点地区；2016年，国家卫生计划委员会、民政部全国医养结合试点；2016年，民政部、财政部社区和居家养老服务改革试点；2019年，工信部、民政部、卫健委国家智慧养老示范基地；2020年，国家网信办人工智能养老社会实验试点。</w:t>
      </w:r>
    </w:p>
  </w:footnote>
  <w:footnote w:id="1">
    <w:p>
      <w:pPr>
        <w:pStyle w:val="5"/>
      </w:pPr>
      <w:r>
        <w:rPr>
          <w:rStyle w:val="12"/>
        </w:rPr>
        <w:footnoteRef/>
      </w:r>
      <w:r>
        <w:rPr>
          <w:rFonts w:hint="eastAsia"/>
        </w:rPr>
        <w:t>照护型机构/床位，指针对失能失智老人提供长期照护的养老机构照护床位和医疗护理床位，后续配套出台各类“照护型机构”标准。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907F3C"/>
    <w:multiLevelType w:val="multilevel"/>
    <w:tmpl w:val="1C907F3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44519E1"/>
    <w:multiLevelType w:val="multilevel"/>
    <w:tmpl w:val="244519E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8B222AF"/>
    <w:multiLevelType w:val="multilevel"/>
    <w:tmpl w:val="48B222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2OGVmMjk4ZmI5MzViMjgxZDQ4MTZiNjU3NzJiMDYifQ=="/>
  </w:docVars>
  <w:rsids>
    <w:rsidRoot w:val="00B2383B"/>
    <w:rsid w:val="000039DE"/>
    <w:rsid w:val="0000674D"/>
    <w:rsid w:val="00006C01"/>
    <w:rsid w:val="00007FD4"/>
    <w:rsid w:val="000113A6"/>
    <w:rsid w:val="0001256B"/>
    <w:rsid w:val="00015230"/>
    <w:rsid w:val="000211C2"/>
    <w:rsid w:val="00021442"/>
    <w:rsid w:val="00025316"/>
    <w:rsid w:val="00026B6D"/>
    <w:rsid w:val="000326EF"/>
    <w:rsid w:val="0003525F"/>
    <w:rsid w:val="000362D3"/>
    <w:rsid w:val="000373DC"/>
    <w:rsid w:val="00037D25"/>
    <w:rsid w:val="000449D2"/>
    <w:rsid w:val="00045F34"/>
    <w:rsid w:val="00047804"/>
    <w:rsid w:val="00051C60"/>
    <w:rsid w:val="00053E5A"/>
    <w:rsid w:val="000549DB"/>
    <w:rsid w:val="00055F02"/>
    <w:rsid w:val="00056F1B"/>
    <w:rsid w:val="00057893"/>
    <w:rsid w:val="00057962"/>
    <w:rsid w:val="00060030"/>
    <w:rsid w:val="00063629"/>
    <w:rsid w:val="0006450F"/>
    <w:rsid w:val="00065706"/>
    <w:rsid w:val="00066886"/>
    <w:rsid w:val="00066BBB"/>
    <w:rsid w:val="000717C5"/>
    <w:rsid w:val="0008234D"/>
    <w:rsid w:val="00090088"/>
    <w:rsid w:val="00094E44"/>
    <w:rsid w:val="0009701D"/>
    <w:rsid w:val="000A24B5"/>
    <w:rsid w:val="000A39C0"/>
    <w:rsid w:val="000A6E47"/>
    <w:rsid w:val="000B0FF9"/>
    <w:rsid w:val="000B65CC"/>
    <w:rsid w:val="000B6FA0"/>
    <w:rsid w:val="000C1828"/>
    <w:rsid w:val="000C33E0"/>
    <w:rsid w:val="000D0793"/>
    <w:rsid w:val="000D34A3"/>
    <w:rsid w:val="000D4795"/>
    <w:rsid w:val="000D5E55"/>
    <w:rsid w:val="000E0486"/>
    <w:rsid w:val="000E23A9"/>
    <w:rsid w:val="000F0104"/>
    <w:rsid w:val="000F0AE8"/>
    <w:rsid w:val="000F0F56"/>
    <w:rsid w:val="000F4F68"/>
    <w:rsid w:val="000F6959"/>
    <w:rsid w:val="000F7AC3"/>
    <w:rsid w:val="000F7D77"/>
    <w:rsid w:val="001008BA"/>
    <w:rsid w:val="0010230E"/>
    <w:rsid w:val="00102B52"/>
    <w:rsid w:val="00104769"/>
    <w:rsid w:val="00105A44"/>
    <w:rsid w:val="00106B07"/>
    <w:rsid w:val="0011298B"/>
    <w:rsid w:val="00112FA8"/>
    <w:rsid w:val="00115848"/>
    <w:rsid w:val="00117AA4"/>
    <w:rsid w:val="00121D03"/>
    <w:rsid w:val="00124732"/>
    <w:rsid w:val="00124B55"/>
    <w:rsid w:val="00131C62"/>
    <w:rsid w:val="00131E1A"/>
    <w:rsid w:val="0013323F"/>
    <w:rsid w:val="00133653"/>
    <w:rsid w:val="00133A5C"/>
    <w:rsid w:val="0013480D"/>
    <w:rsid w:val="00137446"/>
    <w:rsid w:val="00142257"/>
    <w:rsid w:val="001446ED"/>
    <w:rsid w:val="00144B99"/>
    <w:rsid w:val="001451DF"/>
    <w:rsid w:val="00153D0A"/>
    <w:rsid w:val="00153DCC"/>
    <w:rsid w:val="001548C0"/>
    <w:rsid w:val="001575CB"/>
    <w:rsid w:val="00157C30"/>
    <w:rsid w:val="001607B0"/>
    <w:rsid w:val="00163EC6"/>
    <w:rsid w:val="00165840"/>
    <w:rsid w:val="00170465"/>
    <w:rsid w:val="001738A0"/>
    <w:rsid w:val="00174349"/>
    <w:rsid w:val="00176311"/>
    <w:rsid w:val="0018315C"/>
    <w:rsid w:val="00184F73"/>
    <w:rsid w:val="00187C84"/>
    <w:rsid w:val="00191A2A"/>
    <w:rsid w:val="00193A95"/>
    <w:rsid w:val="00194AE7"/>
    <w:rsid w:val="00196C67"/>
    <w:rsid w:val="001A031F"/>
    <w:rsid w:val="001A0BB9"/>
    <w:rsid w:val="001A6213"/>
    <w:rsid w:val="001A6456"/>
    <w:rsid w:val="001A7179"/>
    <w:rsid w:val="001B0516"/>
    <w:rsid w:val="001B375C"/>
    <w:rsid w:val="001C1A7B"/>
    <w:rsid w:val="001C2098"/>
    <w:rsid w:val="001C2CD3"/>
    <w:rsid w:val="001C5067"/>
    <w:rsid w:val="001C5AE3"/>
    <w:rsid w:val="001D2EC2"/>
    <w:rsid w:val="001D4A88"/>
    <w:rsid w:val="001E2310"/>
    <w:rsid w:val="001F1368"/>
    <w:rsid w:val="001F1538"/>
    <w:rsid w:val="001F311C"/>
    <w:rsid w:val="001F5642"/>
    <w:rsid w:val="001F69C9"/>
    <w:rsid w:val="00201349"/>
    <w:rsid w:val="00201781"/>
    <w:rsid w:val="002033FC"/>
    <w:rsid w:val="00203960"/>
    <w:rsid w:val="00205FBC"/>
    <w:rsid w:val="0020705C"/>
    <w:rsid w:val="002071A8"/>
    <w:rsid w:val="00207539"/>
    <w:rsid w:val="00207939"/>
    <w:rsid w:val="002113A6"/>
    <w:rsid w:val="00213AFD"/>
    <w:rsid w:val="00214B17"/>
    <w:rsid w:val="0021774F"/>
    <w:rsid w:val="002209A4"/>
    <w:rsid w:val="00220B5D"/>
    <w:rsid w:val="00220DEF"/>
    <w:rsid w:val="002217CD"/>
    <w:rsid w:val="002231EF"/>
    <w:rsid w:val="0022642B"/>
    <w:rsid w:val="002303EE"/>
    <w:rsid w:val="00234958"/>
    <w:rsid w:val="0023581E"/>
    <w:rsid w:val="00236DFB"/>
    <w:rsid w:val="00241BD7"/>
    <w:rsid w:val="002432C7"/>
    <w:rsid w:val="002455C7"/>
    <w:rsid w:val="00247140"/>
    <w:rsid w:val="0025130C"/>
    <w:rsid w:val="00254C14"/>
    <w:rsid w:val="00255B2E"/>
    <w:rsid w:val="00257041"/>
    <w:rsid w:val="0026021E"/>
    <w:rsid w:val="0026064E"/>
    <w:rsid w:val="00262984"/>
    <w:rsid w:val="002639DC"/>
    <w:rsid w:val="00264841"/>
    <w:rsid w:val="00265223"/>
    <w:rsid w:val="0027065F"/>
    <w:rsid w:val="00272EF7"/>
    <w:rsid w:val="00274046"/>
    <w:rsid w:val="0027426C"/>
    <w:rsid w:val="0027439B"/>
    <w:rsid w:val="00275679"/>
    <w:rsid w:val="00277D3C"/>
    <w:rsid w:val="00280E71"/>
    <w:rsid w:val="00281053"/>
    <w:rsid w:val="00284520"/>
    <w:rsid w:val="00294AA0"/>
    <w:rsid w:val="00295740"/>
    <w:rsid w:val="00295834"/>
    <w:rsid w:val="00296B09"/>
    <w:rsid w:val="00296B2C"/>
    <w:rsid w:val="00297944"/>
    <w:rsid w:val="002A04B7"/>
    <w:rsid w:val="002A16F2"/>
    <w:rsid w:val="002A3416"/>
    <w:rsid w:val="002A63A9"/>
    <w:rsid w:val="002A742F"/>
    <w:rsid w:val="002A77F7"/>
    <w:rsid w:val="002A7904"/>
    <w:rsid w:val="002B2A2A"/>
    <w:rsid w:val="002B4133"/>
    <w:rsid w:val="002B4D51"/>
    <w:rsid w:val="002B5C8E"/>
    <w:rsid w:val="002B7CB3"/>
    <w:rsid w:val="002C245B"/>
    <w:rsid w:val="002C2E56"/>
    <w:rsid w:val="002C42C3"/>
    <w:rsid w:val="002C6502"/>
    <w:rsid w:val="002C67C2"/>
    <w:rsid w:val="002D2AB0"/>
    <w:rsid w:val="002D47E7"/>
    <w:rsid w:val="002E1510"/>
    <w:rsid w:val="002E2191"/>
    <w:rsid w:val="002E257D"/>
    <w:rsid w:val="002E4AAB"/>
    <w:rsid w:val="002E4DC9"/>
    <w:rsid w:val="002E6681"/>
    <w:rsid w:val="002F2390"/>
    <w:rsid w:val="002F7111"/>
    <w:rsid w:val="0030333F"/>
    <w:rsid w:val="00304407"/>
    <w:rsid w:val="00304685"/>
    <w:rsid w:val="0030799C"/>
    <w:rsid w:val="00310B3F"/>
    <w:rsid w:val="00311C8C"/>
    <w:rsid w:val="00314326"/>
    <w:rsid w:val="00315C80"/>
    <w:rsid w:val="003173A7"/>
    <w:rsid w:val="00317D67"/>
    <w:rsid w:val="00320190"/>
    <w:rsid w:val="0032205C"/>
    <w:rsid w:val="00326BBC"/>
    <w:rsid w:val="00333FFF"/>
    <w:rsid w:val="00334022"/>
    <w:rsid w:val="003341AE"/>
    <w:rsid w:val="00335B5C"/>
    <w:rsid w:val="00341ABD"/>
    <w:rsid w:val="00341C41"/>
    <w:rsid w:val="003438D2"/>
    <w:rsid w:val="003440B6"/>
    <w:rsid w:val="00344102"/>
    <w:rsid w:val="003457C7"/>
    <w:rsid w:val="00346A51"/>
    <w:rsid w:val="00353CE2"/>
    <w:rsid w:val="00354052"/>
    <w:rsid w:val="00357F27"/>
    <w:rsid w:val="003602E5"/>
    <w:rsid w:val="003614F7"/>
    <w:rsid w:val="00362A19"/>
    <w:rsid w:val="00365948"/>
    <w:rsid w:val="00367714"/>
    <w:rsid w:val="00372EEA"/>
    <w:rsid w:val="003747DA"/>
    <w:rsid w:val="00375CC3"/>
    <w:rsid w:val="00375E44"/>
    <w:rsid w:val="003809AD"/>
    <w:rsid w:val="003816C7"/>
    <w:rsid w:val="00385233"/>
    <w:rsid w:val="0038705B"/>
    <w:rsid w:val="00393C78"/>
    <w:rsid w:val="003941CC"/>
    <w:rsid w:val="003A0AAD"/>
    <w:rsid w:val="003A2F08"/>
    <w:rsid w:val="003A3E0C"/>
    <w:rsid w:val="003A4906"/>
    <w:rsid w:val="003A4FF6"/>
    <w:rsid w:val="003B33A3"/>
    <w:rsid w:val="003B34E5"/>
    <w:rsid w:val="003B37C6"/>
    <w:rsid w:val="003B4BCF"/>
    <w:rsid w:val="003C3C93"/>
    <w:rsid w:val="003C4870"/>
    <w:rsid w:val="003C68CC"/>
    <w:rsid w:val="003C7320"/>
    <w:rsid w:val="003C79BF"/>
    <w:rsid w:val="003C7FB8"/>
    <w:rsid w:val="003D0775"/>
    <w:rsid w:val="003D2552"/>
    <w:rsid w:val="003D3155"/>
    <w:rsid w:val="003D475A"/>
    <w:rsid w:val="003D49EF"/>
    <w:rsid w:val="003D58D8"/>
    <w:rsid w:val="003D7623"/>
    <w:rsid w:val="003E0520"/>
    <w:rsid w:val="003E0889"/>
    <w:rsid w:val="003E0BB9"/>
    <w:rsid w:val="003E10E4"/>
    <w:rsid w:val="003E5147"/>
    <w:rsid w:val="003E6D70"/>
    <w:rsid w:val="003E7006"/>
    <w:rsid w:val="003F0D2B"/>
    <w:rsid w:val="003F1106"/>
    <w:rsid w:val="003F30BF"/>
    <w:rsid w:val="003F4D46"/>
    <w:rsid w:val="003F4E84"/>
    <w:rsid w:val="003F6547"/>
    <w:rsid w:val="00401789"/>
    <w:rsid w:val="00406C5F"/>
    <w:rsid w:val="00407CF1"/>
    <w:rsid w:val="0041029F"/>
    <w:rsid w:val="00410D4C"/>
    <w:rsid w:val="00413406"/>
    <w:rsid w:val="00415641"/>
    <w:rsid w:val="004237A7"/>
    <w:rsid w:val="004316E3"/>
    <w:rsid w:val="004352D2"/>
    <w:rsid w:val="004422B7"/>
    <w:rsid w:val="00444143"/>
    <w:rsid w:val="00444949"/>
    <w:rsid w:val="00445833"/>
    <w:rsid w:val="004508AA"/>
    <w:rsid w:val="00450CAF"/>
    <w:rsid w:val="00454258"/>
    <w:rsid w:val="004554C6"/>
    <w:rsid w:val="0045568E"/>
    <w:rsid w:val="004578F4"/>
    <w:rsid w:val="00461FA1"/>
    <w:rsid w:val="00462FAC"/>
    <w:rsid w:val="00464A48"/>
    <w:rsid w:val="00465784"/>
    <w:rsid w:val="0047024F"/>
    <w:rsid w:val="004709D2"/>
    <w:rsid w:val="004715BB"/>
    <w:rsid w:val="00472C8B"/>
    <w:rsid w:val="004745CD"/>
    <w:rsid w:val="00474733"/>
    <w:rsid w:val="00474B9F"/>
    <w:rsid w:val="00475223"/>
    <w:rsid w:val="0048589A"/>
    <w:rsid w:val="0048745E"/>
    <w:rsid w:val="00492BD2"/>
    <w:rsid w:val="00495DA1"/>
    <w:rsid w:val="00496414"/>
    <w:rsid w:val="004A06F8"/>
    <w:rsid w:val="004A1328"/>
    <w:rsid w:val="004A1446"/>
    <w:rsid w:val="004A58B5"/>
    <w:rsid w:val="004A5CFC"/>
    <w:rsid w:val="004A77A4"/>
    <w:rsid w:val="004A7A82"/>
    <w:rsid w:val="004B1BE2"/>
    <w:rsid w:val="004B2D11"/>
    <w:rsid w:val="004C01AB"/>
    <w:rsid w:val="004C4E37"/>
    <w:rsid w:val="004C5C91"/>
    <w:rsid w:val="004C5E07"/>
    <w:rsid w:val="004C6CC2"/>
    <w:rsid w:val="004D3471"/>
    <w:rsid w:val="004D45C6"/>
    <w:rsid w:val="004D50A4"/>
    <w:rsid w:val="004D5762"/>
    <w:rsid w:val="004E00CA"/>
    <w:rsid w:val="004E07D6"/>
    <w:rsid w:val="004E34BB"/>
    <w:rsid w:val="004E3619"/>
    <w:rsid w:val="004E5055"/>
    <w:rsid w:val="004E5572"/>
    <w:rsid w:val="004E65D7"/>
    <w:rsid w:val="004F5273"/>
    <w:rsid w:val="004F5A4B"/>
    <w:rsid w:val="004F6FA1"/>
    <w:rsid w:val="004F7A3F"/>
    <w:rsid w:val="005003FA"/>
    <w:rsid w:val="00500C4A"/>
    <w:rsid w:val="00502A63"/>
    <w:rsid w:val="00502C66"/>
    <w:rsid w:val="00503CAD"/>
    <w:rsid w:val="00505324"/>
    <w:rsid w:val="005076E0"/>
    <w:rsid w:val="005103C3"/>
    <w:rsid w:val="00511909"/>
    <w:rsid w:val="00511A7D"/>
    <w:rsid w:val="005128A0"/>
    <w:rsid w:val="00514A86"/>
    <w:rsid w:val="00516DB0"/>
    <w:rsid w:val="0052042E"/>
    <w:rsid w:val="005243F2"/>
    <w:rsid w:val="00524715"/>
    <w:rsid w:val="00524B5F"/>
    <w:rsid w:val="00533B9B"/>
    <w:rsid w:val="005363BA"/>
    <w:rsid w:val="005366A8"/>
    <w:rsid w:val="0054081C"/>
    <w:rsid w:val="00541F94"/>
    <w:rsid w:val="00543B54"/>
    <w:rsid w:val="00543C80"/>
    <w:rsid w:val="00550DD4"/>
    <w:rsid w:val="00552793"/>
    <w:rsid w:val="0055630F"/>
    <w:rsid w:val="00556480"/>
    <w:rsid w:val="0056232F"/>
    <w:rsid w:val="0056572D"/>
    <w:rsid w:val="005657E2"/>
    <w:rsid w:val="00565BF5"/>
    <w:rsid w:val="0056630D"/>
    <w:rsid w:val="00566C8C"/>
    <w:rsid w:val="0057500C"/>
    <w:rsid w:val="005751DC"/>
    <w:rsid w:val="00577AE8"/>
    <w:rsid w:val="00580080"/>
    <w:rsid w:val="0058320E"/>
    <w:rsid w:val="00583C6F"/>
    <w:rsid w:val="0058633B"/>
    <w:rsid w:val="00586487"/>
    <w:rsid w:val="00587242"/>
    <w:rsid w:val="005877E3"/>
    <w:rsid w:val="00591E6F"/>
    <w:rsid w:val="005950D7"/>
    <w:rsid w:val="005A03A7"/>
    <w:rsid w:val="005A1365"/>
    <w:rsid w:val="005A1B06"/>
    <w:rsid w:val="005A25FF"/>
    <w:rsid w:val="005A30BA"/>
    <w:rsid w:val="005A351A"/>
    <w:rsid w:val="005A57DB"/>
    <w:rsid w:val="005A6B2F"/>
    <w:rsid w:val="005B1817"/>
    <w:rsid w:val="005B364D"/>
    <w:rsid w:val="005B36F0"/>
    <w:rsid w:val="005B3A35"/>
    <w:rsid w:val="005B3D3B"/>
    <w:rsid w:val="005C0C1F"/>
    <w:rsid w:val="005C0D2C"/>
    <w:rsid w:val="005C2EAE"/>
    <w:rsid w:val="005C3733"/>
    <w:rsid w:val="005C4D0A"/>
    <w:rsid w:val="005C4E94"/>
    <w:rsid w:val="005C5637"/>
    <w:rsid w:val="005C563D"/>
    <w:rsid w:val="005C64B9"/>
    <w:rsid w:val="005C76FD"/>
    <w:rsid w:val="005D2F53"/>
    <w:rsid w:val="005E2295"/>
    <w:rsid w:val="005E2D7C"/>
    <w:rsid w:val="005E40D6"/>
    <w:rsid w:val="005E47E9"/>
    <w:rsid w:val="005E55D4"/>
    <w:rsid w:val="005E61E0"/>
    <w:rsid w:val="005F002A"/>
    <w:rsid w:val="005F0F8C"/>
    <w:rsid w:val="005F2D7E"/>
    <w:rsid w:val="005F5909"/>
    <w:rsid w:val="005F695D"/>
    <w:rsid w:val="00601D60"/>
    <w:rsid w:val="0060395F"/>
    <w:rsid w:val="00610263"/>
    <w:rsid w:val="00610E3E"/>
    <w:rsid w:val="006151CF"/>
    <w:rsid w:val="0061584C"/>
    <w:rsid w:val="00617E52"/>
    <w:rsid w:val="00620844"/>
    <w:rsid w:val="006214D2"/>
    <w:rsid w:val="00623497"/>
    <w:rsid w:val="00624E8B"/>
    <w:rsid w:val="00626BA3"/>
    <w:rsid w:val="00636883"/>
    <w:rsid w:val="006377C5"/>
    <w:rsid w:val="00652882"/>
    <w:rsid w:val="006536F3"/>
    <w:rsid w:val="00654E24"/>
    <w:rsid w:val="00655364"/>
    <w:rsid w:val="0065549E"/>
    <w:rsid w:val="006576F7"/>
    <w:rsid w:val="00661468"/>
    <w:rsid w:val="006637F9"/>
    <w:rsid w:val="00673F83"/>
    <w:rsid w:val="00675F1A"/>
    <w:rsid w:val="00676E3C"/>
    <w:rsid w:val="006776C9"/>
    <w:rsid w:val="00681795"/>
    <w:rsid w:val="00685C57"/>
    <w:rsid w:val="006866D3"/>
    <w:rsid w:val="00691AE0"/>
    <w:rsid w:val="00692772"/>
    <w:rsid w:val="00692BAE"/>
    <w:rsid w:val="00694236"/>
    <w:rsid w:val="006946DB"/>
    <w:rsid w:val="00696AAF"/>
    <w:rsid w:val="00697441"/>
    <w:rsid w:val="006A0986"/>
    <w:rsid w:val="006A2706"/>
    <w:rsid w:val="006A7D3C"/>
    <w:rsid w:val="006A7FFA"/>
    <w:rsid w:val="006B48C4"/>
    <w:rsid w:val="006B79FC"/>
    <w:rsid w:val="006C0182"/>
    <w:rsid w:val="006C0269"/>
    <w:rsid w:val="006C1456"/>
    <w:rsid w:val="006C1B5D"/>
    <w:rsid w:val="006C2998"/>
    <w:rsid w:val="006C4D4D"/>
    <w:rsid w:val="006C55C7"/>
    <w:rsid w:val="006C5B52"/>
    <w:rsid w:val="006C5D77"/>
    <w:rsid w:val="006C63AA"/>
    <w:rsid w:val="006C763C"/>
    <w:rsid w:val="006D109F"/>
    <w:rsid w:val="006D47B9"/>
    <w:rsid w:val="006D4FD9"/>
    <w:rsid w:val="006E1BC5"/>
    <w:rsid w:val="006E4E46"/>
    <w:rsid w:val="006E6B96"/>
    <w:rsid w:val="006F1465"/>
    <w:rsid w:val="006F2D70"/>
    <w:rsid w:val="006F79D8"/>
    <w:rsid w:val="006F7D15"/>
    <w:rsid w:val="00700649"/>
    <w:rsid w:val="0070085F"/>
    <w:rsid w:val="00702092"/>
    <w:rsid w:val="00704489"/>
    <w:rsid w:val="00704514"/>
    <w:rsid w:val="00705D6A"/>
    <w:rsid w:val="00706D9E"/>
    <w:rsid w:val="007073D5"/>
    <w:rsid w:val="00710C59"/>
    <w:rsid w:val="007122C3"/>
    <w:rsid w:val="00716E2C"/>
    <w:rsid w:val="00721F4C"/>
    <w:rsid w:val="00722D15"/>
    <w:rsid w:val="007234A1"/>
    <w:rsid w:val="007235C7"/>
    <w:rsid w:val="00730D46"/>
    <w:rsid w:val="007351C2"/>
    <w:rsid w:val="007406FB"/>
    <w:rsid w:val="00742096"/>
    <w:rsid w:val="00744405"/>
    <w:rsid w:val="00744AD9"/>
    <w:rsid w:val="007462FD"/>
    <w:rsid w:val="0074694A"/>
    <w:rsid w:val="00747760"/>
    <w:rsid w:val="00747CF2"/>
    <w:rsid w:val="00754C8A"/>
    <w:rsid w:val="00763113"/>
    <w:rsid w:val="0076475E"/>
    <w:rsid w:val="0077221E"/>
    <w:rsid w:val="00772811"/>
    <w:rsid w:val="00773C92"/>
    <w:rsid w:val="00776A0A"/>
    <w:rsid w:val="0078392F"/>
    <w:rsid w:val="00784A16"/>
    <w:rsid w:val="00785251"/>
    <w:rsid w:val="007852A7"/>
    <w:rsid w:val="00793856"/>
    <w:rsid w:val="007956F9"/>
    <w:rsid w:val="00795C7B"/>
    <w:rsid w:val="00797379"/>
    <w:rsid w:val="007A10A4"/>
    <w:rsid w:val="007A4B07"/>
    <w:rsid w:val="007B09E0"/>
    <w:rsid w:val="007B0BEC"/>
    <w:rsid w:val="007B437D"/>
    <w:rsid w:val="007B6030"/>
    <w:rsid w:val="007B6543"/>
    <w:rsid w:val="007B66C2"/>
    <w:rsid w:val="007C0209"/>
    <w:rsid w:val="007C1152"/>
    <w:rsid w:val="007D1A8C"/>
    <w:rsid w:val="007D1F18"/>
    <w:rsid w:val="007D22CD"/>
    <w:rsid w:val="007D42AE"/>
    <w:rsid w:val="007E1CCB"/>
    <w:rsid w:val="007E4BB6"/>
    <w:rsid w:val="007E4FE0"/>
    <w:rsid w:val="007E62AD"/>
    <w:rsid w:val="007F2C2B"/>
    <w:rsid w:val="007F3C7D"/>
    <w:rsid w:val="007F421E"/>
    <w:rsid w:val="007F6303"/>
    <w:rsid w:val="007F65FD"/>
    <w:rsid w:val="007F7D52"/>
    <w:rsid w:val="0080227B"/>
    <w:rsid w:val="00802C19"/>
    <w:rsid w:val="008036AE"/>
    <w:rsid w:val="00803B6F"/>
    <w:rsid w:val="00811B48"/>
    <w:rsid w:val="00811C01"/>
    <w:rsid w:val="0081222E"/>
    <w:rsid w:val="008123A8"/>
    <w:rsid w:val="008139E4"/>
    <w:rsid w:val="008155B7"/>
    <w:rsid w:val="00815DA7"/>
    <w:rsid w:val="008230AA"/>
    <w:rsid w:val="008233C3"/>
    <w:rsid w:val="008235AF"/>
    <w:rsid w:val="00823EBD"/>
    <w:rsid w:val="00825526"/>
    <w:rsid w:val="00826F27"/>
    <w:rsid w:val="00826F3A"/>
    <w:rsid w:val="00830FAF"/>
    <w:rsid w:val="0083105F"/>
    <w:rsid w:val="00833D4E"/>
    <w:rsid w:val="00840A2E"/>
    <w:rsid w:val="008411B2"/>
    <w:rsid w:val="008431B5"/>
    <w:rsid w:val="008443DA"/>
    <w:rsid w:val="0084639B"/>
    <w:rsid w:val="00847FE8"/>
    <w:rsid w:val="00850B00"/>
    <w:rsid w:val="00850CF7"/>
    <w:rsid w:val="008518D4"/>
    <w:rsid w:val="008525A2"/>
    <w:rsid w:val="00854A10"/>
    <w:rsid w:val="008559F7"/>
    <w:rsid w:val="008564E9"/>
    <w:rsid w:val="00857D55"/>
    <w:rsid w:val="00860849"/>
    <w:rsid w:val="00862142"/>
    <w:rsid w:val="0086582F"/>
    <w:rsid w:val="008753D3"/>
    <w:rsid w:val="0088068F"/>
    <w:rsid w:val="00881BAD"/>
    <w:rsid w:val="00882830"/>
    <w:rsid w:val="00883167"/>
    <w:rsid w:val="00884C7F"/>
    <w:rsid w:val="0089539E"/>
    <w:rsid w:val="008953FB"/>
    <w:rsid w:val="00897202"/>
    <w:rsid w:val="00897E5C"/>
    <w:rsid w:val="008A1D69"/>
    <w:rsid w:val="008A34DC"/>
    <w:rsid w:val="008B5A72"/>
    <w:rsid w:val="008C0862"/>
    <w:rsid w:val="008C4462"/>
    <w:rsid w:val="008C4EA4"/>
    <w:rsid w:val="008C7BA1"/>
    <w:rsid w:val="008D10E9"/>
    <w:rsid w:val="008D299E"/>
    <w:rsid w:val="008D7543"/>
    <w:rsid w:val="008E0715"/>
    <w:rsid w:val="008E137D"/>
    <w:rsid w:val="008E278E"/>
    <w:rsid w:val="008E58AC"/>
    <w:rsid w:val="008F5DD4"/>
    <w:rsid w:val="008F6640"/>
    <w:rsid w:val="00901293"/>
    <w:rsid w:val="00901502"/>
    <w:rsid w:val="00901A24"/>
    <w:rsid w:val="009058D5"/>
    <w:rsid w:val="009139CC"/>
    <w:rsid w:val="0091732E"/>
    <w:rsid w:val="00920507"/>
    <w:rsid w:val="0092749C"/>
    <w:rsid w:val="0093091A"/>
    <w:rsid w:val="00933111"/>
    <w:rsid w:val="00933E31"/>
    <w:rsid w:val="009350D7"/>
    <w:rsid w:val="0094021D"/>
    <w:rsid w:val="00943DF3"/>
    <w:rsid w:val="00944B7A"/>
    <w:rsid w:val="0094544A"/>
    <w:rsid w:val="009458DC"/>
    <w:rsid w:val="00945DC3"/>
    <w:rsid w:val="0094602D"/>
    <w:rsid w:val="00950FB8"/>
    <w:rsid w:val="00954011"/>
    <w:rsid w:val="00954335"/>
    <w:rsid w:val="00955F48"/>
    <w:rsid w:val="00956368"/>
    <w:rsid w:val="009569EF"/>
    <w:rsid w:val="00957E80"/>
    <w:rsid w:val="009612DE"/>
    <w:rsid w:val="00961C9A"/>
    <w:rsid w:val="0096504D"/>
    <w:rsid w:val="00966ED3"/>
    <w:rsid w:val="00967601"/>
    <w:rsid w:val="0096788D"/>
    <w:rsid w:val="00977CFC"/>
    <w:rsid w:val="00983413"/>
    <w:rsid w:val="00986C5D"/>
    <w:rsid w:val="009871E2"/>
    <w:rsid w:val="00987E60"/>
    <w:rsid w:val="00992DAD"/>
    <w:rsid w:val="009946B5"/>
    <w:rsid w:val="00997567"/>
    <w:rsid w:val="009A15C3"/>
    <w:rsid w:val="009A1994"/>
    <w:rsid w:val="009A2564"/>
    <w:rsid w:val="009A44DF"/>
    <w:rsid w:val="009A7297"/>
    <w:rsid w:val="009A72DA"/>
    <w:rsid w:val="009B0FCD"/>
    <w:rsid w:val="009B10BF"/>
    <w:rsid w:val="009B1C0F"/>
    <w:rsid w:val="009B35C1"/>
    <w:rsid w:val="009B61C2"/>
    <w:rsid w:val="009C0976"/>
    <w:rsid w:val="009C0CFE"/>
    <w:rsid w:val="009C0E55"/>
    <w:rsid w:val="009C13F1"/>
    <w:rsid w:val="009C1B8A"/>
    <w:rsid w:val="009C1DD0"/>
    <w:rsid w:val="009C7D1C"/>
    <w:rsid w:val="009D1DB2"/>
    <w:rsid w:val="009D3251"/>
    <w:rsid w:val="009D3701"/>
    <w:rsid w:val="009E35A5"/>
    <w:rsid w:val="009E63CA"/>
    <w:rsid w:val="009E65DB"/>
    <w:rsid w:val="009E7096"/>
    <w:rsid w:val="009E7B4E"/>
    <w:rsid w:val="009F19B3"/>
    <w:rsid w:val="009F4846"/>
    <w:rsid w:val="009F5619"/>
    <w:rsid w:val="009F5FC9"/>
    <w:rsid w:val="00A00E79"/>
    <w:rsid w:val="00A020C8"/>
    <w:rsid w:val="00A10117"/>
    <w:rsid w:val="00A11536"/>
    <w:rsid w:val="00A15833"/>
    <w:rsid w:val="00A16029"/>
    <w:rsid w:val="00A16DE6"/>
    <w:rsid w:val="00A207AD"/>
    <w:rsid w:val="00A20E26"/>
    <w:rsid w:val="00A222E1"/>
    <w:rsid w:val="00A22CAC"/>
    <w:rsid w:val="00A247FD"/>
    <w:rsid w:val="00A30DFE"/>
    <w:rsid w:val="00A31BCA"/>
    <w:rsid w:val="00A378E3"/>
    <w:rsid w:val="00A41791"/>
    <w:rsid w:val="00A43C2D"/>
    <w:rsid w:val="00A4423A"/>
    <w:rsid w:val="00A44443"/>
    <w:rsid w:val="00A449E4"/>
    <w:rsid w:val="00A45FCC"/>
    <w:rsid w:val="00A475AB"/>
    <w:rsid w:val="00A47E54"/>
    <w:rsid w:val="00A5155E"/>
    <w:rsid w:val="00A54DDD"/>
    <w:rsid w:val="00A652EF"/>
    <w:rsid w:val="00A67553"/>
    <w:rsid w:val="00A70D75"/>
    <w:rsid w:val="00A80B01"/>
    <w:rsid w:val="00A819C4"/>
    <w:rsid w:val="00A8239B"/>
    <w:rsid w:val="00A831B5"/>
    <w:rsid w:val="00A8413D"/>
    <w:rsid w:val="00A872D0"/>
    <w:rsid w:val="00A87802"/>
    <w:rsid w:val="00A91BD3"/>
    <w:rsid w:val="00A96155"/>
    <w:rsid w:val="00A9782D"/>
    <w:rsid w:val="00AA06CA"/>
    <w:rsid w:val="00AA349F"/>
    <w:rsid w:val="00AA4A53"/>
    <w:rsid w:val="00AA4B4B"/>
    <w:rsid w:val="00AB3E2B"/>
    <w:rsid w:val="00AB4B16"/>
    <w:rsid w:val="00AB4D76"/>
    <w:rsid w:val="00AB52D1"/>
    <w:rsid w:val="00AB571B"/>
    <w:rsid w:val="00AB5855"/>
    <w:rsid w:val="00AB5F14"/>
    <w:rsid w:val="00AB78C2"/>
    <w:rsid w:val="00AC2635"/>
    <w:rsid w:val="00AC2B10"/>
    <w:rsid w:val="00AC4F93"/>
    <w:rsid w:val="00AC55A5"/>
    <w:rsid w:val="00AC6A15"/>
    <w:rsid w:val="00AD2D27"/>
    <w:rsid w:val="00AD3AC5"/>
    <w:rsid w:val="00AD67E9"/>
    <w:rsid w:val="00AE190F"/>
    <w:rsid w:val="00AE315A"/>
    <w:rsid w:val="00AE4FC3"/>
    <w:rsid w:val="00AE67F6"/>
    <w:rsid w:val="00AE7E50"/>
    <w:rsid w:val="00AF0CA9"/>
    <w:rsid w:val="00AF3487"/>
    <w:rsid w:val="00B029DF"/>
    <w:rsid w:val="00B02B66"/>
    <w:rsid w:val="00B02CD4"/>
    <w:rsid w:val="00B049B3"/>
    <w:rsid w:val="00B04E4C"/>
    <w:rsid w:val="00B04F47"/>
    <w:rsid w:val="00B10E92"/>
    <w:rsid w:val="00B130E9"/>
    <w:rsid w:val="00B21D7C"/>
    <w:rsid w:val="00B2383B"/>
    <w:rsid w:val="00B250F9"/>
    <w:rsid w:val="00B27FC5"/>
    <w:rsid w:val="00B3111B"/>
    <w:rsid w:val="00B31B79"/>
    <w:rsid w:val="00B31F9B"/>
    <w:rsid w:val="00B32568"/>
    <w:rsid w:val="00B336D5"/>
    <w:rsid w:val="00B349D2"/>
    <w:rsid w:val="00B37126"/>
    <w:rsid w:val="00B40AF1"/>
    <w:rsid w:val="00B40EBC"/>
    <w:rsid w:val="00B41839"/>
    <w:rsid w:val="00B4185C"/>
    <w:rsid w:val="00B41861"/>
    <w:rsid w:val="00B4202C"/>
    <w:rsid w:val="00B438B3"/>
    <w:rsid w:val="00B43A28"/>
    <w:rsid w:val="00B4426B"/>
    <w:rsid w:val="00B46E5D"/>
    <w:rsid w:val="00B4757E"/>
    <w:rsid w:val="00B51088"/>
    <w:rsid w:val="00B5228C"/>
    <w:rsid w:val="00B54DFF"/>
    <w:rsid w:val="00B55BCF"/>
    <w:rsid w:val="00B55C18"/>
    <w:rsid w:val="00B57E86"/>
    <w:rsid w:val="00B60897"/>
    <w:rsid w:val="00B60CD2"/>
    <w:rsid w:val="00B625D7"/>
    <w:rsid w:val="00B6512E"/>
    <w:rsid w:val="00B6718E"/>
    <w:rsid w:val="00B70091"/>
    <w:rsid w:val="00B70613"/>
    <w:rsid w:val="00B747C0"/>
    <w:rsid w:val="00B75C21"/>
    <w:rsid w:val="00B7706C"/>
    <w:rsid w:val="00B832D6"/>
    <w:rsid w:val="00B96F2F"/>
    <w:rsid w:val="00B97CEF"/>
    <w:rsid w:val="00BA1EAB"/>
    <w:rsid w:val="00BA6A66"/>
    <w:rsid w:val="00BB0AB1"/>
    <w:rsid w:val="00BB3FE3"/>
    <w:rsid w:val="00BB4968"/>
    <w:rsid w:val="00BC6136"/>
    <w:rsid w:val="00BD7EED"/>
    <w:rsid w:val="00BE34CD"/>
    <w:rsid w:val="00BE4C63"/>
    <w:rsid w:val="00BE7E95"/>
    <w:rsid w:val="00BF0146"/>
    <w:rsid w:val="00BF0A8C"/>
    <w:rsid w:val="00BF0C85"/>
    <w:rsid w:val="00BF1459"/>
    <w:rsid w:val="00BF1FA3"/>
    <w:rsid w:val="00BF4CF7"/>
    <w:rsid w:val="00BF596B"/>
    <w:rsid w:val="00BF67D1"/>
    <w:rsid w:val="00BF6972"/>
    <w:rsid w:val="00C01E24"/>
    <w:rsid w:val="00C02ED9"/>
    <w:rsid w:val="00C03682"/>
    <w:rsid w:val="00C052CB"/>
    <w:rsid w:val="00C05CD4"/>
    <w:rsid w:val="00C118B1"/>
    <w:rsid w:val="00C11FA1"/>
    <w:rsid w:val="00C1227B"/>
    <w:rsid w:val="00C14546"/>
    <w:rsid w:val="00C14D17"/>
    <w:rsid w:val="00C17720"/>
    <w:rsid w:val="00C20220"/>
    <w:rsid w:val="00C231C9"/>
    <w:rsid w:val="00C25F99"/>
    <w:rsid w:val="00C32C8A"/>
    <w:rsid w:val="00C413E7"/>
    <w:rsid w:val="00C42080"/>
    <w:rsid w:val="00C422D4"/>
    <w:rsid w:val="00C4453C"/>
    <w:rsid w:val="00C45B1D"/>
    <w:rsid w:val="00C53125"/>
    <w:rsid w:val="00C55833"/>
    <w:rsid w:val="00C55A0D"/>
    <w:rsid w:val="00C6015F"/>
    <w:rsid w:val="00C60B8D"/>
    <w:rsid w:val="00C60F7D"/>
    <w:rsid w:val="00C61639"/>
    <w:rsid w:val="00C632D3"/>
    <w:rsid w:val="00C649F6"/>
    <w:rsid w:val="00C67822"/>
    <w:rsid w:val="00C73235"/>
    <w:rsid w:val="00C761BF"/>
    <w:rsid w:val="00C7642F"/>
    <w:rsid w:val="00C769C1"/>
    <w:rsid w:val="00C813BB"/>
    <w:rsid w:val="00C81467"/>
    <w:rsid w:val="00C83E27"/>
    <w:rsid w:val="00C8572C"/>
    <w:rsid w:val="00C9401D"/>
    <w:rsid w:val="00CA13A3"/>
    <w:rsid w:val="00CA44FE"/>
    <w:rsid w:val="00CA4683"/>
    <w:rsid w:val="00CB248B"/>
    <w:rsid w:val="00CB5554"/>
    <w:rsid w:val="00CB5612"/>
    <w:rsid w:val="00CB7E49"/>
    <w:rsid w:val="00CC2100"/>
    <w:rsid w:val="00CC4130"/>
    <w:rsid w:val="00CC62B7"/>
    <w:rsid w:val="00CC79D9"/>
    <w:rsid w:val="00CD741F"/>
    <w:rsid w:val="00CE0508"/>
    <w:rsid w:val="00CE0A3C"/>
    <w:rsid w:val="00CE192E"/>
    <w:rsid w:val="00CE1C6C"/>
    <w:rsid w:val="00CE1F73"/>
    <w:rsid w:val="00CE296A"/>
    <w:rsid w:val="00CE2FE7"/>
    <w:rsid w:val="00CF18BC"/>
    <w:rsid w:val="00CF469E"/>
    <w:rsid w:val="00CF694E"/>
    <w:rsid w:val="00CF6E5C"/>
    <w:rsid w:val="00CF77BD"/>
    <w:rsid w:val="00D0497F"/>
    <w:rsid w:val="00D05346"/>
    <w:rsid w:val="00D064C7"/>
    <w:rsid w:val="00D06B78"/>
    <w:rsid w:val="00D072EA"/>
    <w:rsid w:val="00D07A3B"/>
    <w:rsid w:val="00D13414"/>
    <w:rsid w:val="00D14CE4"/>
    <w:rsid w:val="00D16AB3"/>
    <w:rsid w:val="00D21F08"/>
    <w:rsid w:val="00D245DF"/>
    <w:rsid w:val="00D259AA"/>
    <w:rsid w:val="00D26185"/>
    <w:rsid w:val="00D311AC"/>
    <w:rsid w:val="00D31C5B"/>
    <w:rsid w:val="00D323BB"/>
    <w:rsid w:val="00D3448E"/>
    <w:rsid w:val="00D37AF9"/>
    <w:rsid w:val="00D43085"/>
    <w:rsid w:val="00D4449A"/>
    <w:rsid w:val="00D444BF"/>
    <w:rsid w:val="00D4642E"/>
    <w:rsid w:val="00D47A26"/>
    <w:rsid w:val="00D5031D"/>
    <w:rsid w:val="00D50992"/>
    <w:rsid w:val="00D529BD"/>
    <w:rsid w:val="00D6098D"/>
    <w:rsid w:val="00D61671"/>
    <w:rsid w:val="00D61BD8"/>
    <w:rsid w:val="00D61C36"/>
    <w:rsid w:val="00D633D6"/>
    <w:rsid w:val="00D6508D"/>
    <w:rsid w:val="00D67096"/>
    <w:rsid w:val="00D67541"/>
    <w:rsid w:val="00D70272"/>
    <w:rsid w:val="00D71219"/>
    <w:rsid w:val="00D72E59"/>
    <w:rsid w:val="00D7386F"/>
    <w:rsid w:val="00D749FB"/>
    <w:rsid w:val="00D74D1A"/>
    <w:rsid w:val="00D76B44"/>
    <w:rsid w:val="00D8444F"/>
    <w:rsid w:val="00D85A8B"/>
    <w:rsid w:val="00D85FC9"/>
    <w:rsid w:val="00D862AC"/>
    <w:rsid w:val="00D867F6"/>
    <w:rsid w:val="00D86E04"/>
    <w:rsid w:val="00D9320B"/>
    <w:rsid w:val="00D94A48"/>
    <w:rsid w:val="00D95160"/>
    <w:rsid w:val="00D9799D"/>
    <w:rsid w:val="00DA07EB"/>
    <w:rsid w:val="00DA37A3"/>
    <w:rsid w:val="00DA3CF2"/>
    <w:rsid w:val="00DA66AB"/>
    <w:rsid w:val="00DA673C"/>
    <w:rsid w:val="00DA6951"/>
    <w:rsid w:val="00DB1999"/>
    <w:rsid w:val="00DB1CB3"/>
    <w:rsid w:val="00DB3D1F"/>
    <w:rsid w:val="00DB76E4"/>
    <w:rsid w:val="00DC07BC"/>
    <w:rsid w:val="00DC0A09"/>
    <w:rsid w:val="00DC1F1C"/>
    <w:rsid w:val="00DC2D02"/>
    <w:rsid w:val="00DC421F"/>
    <w:rsid w:val="00DC730F"/>
    <w:rsid w:val="00DC781E"/>
    <w:rsid w:val="00DD3FEA"/>
    <w:rsid w:val="00DD477E"/>
    <w:rsid w:val="00DD7F3C"/>
    <w:rsid w:val="00DE0A2A"/>
    <w:rsid w:val="00DE4B53"/>
    <w:rsid w:val="00DE4D92"/>
    <w:rsid w:val="00DE6163"/>
    <w:rsid w:val="00DF2A5C"/>
    <w:rsid w:val="00DF2C2E"/>
    <w:rsid w:val="00DF69FC"/>
    <w:rsid w:val="00E01871"/>
    <w:rsid w:val="00E111A3"/>
    <w:rsid w:val="00E11C7F"/>
    <w:rsid w:val="00E12128"/>
    <w:rsid w:val="00E13218"/>
    <w:rsid w:val="00E14047"/>
    <w:rsid w:val="00E143DF"/>
    <w:rsid w:val="00E22DB5"/>
    <w:rsid w:val="00E2376C"/>
    <w:rsid w:val="00E24723"/>
    <w:rsid w:val="00E24BA4"/>
    <w:rsid w:val="00E27742"/>
    <w:rsid w:val="00E27A6E"/>
    <w:rsid w:val="00E30EBB"/>
    <w:rsid w:val="00E323ED"/>
    <w:rsid w:val="00E340EF"/>
    <w:rsid w:val="00E36FC3"/>
    <w:rsid w:val="00E43A36"/>
    <w:rsid w:val="00E43E1A"/>
    <w:rsid w:val="00E4443C"/>
    <w:rsid w:val="00E45F96"/>
    <w:rsid w:val="00E46BC3"/>
    <w:rsid w:val="00E46F6D"/>
    <w:rsid w:val="00E46F94"/>
    <w:rsid w:val="00E50B9F"/>
    <w:rsid w:val="00E50BFD"/>
    <w:rsid w:val="00E55E53"/>
    <w:rsid w:val="00E60911"/>
    <w:rsid w:val="00E61F04"/>
    <w:rsid w:val="00E6230C"/>
    <w:rsid w:val="00E62605"/>
    <w:rsid w:val="00E6308D"/>
    <w:rsid w:val="00E63153"/>
    <w:rsid w:val="00E6650E"/>
    <w:rsid w:val="00E670A0"/>
    <w:rsid w:val="00E7161A"/>
    <w:rsid w:val="00E71F6B"/>
    <w:rsid w:val="00E72A05"/>
    <w:rsid w:val="00E75093"/>
    <w:rsid w:val="00E75263"/>
    <w:rsid w:val="00E7652B"/>
    <w:rsid w:val="00E843AB"/>
    <w:rsid w:val="00E8708C"/>
    <w:rsid w:val="00E906DC"/>
    <w:rsid w:val="00E9208A"/>
    <w:rsid w:val="00E93340"/>
    <w:rsid w:val="00E933BC"/>
    <w:rsid w:val="00E957D0"/>
    <w:rsid w:val="00EA327E"/>
    <w:rsid w:val="00EA3513"/>
    <w:rsid w:val="00EA61A1"/>
    <w:rsid w:val="00EA6F44"/>
    <w:rsid w:val="00EA7206"/>
    <w:rsid w:val="00EA7BDB"/>
    <w:rsid w:val="00EA7D17"/>
    <w:rsid w:val="00EB110F"/>
    <w:rsid w:val="00EB475C"/>
    <w:rsid w:val="00EB4CE0"/>
    <w:rsid w:val="00EB4D35"/>
    <w:rsid w:val="00EC0310"/>
    <w:rsid w:val="00EC288A"/>
    <w:rsid w:val="00EC2F2E"/>
    <w:rsid w:val="00EC6125"/>
    <w:rsid w:val="00ED04B2"/>
    <w:rsid w:val="00ED2A78"/>
    <w:rsid w:val="00ED4800"/>
    <w:rsid w:val="00ED48E1"/>
    <w:rsid w:val="00EE2161"/>
    <w:rsid w:val="00EE2B27"/>
    <w:rsid w:val="00EE3BBC"/>
    <w:rsid w:val="00EE6E27"/>
    <w:rsid w:val="00EE6FCA"/>
    <w:rsid w:val="00EF0650"/>
    <w:rsid w:val="00EF5FE3"/>
    <w:rsid w:val="00F00B93"/>
    <w:rsid w:val="00F00E9A"/>
    <w:rsid w:val="00F0239E"/>
    <w:rsid w:val="00F02C9D"/>
    <w:rsid w:val="00F0439D"/>
    <w:rsid w:val="00F04CDE"/>
    <w:rsid w:val="00F111F9"/>
    <w:rsid w:val="00F11B65"/>
    <w:rsid w:val="00F13AAD"/>
    <w:rsid w:val="00F14C3C"/>
    <w:rsid w:val="00F16E8F"/>
    <w:rsid w:val="00F1723F"/>
    <w:rsid w:val="00F20832"/>
    <w:rsid w:val="00F21B8D"/>
    <w:rsid w:val="00F21BD7"/>
    <w:rsid w:val="00F2474D"/>
    <w:rsid w:val="00F247F2"/>
    <w:rsid w:val="00F248B4"/>
    <w:rsid w:val="00F253DE"/>
    <w:rsid w:val="00F25A7A"/>
    <w:rsid w:val="00F26FB4"/>
    <w:rsid w:val="00F30045"/>
    <w:rsid w:val="00F30D6B"/>
    <w:rsid w:val="00F35C64"/>
    <w:rsid w:val="00F400A4"/>
    <w:rsid w:val="00F427F3"/>
    <w:rsid w:val="00F44569"/>
    <w:rsid w:val="00F47169"/>
    <w:rsid w:val="00F500D4"/>
    <w:rsid w:val="00F50E31"/>
    <w:rsid w:val="00F51050"/>
    <w:rsid w:val="00F5196F"/>
    <w:rsid w:val="00F534E3"/>
    <w:rsid w:val="00F54407"/>
    <w:rsid w:val="00F548AD"/>
    <w:rsid w:val="00F5627C"/>
    <w:rsid w:val="00F623B2"/>
    <w:rsid w:val="00F62E85"/>
    <w:rsid w:val="00F6334D"/>
    <w:rsid w:val="00F65F69"/>
    <w:rsid w:val="00F70E5A"/>
    <w:rsid w:val="00F719A9"/>
    <w:rsid w:val="00F733FC"/>
    <w:rsid w:val="00F73C73"/>
    <w:rsid w:val="00F74624"/>
    <w:rsid w:val="00F83738"/>
    <w:rsid w:val="00F8582E"/>
    <w:rsid w:val="00F871EE"/>
    <w:rsid w:val="00F918A0"/>
    <w:rsid w:val="00F926A5"/>
    <w:rsid w:val="00F96F84"/>
    <w:rsid w:val="00FA432C"/>
    <w:rsid w:val="00FA5561"/>
    <w:rsid w:val="00FA676A"/>
    <w:rsid w:val="00FA67E1"/>
    <w:rsid w:val="00FA6C9A"/>
    <w:rsid w:val="00FA752D"/>
    <w:rsid w:val="00FB0A91"/>
    <w:rsid w:val="00FB0DFD"/>
    <w:rsid w:val="00FB13A9"/>
    <w:rsid w:val="00FB16A0"/>
    <w:rsid w:val="00FB41BF"/>
    <w:rsid w:val="00FB488B"/>
    <w:rsid w:val="00FB4F88"/>
    <w:rsid w:val="00FB5A33"/>
    <w:rsid w:val="00FB780B"/>
    <w:rsid w:val="00FC09EE"/>
    <w:rsid w:val="00FC0A6D"/>
    <w:rsid w:val="00FC1677"/>
    <w:rsid w:val="00FC4DEB"/>
    <w:rsid w:val="00FC6B55"/>
    <w:rsid w:val="00FD312B"/>
    <w:rsid w:val="00FD3E59"/>
    <w:rsid w:val="00FD4018"/>
    <w:rsid w:val="00FD55DC"/>
    <w:rsid w:val="00FD71FB"/>
    <w:rsid w:val="00FD77A1"/>
    <w:rsid w:val="00FE05EB"/>
    <w:rsid w:val="00FE0D1E"/>
    <w:rsid w:val="00FE224B"/>
    <w:rsid w:val="00FE4ACF"/>
    <w:rsid w:val="00FF0946"/>
    <w:rsid w:val="00FF0B8F"/>
    <w:rsid w:val="00FF20E1"/>
    <w:rsid w:val="01445720"/>
    <w:rsid w:val="03262696"/>
    <w:rsid w:val="04D13710"/>
    <w:rsid w:val="0B53334F"/>
    <w:rsid w:val="0EC75F4A"/>
    <w:rsid w:val="17FF51DA"/>
    <w:rsid w:val="1920510F"/>
    <w:rsid w:val="1FDF64AB"/>
    <w:rsid w:val="26583774"/>
    <w:rsid w:val="273617E3"/>
    <w:rsid w:val="3C737DC6"/>
    <w:rsid w:val="401639DD"/>
    <w:rsid w:val="427526A0"/>
    <w:rsid w:val="49F75A7D"/>
    <w:rsid w:val="4A6632F7"/>
    <w:rsid w:val="50F364F5"/>
    <w:rsid w:val="54CD31A2"/>
    <w:rsid w:val="5EDB3F32"/>
    <w:rsid w:val="72B82C69"/>
    <w:rsid w:val="73487022"/>
    <w:rsid w:val="7822245D"/>
    <w:rsid w:val="7F317379"/>
    <w:rsid w:val="FB6B4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jc w:val="center"/>
      <w:outlineLvl w:val="0"/>
    </w:pPr>
    <w:rPr>
      <w:b/>
      <w:bCs/>
      <w:sz w:val="20"/>
      <w:szCs w:val="20"/>
    </w:rPr>
  </w:style>
  <w:style w:type="character" w:default="1" w:styleId="9">
    <w:name w:val="Default Paragraph Font"/>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15"/>
    <w:unhideWhenUsed/>
    <w:qFormat/>
    <w:uiPriority w:val="99"/>
    <w:pPr>
      <w:tabs>
        <w:tab w:val="center" w:pos="4153"/>
        <w:tab w:val="right" w:pos="8306"/>
      </w:tabs>
      <w:snapToGrid w:val="0"/>
      <w:jc w:val="left"/>
    </w:pPr>
    <w:rPr>
      <w:sz w:val="18"/>
      <w:szCs w:val="18"/>
    </w:rPr>
  </w:style>
  <w:style w:type="paragraph" w:styleId="4">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footnote text"/>
    <w:basedOn w:val="1"/>
    <w:link w:val="16"/>
    <w:unhideWhenUsed/>
    <w:qFormat/>
    <w:uiPriority w:val="99"/>
    <w:pPr>
      <w:snapToGrid w:val="0"/>
      <w:jc w:val="left"/>
    </w:pPr>
    <w:rPr>
      <w:sz w:val="18"/>
      <w:szCs w:val="18"/>
    </w:rPr>
  </w:style>
  <w:style w:type="paragraph" w:styleId="6">
    <w:name w:val="Normal (Web)"/>
    <w:basedOn w:val="1"/>
    <w:unhideWhenUsed/>
    <w:qFormat/>
    <w:uiPriority w:val="99"/>
    <w:pPr>
      <w:jc w:val="left"/>
    </w:pPr>
    <w:rPr>
      <w:rFonts w:cs="Times New Roman"/>
      <w:kern w:val="0"/>
      <w:sz w:val="24"/>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FollowedHyperlink"/>
    <w:basedOn w:val="9"/>
    <w:autoRedefine/>
    <w:unhideWhenUsed/>
    <w:qFormat/>
    <w:uiPriority w:val="99"/>
    <w:rPr>
      <w:color w:val="333333"/>
      <w:u w:val="none"/>
    </w:rPr>
  </w:style>
  <w:style w:type="character" w:styleId="11">
    <w:name w:val="Hyperlink"/>
    <w:basedOn w:val="9"/>
    <w:unhideWhenUsed/>
    <w:qFormat/>
    <w:uiPriority w:val="99"/>
    <w:rPr>
      <w:color w:val="333333"/>
      <w:u w:val="none"/>
    </w:rPr>
  </w:style>
  <w:style w:type="character" w:styleId="12">
    <w:name w:val="footnote reference"/>
    <w:basedOn w:val="9"/>
    <w:autoRedefine/>
    <w:unhideWhenUsed/>
    <w:qFormat/>
    <w:uiPriority w:val="99"/>
    <w:rPr>
      <w:vertAlign w:val="superscript"/>
    </w:rPr>
  </w:style>
  <w:style w:type="paragraph" w:customStyle="1" w:styleId="13">
    <w:name w:val="列出段落1"/>
    <w:basedOn w:val="1"/>
    <w:autoRedefine/>
    <w:qFormat/>
    <w:uiPriority w:val="34"/>
    <w:pPr>
      <w:ind w:firstLine="420" w:firstLineChars="200"/>
    </w:pPr>
  </w:style>
  <w:style w:type="character" w:customStyle="1" w:styleId="14">
    <w:name w:val="页眉 Char"/>
    <w:basedOn w:val="9"/>
    <w:link w:val="4"/>
    <w:autoRedefine/>
    <w:qFormat/>
    <w:uiPriority w:val="99"/>
    <w:rPr>
      <w:sz w:val="18"/>
      <w:szCs w:val="18"/>
    </w:rPr>
  </w:style>
  <w:style w:type="character" w:customStyle="1" w:styleId="15">
    <w:name w:val="页脚 Char"/>
    <w:basedOn w:val="9"/>
    <w:link w:val="3"/>
    <w:autoRedefine/>
    <w:qFormat/>
    <w:uiPriority w:val="99"/>
    <w:rPr>
      <w:sz w:val="18"/>
      <w:szCs w:val="18"/>
    </w:rPr>
  </w:style>
  <w:style w:type="character" w:customStyle="1" w:styleId="16">
    <w:name w:val="脚注文本 Char"/>
    <w:basedOn w:val="9"/>
    <w:link w:val="5"/>
    <w:autoRedefine/>
    <w:semiHidden/>
    <w:qFormat/>
    <w:uiPriority w:val="99"/>
    <w:rPr>
      <w:sz w:val="18"/>
      <w:szCs w:val="18"/>
    </w:rPr>
  </w:style>
  <w:style w:type="character" w:customStyle="1" w:styleId="17">
    <w:name w:val="bjh-p"/>
    <w:basedOn w:val="9"/>
    <w:autoRedefine/>
    <w:qFormat/>
    <w:uiPriority w:val="0"/>
  </w:style>
  <w:style w:type="character" w:customStyle="1" w:styleId="18">
    <w:name w:val="NormalCharacter"/>
    <w:autoRedefine/>
    <w:qFormat/>
    <w:uiPriority w:val="0"/>
    <w:rPr>
      <w:rFonts w:ascii="Times New Roman" w:hAnsi="Times New Roman" w:eastAsia="宋体"/>
    </w:rPr>
  </w:style>
  <w:style w:type="paragraph" w:customStyle="1" w:styleId="19">
    <w:name w:val="列出段落11"/>
    <w:basedOn w:val="1"/>
    <w:autoRedefine/>
    <w:qFormat/>
    <w:uiPriority w:val="99"/>
    <w:pPr>
      <w:ind w:firstLine="420" w:firstLineChars="200"/>
    </w:pPr>
    <w:rPr>
      <w:rFonts w:ascii="Calibri" w:hAnsi="Calibri" w:cs="Calibri"/>
      <w:szCs w:val="21"/>
    </w:rPr>
  </w:style>
  <w:style w:type="paragraph" w:customStyle="1" w:styleId="20">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styleId="21">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995CF-1FA0-4D54-804A-C31043F99215}">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35</Pages>
  <Words>2738</Words>
  <Characters>15608</Characters>
  <Lines>130</Lines>
  <Paragraphs>36</Paragraphs>
  <TotalTime>11</TotalTime>
  <ScaleCrop>false</ScaleCrop>
  <LinksUpToDate>false</LinksUpToDate>
  <CharactersWithSpaces>18310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2021-04-01T11:58:00Z</dcterms:created>
  <dc:creator>mac</dc:creator>
  <cp:lastModifiedBy>Lenovo</cp:lastModifiedBy>
  <cp:lastPrinted>2021-01-05T15:16:00Z</cp:lastPrinted>
  <dcterms:modified xsi:type="dcterms:W3CDTF">2024-04-19T02:45:26Z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344950682_embed</vt:lpwstr>
  </property>
  <property fmtid="{D5CDD505-2E9C-101B-9397-08002B2CF9AE}" pid="3" name="KSOProductBuildVer">
    <vt:lpwstr>2052-12.1.0.16120</vt:lpwstr>
  </property>
  <property fmtid="{D5CDD505-2E9C-101B-9397-08002B2CF9AE}" pid="4" name="ICV">
    <vt:lpwstr>900AB580E39D4947AD1367923C760308</vt:lpwstr>
  </property>
</Properties>
</file>