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bookmarkStart w:id="87" w:name="_GoBack"/>
      <w:bookmarkEnd w:id="87"/>
    </w:p>
    <w:p>
      <w:pPr>
        <w:tabs>
          <w:tab w:val="left" w:pos="720"/>
          <w:tab w:val="left" w:pos="2160"/>
          <w:tab w:val="left" w:pos="2880"/>
          <w:tab w:val="left" w:pos="3600"/>
          <w:tab w:val="left" w:pos="4320"/>
          <w:tab w:val="center" w:pos="4520"/>
          <w:tab w:val="left" w:pos="5040"/>
          <w:tab w:val="left" w:pos="5760"/>
          <w:tab w:val="left" w:pos="7233"/>
        </w:tabs>
        <w:autoSpaceDE w:val="0"/>
        <w:autoSpaceDN w:val="0"/>
        <w:adjustRightInd w:val="0"/>
        <w:spacing w:line="360" w:lineRule="auto"/>
        <w:jc w:val="left"/>
        <w:rPr>
          <w:rFonts w:ascii="宋体"/>
          <w:b/>
          <w:kern w:val="0"/>
          <w:sz w:val="52"/>
          <w:szCs w:val="52"/>
        </w:rPr>
      </w:pPr>
      <w:r>
        <w:rPr>
          <w:rFonts w:ascii="宋体"/>
          <w:b/>
          <w:kern w:val="0"/>
          <w:sz w:val="52"/>
          <w:szCs w:val="52"/>
        </w:rPr>
        <w:tab/>
      </w:r>
      <w:r>
        <w:rPr>
          <w:rFonts w:ascii="宋体"/>
          <w:b/>
          <w:kern w:val="0"/>
          <w:sz w:val="52"/>
          <w:szCs w:val="52"/>
        </w:rPr>
        <w:tab/>
      </w:r>
      <w:r>
        <w:rPr>
          <w:rFonts w:ascii="宋体"/>
          <w:b/>
          <w:kern w:val="0"/>
          <w:sz w:val="52"/>
          <w:szCs w:val="52"/>
        </w:rPr>
        <w:tab/>
      </w:r>
      <w:r>
        <w:rPr>
          <w:rFonts w:ascii="宋体"/>
          <w:b/>
          <w:kern w:val="0"/>
          <w:sz w:val="52"/>
          <w:szCs w:val="52"/>
        </w:rPr>
        <w:drawing>
          <wp:inline distT="0" distB="0" distL="0" distR="0">
            <wp:extent cx="2145665" cy="2018030"/>
            <wp:effectExtent l="0" t="0" r="698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45665" cy="2018030"/>
                    </a:xfrm>
                    <a:prstGeom prst="rect">
                      <a:avLst/>
                    </a:prstGeom>
                    <a:noFill/>
                  </pic:spPr>
                </pic:pic>
              </a:graphicData>
            </a:graphic>
          </wp:inline>
        </w:drawing>
      </w:r>
      <w:r>
        <w:rPr>
          <w:rFonts w:ascii="宋体"/>
          <w:b/>
          <w:kern w:val="0"/>
          <w:sz w:val="52"/>
          <w:szCs w:val="52"/>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52"/>
          <w:szCs w:val="52"/>
        </w:rPr>
      </w:pPr>
      <w:r>
        <w:rPr>
          <w:rFonts w:hint="eastAsia" w:ascii="宋体"/>
          <w:b/>
          <w:kern w:val="0"/>
          <w:sz w:val="52"/>
          <w:szCs w:val="52"/>
        </w:rPr>
        <w:t>黄岩区政府采购招标文件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FF"/>
          <w:kern w:val="0"/>
          <w:sz w:val="32"/>
          <w:szCs w:val="32"/>
        </w:rPr>
      </w:pPr>
      <w:r>
        <w:rPr>
          <w:rFonts w:hint="eastAsia" w:ascii="宋体"/>
          <w:b/>
          <w:color w:val="0000FF"/>
          <w:kern w:val="0"/>
          <w:sz w:val="32"/>
          <w:szCs w:val="32"/>
        </w:rPr>
        <w:t>HYCG-2021-GK07号</w:t>
      </w:r>
    </w:p>
    <w:p>
      <w:pPr>
        <w:autoSpaceDE w:val="0"/>
        <w:autoSpaceDN w:val="0"/>
        <w:adjustRightInd w:val="0"/>
        <w:spacing w:line="360" w:lineRule="auto"/>
        <w:ind w:firstLine="3351" w:firstLineChars="642"/>
        <w:jc w:val="center"/>
        <w:rPr>
          <w:rFonts w:ascii="宋体"/>
          <w:b/>
          <w:kern w:val="0"/>
          <w:sz w:val="52"/>
          <w:szCs w:val="52"/>
        </w:rPr>
      </w:pPr>
    </w:p>
    <w:p>
      <w:pPr>
        <w:pStyle w:val="22"/>
      </w:pPr>
    </w:p>
    <w:p>
      <w:pPr>
        <w:autoSpaceDE w:val="0"/>
        <w:autoSpaceDN w:val="0"/>
        <w:adjustRightInd w:val="0"/>
        <w:spacing w:line="360" w:lineRule="auto"/>
        <w:jc w:val="center"/>
        <w:rPr>
          <w:rFonts w:ascii="宋体"/>
          <w:kern w:val="0"/>
          <w:sz w:val="28"/>
        </w:rPr>
      </w:pPr>
      <w:r>
        <w:rPr>
          <w:rFonts w:hint="eastAsia" w:ascii="宋体"/>
          <w:kern w:val="0"/>
          <w:sz w:val="28"/>
        </w:rPr>
        <w:t>采购项目：2022-2023年度黄岩区城乡居民基本医疗保险意外伤害住院医疗费用再保险项目</w:t>
      </w:r>
    </w:p>
    <w:p>
      <w:pPr>
        <w:autoSpaceDE w:val="0"/>
        <w:autoSpaceDN w:val="0"/>
        <w:adjustRightInd w:val="0"/>
        <w:spacing w:line="360" w:lineRule="auto"/>
        <w:jc w:val="center"/>
        <w:rPr>
          <w:rFonts w:ascii="宋体"/>
          <w:kern w:val="0"/>
          <w:sz w:val="28"/>
        </w:rPr>
      </w:pPr>
    </w:p>
    <w:p>
      <w:pPr>
        <w:autoSpaceDE w:val="0"/>
        <w:autoSpaceDN w:val="0"/>
        <w:adjustRightInd w:val="0"/>
        <w:spacing w:line="360" w:lineRule="auto"/>
        <w:jc w:val="center"/>
        <w:rPr>
          <w:rFonts w:ascii="微软雅黑" w:hAnsi="微软雅黑" w:eastAsia="微软雅黑" w:cs="微软雅黑"/>
          <w:color w:val="000000"/>
          <w:sz w:val="28"/>
          <w:szCs w:val="28"/>
        </w:rPr>
      </w:pPr>
      <w:r>
        <w:rPr>
          <w:rFonts w:hint="eastAsia" w:ascii="宋体"/>
          <w:kern w:val="0"/>
          <w:sz w:val="28"/>
        </w:rPr>
        <w:t>采 购 人：台州市黄岩区医疗保障局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pStyle w:val="22"/>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集中采购机构：黄岩区政府采购中心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2021年12月</w:t>
      </w:r>
    </w:p>
    <w:p>
      <w:pPr>
        <w:spacing w:line="360" w:lineRule="auto"/>
      </w:pPr>
    </w:p>
    <w:p>
      <w:pPr>
        <w:pStyle w:val="30"/>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7</w:t>
          </w:r>
          <w:r>
            <w:rPr>
              <w:rFonts w:hint="eastAsia" w:eastAsiaTheme="minorEastAsia" w:cstheme="minorBidi"/>
              <w:sz w:val="28"/>
              <w:szCs w:val="28"/>
            </w:rPr>
            <w:fldChar w:fldCharType="end"/>
          </w:r>
        </w:p>
        <w:p>
          <w:pPr>
            <w:pStyle w:val="19"/>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8</w:t>
          </w:r>
        </w:p>
        <w:p>
          <w:pPr>
            <w:pStyle w:val="19"/>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w:t>
          </w:r>
          <w:bookmarkEnd w:id="2"/>
          <w:r>
            <w:rPr>
              <w:rFonts w:hint="eastAsia" w:eastAsiaTheme="minorEastAsia" w:cstheme="minorBidi"/>
              <w:sz w:val="28"/>
              <w:szCs w:val="28"/>
            </w:rPr>
            <w:t>4</w:t>
          </w:r>
          <w:r>
            <w:rPr>
              <w:rFonts w:hint="eastAsia"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w:t>
          </w:r>
          <w:bookmarkEnd w:id="3"/>
          <w:r>
            <w:rPr>
              <w:rFonts w:hint="eastAsia" w:eastAsiaTheme="minorEastAsia" w:cstheme="minorBidi"/>
              <w:sz w:val="28"/>
              <w:szCs w:val="28"/>
            </w:rPr>
            <w:t>6</w:t>
          </w:r>
          <w:r>
            <w:rPr>
              <w:rFonts w:hint="eastAsia" w:eastAsiaTheme="minorEastAsia" w:cstheme="minorBidi"/>
              <w:sz w:val="28"/>
              <w:szCs w:val="28"/>
            </w:rPr>
            <w:fldChar w:fldCharType="end"/>
          </w:r>
        </w:p>
        <w:p>
          <w:pPr>
            <w:pStyle w:val="19"/>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w:t>
          </w:r>
          <w:bookmarkEnd w:id="4"/>
          <w:r>
            <w:rPr>
              <w:rFonts w:hint="eastAsia" w:eastAsiaTheme="minorEastAsia" w:cstheme="minorBidi"/>
              <w:sz w:val="28"/>
              <w:szCs w:val="28"/>
            </w:rPr>
            <w:t>4</w:t>
          </w:r>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2"/>
      </w:pPr>
      <w:bookmarkStart w:id="6" w:name="_Toc35393621"/>
      <w:bookmarkStart w:id="7" w:name="_Toc28359002"/>
      <w:bookmarkStart w:id="8" w:name="_Toc28359079"/>
      <w:bookmarkStart w:id="9" w:name="_Toc35393790"/>
      <w:bookmarkStart w:id="10" w:name="_Hlk24379207"/>
      <w:r>
        <mc:AlternateContent>
          <mc:Choice Requires="wps">
            <w:drawing>
              <wp:inline distT="0" distB="0" distL="114300" distR="114300">
                <wp:extent cx="5833745" cy="1457960"/>
                <wp:effectExtent l="7620" t="7620" r="10795" b="12700"/>
                <wp:docPr id="9" name="文本框 9"/>
                <wp:cNvGraphicFramePr/>
                <a:graphic xmlns:a="http://schemas.openxmlformats.org/drawingml/2006/main">
                  <a:graphicData uri="http://schemas.microsoft.com/office/word/2010/wordprocessingShape">
                    <wps:wsp>
                      <wps:cNvSpPr txBox="1"/>
                      <wps:spPr>
                        <a:xfrm>
                          <a:off x="0" y="0"/>
                          <a:ext cx="5833745" cy="1457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pStyle w:val="21"/>
                              <w:spacing w:line="360" w:lineRule="auto"/>
                              <w:rPr>
                                <w:rFonts w:hint="default"/>
                                <w:kern w:val="2"/>
                              </w:rPr>
                            </w:pPr>
                            <w:r>
                              <w:rPr>
                                <w:kern w:val="2"/>
                              </w:rPr>
                              <w:t>项目概况</w:t>
                            </w:r>
                          </w:p>
                          <w:p>
                            <w:pPr>
                              <w:pStyle w:val="21"/>
                              <w:spacing w:line="360" w:lineRule="auto"/>
                              <w:rPr>
                                <w:rFonts w:hint="default"/>
                              </w:rPr>
                            </w:pPr>
                            <w:r>
                              <w:rPr>
                                <w:color w:val="000000"/>
                              </w:rPr>
                              <w:t>2022-2023年度黄岩区城乡居民基本医疗保险意外伤害住院医疗费用再保险项目招标项目的潜在投标人应在政采云平台（http：//zfcg.czt.zj.gov.cn）获取（下载）招标文件，并于2021年12月28日  10：00（北京时间）前递交（上传）投标文件。   </w:t>
                            </w:r>
                          </w:p>
                        </w:txbxContent>
                      </wps:txbx>
                      <wps:bodyPr/>
                    </wps:wsp>
                  </a:graphicData>
                </a:graphic>
              </wp:inline>
            </w:drawing>
          </mc:Choice>
          <mc:Fallback>
            <w:pict>
              <v:shape id="_x0000_s1026" o:spid="_x0000_s1026" o:spt="202" type="#_x0000_t202" style="height:114.8pt;width:459.35pt;" fillcolor="#FFFFFF" filled="t" stroked="t" coordsize="21600,21600" o:gfxdata="UEsDBAoAAAAAAIdO4kAAAAAAAAAAAAAAAAAEAAAAZHJzL1BLAwQUAAAACACHTuJApIhz4NQAAAAF&#10;AQAADwAAAGRycy9kb3ducmV2LnhtbE2PzWrDMBCE74W+g9hAL6WRbcifYzmUQB+gqUmuirW1TKSV&#10;kZQ4ydNX6aW9LAwzzHxbba7WsAv60DsSkE8zYEitUz11Apqvj7clsBAlKWkcoYAbBtjUz0+VLJUb&#10;6RMvu9ixVEKhlAJ0jEPJeWg1WhmmbkBK3rfzVsYkfceVl2Mqt4YXWTbnVvaUFrQccKuxPe3OVsDM&#10;HIrcx+0wvur35oT7ZrG/N0K8TPJsDSziNf6F4YGf0KFOTEd3JhWYEZAeib83eat8uQB2FFAUqznw&#10;uuL/6esfUEsDBBQAAAAIAIdO4kAHP2xzRwIAAMEEAAAOAAAAZHJzL2Uyb0RvYy54bWytVM1u2zAM&#10;vg/YOwi6L07apk2MOAW2LLsMW7Fu2FmRZVuA/iCqsfMC2xvstEvve648xyjZSbMOGHKYDzYlkh/J&#10;j6QXt51WZCs8SGsKOhmNKRGG21KauqBfPq9fzSiBwEzJlDWioDsB9Hb58sWidbm4sI1VpfAEQQzk&#10;rStoE4LLswx4IzSDkXXCoLKyXrOAR19npWctomuVXYzH11lrfem85QIAb1e9kg6I/hxAW1WSi5Xl&#10;D1qY0KN6oVjAkqCRDugyZVtVgoePVQUiEFVQrDSkNwZBeRPf2XLB8toz10g+pMDOSeFZTZpJg0GP&#10;UCsWGHnw8i8oLbm3YKsw4lZnfSGJEaxiMn7GzX3DnEi1INXgjqTD/4PlH7Z3nsiyoHNKDNPY8P2P&#10;7/ufv/aP38g80tM6yNHq3qFd6F7bDofmcA94GavuKq/jF+shqEdyd0dyRRcIx8vp7PLy5mpKCUfd&#10;5Gp6M79O9GdP7s5DeCesJlEoqMfuJVLZ9j0ETAVNDyYD1+VaKkW8DV9laBJdMW5SAvr0AnEWGeuv&#10;wdebN8qTLcOBWKcnFoPINZxaT8bxSUj/dkmeQyglDWFxjYa5ClKJT1jEEMCzlG4MowxpkYXp7CYS&#10;wnCNKhxfFLXDVoCp+8hWyaPLH2mk7A70walZJGjFoOkrTKp+yLUMwmMmLG8EK9+akoSdw3Yb3HIa&#10;s9GipEQJ/ClEKVkGJtU5lkiCMhFapJUbuhUnp5+QKIVu0yFoFDe23N3FXLJ4wsnuG9BvYVyd03Oy&#10;evrzL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Ihz4NQAAAAFAQAADwAAAAAAAAABACAAAAAi&#10;AAAAZHJzL2Rvd25yZXYueG1sUEsBAhQAFAAAAAgAh07iQAc/bHNHAgAAwQQAAA4AAAAAAAAAAQAg&#10;AAAAI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pPr>
                        <w:pStyle w:val="21"/>
                        <w:spacing w:line="360" w:lineRule="auto"/>
                        <w:rPr>
                          <w:rFonts w:hint="default"/>
                          <w:kern w:val="2"/>
                        </w:rPr>
                      </w:pPr>
                      <w:r>
                        <w:rPr>
                          <w:kern w:val="2"/>
                        </w:rPr>
                        <w:t>项目概况</w:t>
                      </w:r>
                    </w:p>
                    <w:p>
                      <w:pPr>
                        <w:pStyle w:val="21"/>
                        <w:spacing w:line="360" w:lineRule="auto"/>
                        <w:rPr>
                          <w:rFonts w:hint="default"/>
                        </w:rPr>
                      </w:pPr>
                      <w:r>
                        <w:rPr>
                          <w:color w:val="000000"/>
                        </w:rPr>
                        <w:t>2022-2023年度黄岩区城乡居民基本医疗保险意外伤害住院医疗费用再保险项目招标项目的潜在投标人应在政采云平台（http：//zfcg.czt.zj.gov.cn）获取（下载）招标文件，并于2021年12月28日  10：00（北京时间）前递交（上传）投标文件。   </w:t>
                      </w:r>
                    </w:p>
                  </w:txbxContent>
                </v:textbox>
                <w10:wrap type="none"/>
                <w10:anchorlock/>
              </v:shape>
            </w:pict>
          </mc:Fallback>
        </mc:AlternateContent>
      </w:r>
    </w:p>
    <w:p>
      <w:pPr>
        <w:pStyle w:val="4"/>
        <w:rPr>
          <w:rFonts w:cs="宋体"/>
          <w:bCs/>
          <w:sz w:val="24"/>
          <w:szCs w:val="24"/>
        </w:rPr>
      </w:pPr>
      <w:r>
        <w:rPr>
          <w:rFonts w:hint="eastAsia" w:cs="宋体"/>
          <w:bCs/>
          <w:sz w:val="24"/>
          <w:szCs w:val="24"/>
        </w:rPr>
        <w:t>一、项目基本情况</w:t>
      </w:r>
      <w:bookmarkEnd w:id="6"/>
      <w:bookmarkEnd w:id="7"/>
      <w:bookmarkEnd w:id="8"/>
      <w:bookmarkEnd w:id="9"/>
    </w:p>
    <w:bookmarkEnd w:id="10"/>
    <w:p>
      <w:pPr>
        <w:spacing w:line="360" w:lineRule="auto"/>
        <w:ind w:firstLine="480" w:firstLineChars="200"/>
        <w:rPr>
          <w:rFonts w:ascii="宋体" w:hAnsi="宋体" w:cs="宋体"/>
          <w:color w:val="0000FF"/>
          <w:sz w:val="24"/>
        </w:rPr>
      </w:pPr>
      <w:r>
        <w:rPr>
          <w:rFonts w:hint="eastAsia" w:ascii="宋体" w:hAnsi="宋体" w:cs="宋体"/>
          <w:color w:val="0000FF"/>
          <w:sz w:val="24"/>
        </w:rPr>
        <w:t>项目编号：HYCG-2021-GK07号</w:t>
      </w:r>
    </w:p>
    <w:p>
      <w:pPr>
        <w:spacing w:line="360" w:lineRule="auto"/>
        <w:ind w:firstLine="480" w:firstLineChars="200"/>
        <w:rPr>
          <w:rFonts w:ascii="宋体" w:hAnsi="宋体" w:cs="宋体"/>
          <w:sz w:val="24"/>
        </w:rPr>
      </w:pPr>
      <w:r>
        <w:rPr>
          <w:rFonts w:hint="eastAsia" w:ascii="宋体" w:hAnsi="宋体" w:cs="宋体"/>
          <w:sz w:val="24"/>
        </w:rPr>
        <w:t>项目名称：2022-2023年度黄岩区城乡居民基本医疗保险意外伤害住院医疗费用再保险项目</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934"/>
        <w:gridCol w:w="1289"/>
        <w:gridCol w:w="1293"/>
        <w:gridCol w:w="139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62"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标段号</w:t>
            </w:r>
          </w:p>
        </w:tc>
        <w:tc>
          <w:tcPr>
            <w:tcW w:w="2934"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sz w:val="24"/>
              </w:rPr>
            </w:pPr>
            <w:r>
              <w:rPr>
                <w:rFonts w:hint="eastAsia" w:ascii="宋体" w:hAnsi="宋体" w:cs="宋体"/>
                <w:b/>
                <w:sz w:val="24"/>
              </w:rPr>
              <w:t>项目名称</w:t>
            </w:r>
          </w:p>
        </w:tc>
        <w:tc>
          <w:tcPr>
            <w:tcW w:w="1289"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bCs/>
                <w:kern w:val="0"/>
                <w:sz w:val="24"/>
              </w:rPr>
              <w:t>参保人数</w:t>
            </w:r>
          </w:p>
        </w:tc>
        <w:tc>
          <w:tcPr>
            <w:tcW w:w="1293"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bCs/>
                <w:kern w:val="0"/>
                <w:sz w:val="24"/>
              </w:rPr>
              <w:t>预算价（万元）</w:t>
            </w:r>
          </w:p>
        </w:tc>
        <w:tc>
          <w:tcPr>
            <w:tcW w:w="1397" w:type="dxa"/>
            <w:vAlign w:val="center"/>
          </w:tcPr>
          <w:p>
            <w:pPr>
              <w:tabs>
                <w:tab w:val="left" w:pos="8280"/>
              </w:tabs>
              <w:autoSpaceDE w:val="0"/>
              <w:autoSpaceDN w:val="0"/>
              <w:adjustRightInd w:val="0"/>
              <w:spacing w:line="360" w:lineRule="auto"/>
              <w:ind w:right="25"/>
              <w:jc w:val="center"/>
              <w:rPr>
                <w:rFonts w:ascii="宋体" w:hAnsi="宋体" w:cs="宋体"/>
                <w:b/>
                <w:bCs/>
                <w:kern w:val="0"/>
                <w:sz w:val="24"/>
              </w:rPr>
            </w:pPr>
            <w:r>
              <w:rPr>
                <w:rFonts w:hint="eastAsia" w:ascii="宋体" w:hAnsi="宋体" w:cs="宋体"/>
                <w:b/>
                <w:bCs/>
                <w:kern w:val="0"/>
                <w:sz w:val="24"/>
              </w:rPr>
              <w:t>最高限价（万元）</w:t>
            </w:r>
          </w:p>
        </w:tc>
        <w:tc>
          <w:tcPr>
            <w:tcW w:w="1436"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保险期限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62"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标段一</w:t>
            </w:r>
          </w:p>
        </w:tc>
        <w:tc>
          <w:tcPr>
            <w:tcW w:w="2934" w:type="dxa"/>
            <w:vAlign w:val="center"/>
          </w:tcPr>
          <w:p>
            <w:pPr>
              <w:pStyle w:val="10"/>
              <w:spacing w:line="360" w:lineRule="auto"/>
              <w:rPr>
                <w:rFonts w:ascii="宋体" w:hAnsi="宋体" w:cs="宋体"/>
              </w:rPr>
            </w:pPr>
            <w:r>
              <w:rPr>
                <w:rFonts w:hint="eastAsia" w:ascii="宋体" w:hAnsi="宋体" w:cs="宋体"/>
                <w:kern w:val="0"/>
                <w:lang w:bidi="ar"/>
              </w:rPr>
              <w:t>2022-2023年度黄岩区城乡居民基本医疗保险意外伤害住院医疗费用再保险项目（承担65%赔付责任）</w:t>
            </w:r>
          </w:p>
        </w:tc>
        <w:tc>
          <w:tcPr>
            <w:tcW w:w="1289"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暂定397000人</w:t>
            </w:r>
          </w:p>
        </w:tc>
        <w:tc>
          <w:tcPr>
            <w:tcW w:w="1293"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5135</w:t>
            </w:r>
          </w:p>
        </w:tc>
        <w:tc>
          <w:tcPr>
            <w:tcW w:w="1397"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4779.086</w:t>
            </w:r>
          </w:p>
        </w:tc>
        <w:tc>
          <w:tcPr>
            <w:tcW w:w="1436" w:type="dxa"/>
            <w:vMerge w:val="restart"/>
            <w:vAlign w:val="center"/>
          </w:tcPr>
          <w:p>
            <w:pPr>
              <w:spacing w:line="360" w:lineRule="auto"/>
              <w:jc w:val="center"/>
              <w:rPr>
                <w:rFonts w:ascii="宋体" w:hAnsi="宋体" w:cs="宋体"/>
                <w:sz w:val="24"/>
              </w:rPr>
            </w:pPr>
            <w:r>
              <w:rPr>
                <w:rFonts w:hint="eastAsia" w:ascii="宋体" w:hAnsi="宋体" w:cs="宋体"/>
                <w:kern w:val="0"/>
                <w:sz w:val="24"/>
                <w:lang w:bidi="ar"/>
              </w:rPr>
              <w:t>2022年1月1日起至2023年12月31日止，共两年。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62"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标段二</w:t>
            </w:r>
          </w:p>
        </w:tc>
        <w:tc>
          <w:tcPr>
            <w:tcW w:w="2934" w:type="dxa"/>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lang w:bidi="ar"/>
              </w:rPr>
              <w:t>2022-2023年度黄岩区城乡居民基本医疗保险意外伤害住院医疗费用再保险项目（承担35%赔付责任）</w:t>
            </w:r>
          </w:p>
        </w:tc>
        <w:tc>
          <w:tcPr>
            <w:tcW w:w="1289"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暂定397000人</w:t>
            </w:r>
          </w:p>
        </w:tc>
        <w:tc>
          <w:tcPr>
            <w:tcW w:w="1293"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2765</w:t>
            </w:r>
          </w:p>
        </w:tc>
        <w:tc>
          <w:tcPr>
            <w:tcW w:w="1397"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2573.354</w:t>
            </w:r>
          </w:p>
        </w:tc>
        <w:tc>
          <w:tcPr>
            <w:tcW w:w="1436" w:type="dxa"/>
            <w:vMerge w:val="continue"/>
            <w:vAlign w:val="center"/>
          </w:tcPr>
          <w:p>
            <w:pPr>
              <w:spacing w:line="360" w:lineRule="auto"/>
              <w:jc w:val="center"/>
              <w:rPr>
                <w:rFonts w:ascii="宋体" w:hAnsi="宋体" w:cs="宋体"/>
                <w:sz w:val="24"/>
              </w:rPr>
            </w:pPr>
          </w:p>
        </w:tc>
      </w:tr>
    </w:tbl>
    <w:p>
      <w:pPr>
        <w:pStyle w:val="21"/>
        <w:spacing w:line="360" w:lineRule="auto"/>
        <w:ind w:firstLine="480" w:firstLineChars="200"/>
        <w:rPr>
          <w:rFonts w:hint="default"/>
        </w:rPr>
      </w:pPr>
      <w:r>
        <w:t>简要规格描述或项目基本概况介绍、用途：具体详见招标需求。</w:t>
      </w:r>
    </w:p>
    <w:p>
      <w:pPr>
        <w:pStyle w:val="21"/>
        <w:spacing w:line="360" w:lineRule="auto"/>
        <w:ind w:firstLine="480" w:firstLineChars="200"/>
        <w:rPr>
          <w:rFonts w:hint="default"/>
        </w:rPr>
      </w:pPr>
      <w:r>
        <w:t>本项目不接受联合体投标。</w:t>
      </w:r>
    </w:p>
    <w:p>
      <w:pPr>
        <w:pStyle w:val="21"/>
        <w:spacing w:before="180" w:beforeAutospacing="0" w:after="180" w:afterAutospacing="0" w:line="360" w:lineRule="auto"/>
        <w:rPr>
          <w:rFonts w:hint="default"/>
        </w:rPr>
      </w:pPr>
      <w:bookmarkStart w:id="11" w:name="_Toc28359004"/>
      <w:bookmarkStart w:id="12" w:name="_Toc35393623"/>
      <w:bookmarkStart w:id="13" w:name="_Toc28359081"/>
      <w:bookmarkStart w:id="14" w:name="_Toc35393792"/>
      <w:r>
        <w:rPr>
          <w:rStyle w:val="26"/>
          <w:rFonts w:cs="宋体"/>
        </w:rPr>
        <w:t>二、供应商的资格要求：</w:t>
      </w:r>
    </w:p>
    <w:p>
      <w:pPr>
        <w:pStyle w:val="21"/>
        <w:spacing w:line="360" w:lineRule="auto"/>
        <w:ind w:firstLine="480" w:firstLineChars="200"/>
        <w:rPr>
          <w:rFonts w:hint="default"/>
        </w:rPr>
      </w:pPr>
      <w:r>
        <w:t>1.满足《中华人民共和国政府采购法》第二十二条规定；未被“信用中国”（www.creditchina.gov.cn)、中国政府采购网（www.ccgp.gov.cn）列入失信被执行人、重大税收违法案件当事人名单、政府采购严重违法失信行为记录名单。</w:t>
      </w:r>
    </w:p>
    <w:p>
      <w:pPr>
        <w:pStyle w:val="21"/>
        <w:spacing w:line="360" w:lineRule="auto"/>
        <w:ind w:firstLine="480" w:firstLineChars="200"/>
        <w:rPr>
          <w:rFonts w:hint="default"/>
        </w:rPr>
      </w:pPr>
      <w:r>
        <w:t>2.落实政府采购政策需满足的资格要求：无。 </w:t>
      </w:r>
    </w:p>
    <w:p>
      <w:pPr>
        <w:pStyle w:val="21"/>
        <w:spacing w:line="360" w:lineRule="auto"/>
        <w:ind w:firstLine="480" w:firstLineChars="200"/>
        <w:rPr>
          <w:rFonts w:hint="default"/>
        </w:rPr>
      </w:pPr>
      <w:r>
        <w:t>3.本项目的特定资格要求：无。 </w:t>
      </w:r>
    </w:p>
    <w:bookmarkEnd w:id="11"/>
    <w:bookmarkEnd w:id="12"/>
    <w:bookmarkEnd w:id="13"/>
    <w:bookmarkEnd w:id="14"/>
    <w:p>
      <w:pPr>
        <w:pStyle w:val="21"/>
        <w:spacing w:before="204" w:beforeAutospacing="0" w:after="204" w:afterAutospacing="0" w:line="360" w:lineRule="auto"/>
        <w:jc w:val="both"/>
        <w:rPr>
          <w:rFonts w:hint="default"/>
        </w:rPr>
      </w:pPr>
      <w:bookmarkStart w:id="15" w:name="_Toc28359005"/>
      <w:bookmarkStart w:id="16" w:name="_Toc35393793"/>
      <w:bookmarkStart w:id="17" w:name="_Toc28359082"/>
      <w:bookmarkStart w:id="18" w:name="_Toc35393624"/>
      <w:r>
        <w:rPr>
          <w:rStyle w:val="26"/>
          <w:rFonts w:cs="宋体"/>
        </w:rPr>
        <w:t>三、获取招标文件</w:t>
      </w:r>
      <w:r>
        <w:t> </w:t>
      </w:r>
    </w:p>
    <w:p>
      <w:pPr>
        <w:pStyle w:val="21"/>
        <w:spacing w:line="360" w:lineRule="auto"/>
        <w:ind w:firstLine="480" w:firstLineChars="200"/>
        <w:rPr>
          <w:rFonts w:hint="default"/>
        </w:rPr>
      </w:pPr>
      <w:r>
        <w:t>时间：/至2021年12月28日，每天上午00:00至12:00 ，下午12:00至23:59（北京时间，线上获取法定节假日均可，线下获取文件法定节假日除外）</w:t>
      </w:r>
    </w:p>
    <w:p>
      <w:pPr>
        <w:pStyle w:val="21"/>
        <w:spacing w:line="360" w:lineRule="auto"/>
        <w:ind w:firstLine="480" w:firstLineChars="200"/>
        <w:rPr>
          <w:rFonts w:hint="default"/>
        </w:rPr>
      </w:pPr>
      <w:r>
        <w:t>地点（网址）：政采云平台（http：//zfcg.czt.zj.gov.cn） </w:t>
      </w:r>
    </w:p>
    <w:p>
      <w:pPr>
        <w:pStyle w:val="21"/>
        <w:spacing w:line="360" w:lineRule="auto"/>
        <w:ind w:firstLine="480" w:firstLineChars="200"/>
        <w:rPr>
          <w:rFonts w:hint="default"/>
        </w:rPr>
      </w:pPr>
      <w:r>
        <w:t>方式：供应商登录政采云平台https://www.zcygov.cn/在线申请获取采购文件（进入“项目采购”应用，在获取采购文件菜单中选择项目，申请获取采购文件） </w:t>
      </w:r>
    </w:p>
    <w:p>
      <w:pPr>
        <w:pStyle w:val="21"/>
        <w:spacing w:line="360" w:lineRule="auto"/>
        <w:ind w:firstLine="480" w:firstLineChars="200"/>
        <w:rPr>
          <w:rFonts w:hint="default" w:cs="宋体"/>
        </w:rPr>
      </w:pPr>
      <w:r>
        <w:rPr>
          <w:rFonts w:cs="宋体"/>
        </w:rPr>
        <w:t>售价（元）：0 </w:t>
      </w:r>
    </w:p>
    <w:bookmarkEnd w:id="15"/>
    <w:bookmarkEnd w:id="16"/>
    <w:bookmarkEnd w:id="17"/>
    <w:bookmarkEnd w:id="18"/>
    <w:p>
      <w:pPr>
        <w:pStyle w:val="21"/>
        <w:spacing w:before="204" w:beforeAutospacing="0" w:after="204" w:afterAutospacing="0" w:line="360" w:lineRule="auto"/>
        <w:jc w:val="both"/>
        <w:rPr>
          <w:rFonts w:hint="default" w:cs="宋体"/>
          <w:color w:val="000000"/>
        </w:rPr>
      </w:pPr>
      <w:r>
        <w:rPr>
          <w:rStyle w:val="26"/>
          <w:rFonts w:cs="宋体"/>
          <w:color w:val="000000"/>
        </w:rPr>
        <w:t>四、提交投标文件</w:t>
      </w:r>
      <w:r>
        <w:rPr>
          <w:rStyle w:val="26"/>
          <w:rFonts w:hint="eastAsia" w:cs="宋体"/>
          <w:color w:val="000000"/>
          <w:lang w:eastAsia="zh-CN"/>
        </w:rPr>
        <w:t>截止时间</w:t>
      </w:r>
      <w:r>
        <w:rPr>
          <w:rStyle w:val="26"/>
          <w:rFonts w:cs="宋体"/>
          <w:color w:val="000000"/>
        </w:rPr>
        <w:t>、开标时间和地点</w:t>
      </w:r>
    </w:p>
    <w:p>
      <w:pPr>
        <w:pStyle w:val="21"/>
        <w:spacing w:line="360" w:lineRule="auto"/>
        <w:rPr>
          <w:rFonts w:hint="default" w:cs="宋体"/>
        </w:rPr>
      </w:pPr>
      <w:r>
        <w:rPr>
          <w:rFonts w:cs="宋体"/>
          <w:color w:val="000000"/>
        </w:rPr>
        <w:t>    提交投标文件</w:t>
      </w:r>
      <w:r>
        <w:rPr>
          <w:rFonts w:hint="eastAsia" w:cs="宋体"/>
          <w:color w:val="000000"/>
          <w:lang w:eastAsia="zh-CN"/>
        </w:rPr>
        <w:t>截止时间</w:t>
      </w:r>
      <w:r>
        <w:rPr>
          <w:rFonts w:cs="宋体"/>
          <w:color w:val="000000"/>
        </w:rPr>
        <w:t>：2021年12月28日 10:00（北京时间）</w:t>
      </w:r>
    </w:p>
    <w:p>
      <w:pPr>
        <w:pStyle w:val="21"/>
        <w:spacing w:line="360" w:lineRule="auto"/>
        <w:rPr>
          <w:rFonts w:hint="default" w:cs="宋体"/>
        </w:rPr>
      </w:pPr>
      <w:r>
        <w:rPr>
          <w:rFonts w:cs="宋体"/>
          <w:color w:val="000000"/>
        </w:rPr>
        <w:t>    投标地点（网址）：“浙江政府采购网”（http://zfcg.czt.zj.gov.cn）  </w:t>
      </w:r>
    </w:p>
    <w:p>
      <w:pPr>
        <w:pStyle w:val="21"/>
        <w:spacing w:line="360" w:lineRule="auto"/>
        <w:rPr>
          <w:rFonts w:hint="default" w:cs="宋体"/>
        </w:rPr>
      </w:pPr>
      <w:r>
        <w:rPr>
          <w:rFonts w:cs="宋体"/>
          <w:color w:val="000000"/>
        </w:rPr>
        <w:t>    开标时间：2021年12月28日 10:00 </w:t>
      </w:r>
    </w:p>
    <w:p>
      <w:pPr>
        <w:pStyle w:val="21"/>
        <w:spacing w:line="360" w:lineRule="auto"/>
        <w:rPr>
          <w:rFonts w:hint="default" w:cs="宋体"/>
        </w:rPr>
      </w:pPr>
      <w:r>
        <w:rPr>
          <w:rFonts w:cs="宋体"/>
          <w:color w:val="000000"/>
        </w:rPr>
        <w:t>    开标地点（网址）：“浙江政府采购网”（http://zfcg.czt.zj.gov.cn）  </w:t>
      </w:r>
    </w:p>
    <w:p>
      <w:pPr>
        <w:pStyle w:val="21"/>
        <w:spacing w:before="204" w:beforeAutospacing="0" w:after="204" w:afterAutospacing="0" w:line="360" w:lineRule="auto"/>
        <w:jc w:val="both"/>
        <w:rPr>
          <w:rFonts w:hint="default" w:cs="宋体"/>
          <w:color w:val="000000"/>
        </w:rPr>
      </w:pPr>
      <w:r>
        <w:rPr>
          <w:rStyle w:val="26"/>
          <w:rFonts w:cs="宋体"/>
          <w:color w:val="000000"/>
        </w:rPr>
        <w:t>五、公告期限</w:t>
      </w:r>
      <w:r>
        <w:rPr>
          <w:rFonts w:cs="宋体"/>
          <w:color w:val="000000"/>
        </w:rPr>
        <w:t> </w:t>
      </w:r>
    </w:p>
    <w:p>
      <w:pPr>
        <w:pStyle w:val="21"/>
        <w:spacing w:line="360" w:lineRule="auto"/>
        <w:ind w:firstLine="720"/>
        <w:rPr>
          <w:rFonts w:hint="default" w:cs="宋体"/>
          <w:color w:val="000000"/>
        </w:rPr>
      </w:pPr>
      <w:r>
        <w:rPr>
          <w:rFonts w:cs="宋体"/>
          <w:color w:val="000000"/>
        </w:rPr>
        <w:t>自本公告发布之日起5个工作日。</w:t>
      </w:r>
    </w:p>
    <w:p>
      <w:pPr>
        <w:pStyle w:val="21"/>
        <w:spacing w:before="204" w:beforeAutospacing="0" w:after="204" w:afterAutospacing="0" w:line="360" w:lineRule="auto"/>
        <w:jc w:val="both"/>
        <w:rPr>
          <w:rFonts w:hint="default"/>
        </w:rPr>
      </w:pPr>
      <w:r>
        <w:rPr>
          <w:rStyle w:val="26"/>
          <w:rFonts w:cs="宋体"/>
        </w:rPr>
        <w:t>六、其他补充事宜</w:t>
      </w:r>
    </w:p>
    <w:p>
      <w:pPr>
        <w:pStyle w:val="21"/>
        <w:spacing w:line="360" w:lineRule="auto"/>
        <w:ind w:left="479" w:leftChars="228" w:firstLine="480" w:firstLineChars="200"/>
        <w:rPr>
          <w:rFonts w:hint="eastAsia" w:eastAsia="宋体"/>
          <w:lang w:eastAsia="zh-CN"/>
        </w:rPr>
      </w:pPr>
      <w: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spacing w:line="360" w:lineRule="auto"/>
        <w:ind w:left="479" w:leftChars="228" w:firstLine="480" w:firstLineChars="200"/>
        <w:rPr>
          <w:rFonts w:hint="default"/>
        </w:rPr>
      </w:pPr>
      <w:r>
        <w:t>   2.其他事项：无。  </w:t>
      </w:r>
    </w:p>
    <w:p>
      <w:pPr>
        <w:snapToGrid w:val="0"/>
        <w:spacing w:line="360" w:lineRule="auto"/>
        <w:ind w:firstLine="422" w:firstLineChars="200"/>
        <w:rPr>
          <w:rStyle w:val="26"/>
          <w:rFonts w:ascii="宋体" w:hAnsi="宋体" w:cs="宋体"/>
        </w:rPr>
      </w:pPr>
      <w:r>
        <w:rPr>
          <w:rStyle w:val="26"/>
          <w:rFonts w:hint="eastAsia" w:ascii="宋体" w:hAnsi="宋体" w:cs="宋体"/>
        </w:rPr>
        <w:t>七、对本次采购提出询问、质疑、投诉，请按以下方式联系</w:t>
      </w:r>
    </w:p>
    <w:p>
      <w:pPr>
        <w:pStyle w:val="21"/>
        <w:ind w:firstLine="240" w:firstLineChars="100"/>
        <w:rPr>
          <w:rFonts w:hint="default" w:cs="宋体"/>
          <w:color w:val="000000"/>
        </w:rPr>
      </w:pPr>
      <w:bookmarkStart w:id="19" w:name="_Toc28359010"/>
      <w:bookmarkStart w:id="20" w:name="_Toc28359087"/>
      <w:r>
        <w:rPr>
          <w:rFonts w:cs="宋体"/>
          <w:color w:val="000000"/>
        </w:rPr>
        <w:t>   1.采购人信息</w:t>
      </w:r>
    </w:p>
    <w:p>
      <w:pPr>
        <w:pStyle w:val="21"/>
        <w:rPr>
          <w:rFonts w:hint="default" w:cs="宋体"/>
          <w:color w:val="000000"/>
        </w:rPr>
      </w:pPr>
      <w:r>
        <w:rPr>
          <w:rFonts w:cs="宋体"/>
          <w:color w:val="000000"/>
        </w:rPr>
        <w:t>    名    称：台州市黄岩区医疗保障局 </w:t>
      </w:r>
    </w:p>
    <w:p>
      <w:pPr>
        <w:pStyle w:val="21"/>
        <w:rPr>
          <w:rFonts w:hint="default" w:cs="宋体"/>
          <w:color w:val="000000"/>
        </w:rPr>
      </w:pPr>
      <w:r>
        <w:rPr>
          <w:rFonts w:cs="宋体"/>
          <w:color w:val="000000"/>
        </w:rPr>
        <w:t>    地    址：台州市黄岩区总商会大厦11楼 </w:t>
      </w:r>
    </w:p>
    <w:p>
      <w:pPr>
        <w:pStyle w:val="21"/>
        <w:rPr>
          <w:rFonts w:hint="default" w:cs="宋体"/>
        </w:rPr>
      </w:pPr>
      <w:r>
        <w:rPr>
          <w:rFonts w:cs="宋体"/>
          <w:color w:val="000000"/>
        </w:rPr>
        <w:t>    项</w:t>
      </w:r>
      <w:r>
        <w:rPr>
          <w:rFonts w:cs="宋体"/>
        </w:rPr>
        <w:t>目联系人（询问）：徐女士  </w:t>
      </w:r>
    </w:p>
    <w:p>
      <w:pPr>
        <w:pStyle w:val="21"/>
        <w:rPr>
          <w:rFonts w:hint="default" w:cs="宋体"/>
        </w:rPr>
      </w:pPr>
      <w:r>
        <w:rPr>
          <w:rFonts w:cs="宋体"/>
        </w:rPr>
        <w:t>    项目联系方式（询问）：0576-89108018</w:t>
      </w:r>
    </w:p>
    <w:p>
      <w:pPr>
        <w:pStyle w:val="21"/>
        <w:rPr>
          <w:rFonts w:hint="default" w:cs="宋体"/>
        </w:rPr>
      </w:pPr>
      <w:r>
        <w:rPr>
          <w:rFonts w:cs="宋体"/>
        </w:rPr>
        <w:t>    质疑联系人：何先生    </w:t>
      </w:r>
    </w:p>
    <w:p>
      <w:pPr>
        <w:pStyle w:val="21"/>
        <w:ind w:firstLine="720"/>
        <w:rPr>
          <w:rFonts w:hint="default" w:cs="宋体"/>
        </w:rPr>
      </w:pPr>
      <w:r>
        <w:rPr>
          <w:rFonts w:cs="宋体"/>
        </w:rPr>
        <w:t>质疑联系方式：0576-84727225</w:t>
      </w:r>
    </w:p>
    <w:p>
      <w:pPr>
        <w:pStyle w:val="21"/>
        <w:rPr>
          <w:rFonts w:hint="default" w:cs="宋体"/>
          <w:color w:val="000000"/>
        </w:rPr>
      </w:pPr>
      <w:r>
        <w:rPr>
          <w:rFonts w:cs="宋体"/>
          <w:color w:val="000000"/>
        </w:rPr>
        <w:t>    2.采购代理机构信息            </w:t>
      </w:r>
    </w:p>
    <w:p>
      <w:pPr>
        <w:pStyle w:val="21"/>
        <w:rPr>
          <w:rFonts w:hint="default" w:cs="宋体"/>
          <w:color w:val="000000"/>
        </w:rPr>
      </w:pPr>
      <w:r>
        <w:rPr>
          <w:rFonts w:cs="宋体"/>
          <w:color w:val="000000"/>
        </w:rPr>
        <w:t>    名    称：台州市黄岩区政府采购中心             </w:t>
      </w:r>
    </w:p>
    <w:p>
      <w:pPr>
        <w:pStyle w:val="21"/>
        <w:rPr>
          <w:rFonts w:hint="default" w:cs="宋体"/>
          <w:color w:val="000000"/>
        </w:rPr>
      </w:pPr>
      <w:r>
        <w:rPr>
          <w:rFonts w:cs="宋体"/>
          <w:color w:val="000000"/>
        </w:rPr>
        <w:t>    地    址：黄岩直下街69号3号楼             </w:t>
      </w:r>
    </w:p>
    <w:p>
      <w:pPr>
        <w:pStyle w:val="21"/>
        <w:rPr>
          <w:rFonts w:hint="default" w:cs="宋体"/>
          <w:color w:val="000000"/>
        </w:rPr>
      </w:pPr>
      <w:r>
        <w:rPr>
          <w:rFonts w:cs="宋体"/>
          <w:color w:val="000000"/>
        </w:rPr>
        <w:t>    传    真：0576-84051180             </w:t>
      </w:r>
    </w:p>
    <w:p>
      <w:pPr>
        <w:pStyle w:val="21"/>
        <w:rPr>
          <w:rFonts w:hint="default" w:cs="宋体"/>
          <w:color w:val="000000"/>
        </w:rPr>
      </w:pPr>
      <w:r>
        <w:rPr>
          <w:rFonts w:cs="宋体"/>
          <w:color w:val="000000"/>
        </w:rPr>
        <w:t>    项目联系人（询问）：周先生、郑小姐              </w:t>
      </w:r>
    </w:p>
    <w:p>
      <w:pPr>
        <w:pStyle w:val="21"/>
        <w:rPr>
          <w:rFonts w:hint="default" w:cs="宋体"/>
          <w:color w:val="000000"/>
        </w:rPr>
      </w:pPr>
      <w:r>
        <w:rPr>
          <w:rFonts w:cs="宋体"/>
          <w:color w:val="000000"/>
        </w:rPr>
        <w:t>    项目联系方式（询问）：0576-84051197 </w:t>
      </w:r>
    </w:p>
    <w:p>
      <w:pPr>
        <w:pStyle w:val="21"/>
        <w:rPr>
          <w:rFonts w:hint="default" w:cs="宋体"/>
          <w:color w:val="000000"/>
        </w:rPr>
      </w:pPr>
      <w:r>
        <w:rPr>
          <w:rFonts w:cs="宋体"/>
          <w:color w:val="000000"/>
        </w:rPr>
        <w:t>    质疑联系人：黄岩区政府采购中心             </w:t>
      </w:r>
    </w:p>
    <w:p>
      <w:pPr>
        <w:pStyle w:val="21"/>
        <w:rPr>
          <w:rFonts w:hint="default" w:cs="宋体"/>
          <w:color w:val="000000"/>
        </w:rPr>
      </w:pPr>
      <w:r>
        <w:rPr>
          <w:rFonts w:cs="宋体"/>
          <w:color w:val="000000"/>
        </w:rPr>
        <w:t>    质疑联系方式：0576-84051179 　　　　　　     </w:t>
      </w:r>
    </w:p>
    <w:p>
      <w:pPr>
        <w:pStyle w:val="21"/>
        <w:rPr>
          <w:rFonts w:hint="eastAsia" w:eastAsia="宋体" w:cs="宋体"/>
          <w:color w:val="000000"/>
          <w:lang w:eastAsia="zh-CN"/>
        </w:rPr>
      </w:pPr>
      <w:r>
        <w:rPr>
          <w:rFonts w:cs="宋体"/>
          <w:color w:val="000000"/>
        </w:rPr>
        <w:t>    </w:t>
      </w:r>
    </w:p>
    <w:p>
      <w:pPr>
        <w:pStyle w:val="21"/>
        <w:rPr>
          <w:rFonts w:hint="default" w:cs="宋体"/>
          <w:color w:val="000000"/>
        </w:rPr>
      </w:pPr>
      <w:r>
        <w:rPr>
          <w:rFonts w:cs="宋体"/>
          <w:color w:val="000000"/>
        </w:rPr>
        <w:t>    3.同级政府采购监督管理部门            </w:t>
      </w:r>
    </w:p>
    <w:p>
      <w:pPr>
        <w:pStyle w:val="21"/>
        <w:rPr>
          <w:rFonts w:hint="default" w:cs="宋体"/>
          <w:color w:val="000000"/>
        </w:rPr>
      </w:pPr>
      <w:r>
        <w:rPr>
          <w:rFonts w:cs="宋体"/>
          <w:color w:val="000000"/>
        </w:rPr>
        <w:t>    名    称：台州市黄岩区财政局政府采购监管科             </w:t>
      </w:r>
    </w:p>
    <w:p>
      <w:pPr>
        <w:pStyle w:val="21"/>
        <w:rPr>
          <w:rFonts w:hint="default" w:cs="宋体"/>
          <w:color w:val="000000"/>
        </w:rPr>
      </w:pPr>
      <w:r>
        <w:rPr>
          <w:rFonts w:cs="宋体"/>
          <w:color w:val="000000"/>
        </w:rPr>
        <w:t>    地    址：台州市黄岩区劳动南路289号            </w:t>
      </w:r>
    </w:p>
    <w:p>
      <w:pPr>
        <w:pStyle w:val="21"/>
        <w:rPr>
          <w:rFonts w:hint="default" w:cs="宋体"/>
          <w:color w:val="000000"/>
        </w:rPr>
      </w:pPr>
      <w:r>
        <w:rPr>
          <w:rFonts w:cs="宋体"/>
          <w:color w:val="000000"/>
        </w:rPr>
        <w:t>    联系人 ：宋先生             </w:t>
      </w:r>
    </w:p>
    <w:p>
      <w:pPr>
        <w:pStyle w:val="21"/>
        <w:rPr>
          <w:rFonts w:hint="default" w:ascii="仿宋" w:hAnsi="仿宋" w:eastAsia="仿宋" w:cs="仿宋"/>
          <w:color w:val="000000"/>
          <w:sz w:val="27"/>
          <w:szCs w:val="27"/>
        </w:rPr>
      </w:pPr>
      <w:r>
        <w:rPr>
          <w:rFonts w:cs="宋体"/>
          <w:color w:val="000000"/>
        </w:rPr>
        <w:t xml:space="preserve">    监督投诉电话：0576-84222959         </w:t>
      </w:r>
      <w:r>
        <w:rPr>
          <w:rFonts w:ascii="仿宋" w:hAnsi="仿宋" w:eastAsia="仿宋" w:cs="仿宋"/>
          <w:color w:val="000000"/>
          <w:sz w:val="27"/>
          <w:szCs w:val="27"/>
        </w:rPr>
        <w:t>   </w:t>
      </w:r>
    </w:p>
    <w:p>
      <w:pPr>
        <w:pStyle w:val="22"/>
      </w:pPr>
      <w:r>
        <w:br w:type="page"/>
      </w:r>
    </w:p>
    <w:bookmarkEnd w:id="19"/>
    <w:bookmarkEnd w:id="20"/>
    <w:p>
      <w:pPr>
        <w:numPr>
          <w:ilvl w:val="0"/>
          <w:numId w:val="4"/>
        </w:numPr>
        <w:spacing w:line="360" w:lineRule="auto"/>
        <w:jc w:val="center"/>
        <w:rPr>
          <w:rFonts w:asciiTheme="minorEastAsia" w:hAnsiTheme="minorEastAsia" w:eastAsiaTheme="minorEastAsia"/>
          <w:b/>
          <w:sz w:val="36"/>
          <w:szCs w:val="36"/>
        </w:rPr>
      </w:pPr>
      <w:bookmarkStart w:id="21" w:name="_Toc25017_WPSOffice_Level1"/>
      <w:r>
        <w:rPr>
          <w:rFonts w:hint="eastAsia" w:asciiTheme="minorEastAsia" w:hAnsiTheme="minorEastAsia" w:eastAsiaTheme="minorEastAsia"/>
          <w:b/>
          <w:sz w:val="36"/>
          <w:szCs w:val="36"/>
        </w:rPr>
        <w:t>投标人须知</w:t>
      </w:r>
      <w:bookmarkEnd w:id="21"/>
    </w:p>
    <w:p>
      <w:pPr>
        <w:numPr>
          <w:ilvl w:val="0"/>
          <w:numId w:val="5"/>
        </w:numPr>
        <w:ind w:firstLine="482" w:firstLineChars="200"/>
      </w:pPr>
      <w:r>
        <w:rPr>
          <w:rFonts w:hint="eastAsia" w:asciiTheme="minorEastAsia" w:hAnsiTheme="minorEastAsia" w:eastAsiaTheme="minorEastAsia"/>
          <w:b/>
          <w:sz w:val="24"/>
        </w:rPr>
        <w:t>前附表</w:t>
      </w:r>
    </w:p>
    <w:tbl>
      <w:tblPr>
        <w:tblStyle w:val="23"/>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b/>
                <w:bCs/>
                <w:sz w:val="24"/>
              </w:rPr>
            </w:pPr>
            <w:r>
              <w:rPr>
                <w:rFonts w:hint="eastAsia" w:ascii="宋体" w:hAnsi="宋体" w:cs="宋体"/>
                <w:b/>
                <w:bCs/>
                <w:sz w:val="24"/>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b/>
                <w:bCs/>
                <w:sz w:val="24"/>
              </w:rPr>
            </w:pPr>
            <w:r>
              <w:rPr>
                <w:rFonts w:hint="eastAsia" w:ascii="宋体" w:hAnsi="宋体" w:cs="宋体"/>
                <w:b/>
                <w:bCs/>
                <w:sz w:val="24"/>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b/>
                <w:bCs/>
                <w:sz w:val="24"/>
              </w:rPr>
            </w:pPr>
            <w:r>
              <w:rPr>
                <w:rFonts w:hint="eastAsia" w:ascii="宋体" w:hAnsi="宋体" w:cs="宋体"/>
                <w:b/>
                <w:bCs/>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答疑会或</w:t>
            </w:r>
          </w:p>
          <w:p>
            <w:pPr>
              <w:spacing w:line="360" w:lineRule="auto"/>
              <w:jc w:val="center"/>
              <w:rPr>
                <w:rFonts w:ascii="宋体" w:hAnsi="宋体" w:cs="宋体"/>
                <w:sz w:val="24"/>
              </w:rPr>
            </w:pPr>
            <w:r>
              <w:rPr>
                <w:rFonts w:hint="eastAsia" w:ascii="宋体" w:hAnsi="宋体" w:cs="宋体"/>
                <w:sz w:val="24"/>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具体时间和地点：无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请投标人在投标前仔细阅读“政府采购项目电子交易操作指南”。</w:t>
            </w:r>
          </w:p>
          <w:p>
            <w:pPr>
              <w:spacing w:line="360" w:lineRule="auto"/>
              <w:ind w:firstLine="480" w:firstLineChars="200"/>
              <w:rPr>
                <w:rFonts w:ascii="宋体" w:hAnsi="宋体" w:cs="宋体"/>
                <w:sz w:val="24"/>
              </w:rPr>
            </w:pPr>
            <w:r>
              <w:rPr>
                <w:rFonts w:hint="eastAsia" w:ascii="宋体" w:hAnsi="宋体" w:cs="宋体"/>
                <w:sz w:val="24"/>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sz w:val="24"/>
              </w:rPr>
              <w:t>https://zfcg.czt.zj.gov.cn/download/index.html）。</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2.投标：投标人应当在投标</w:t>
            </w:r>
            <w:r>
              <w:rPr>
                <w:rFonts w:hint="eastAsia" w:ascii="宋体" w:hAnsi="宋体" w:cs="宋体"/>
                <w:sz w:val="24"/>
                <w:lang w:eastAsia="zh-CN"/>
              </w:rPr>
              <w:t>截止时间</w:t>
            </w:r>
            <w:r>
              <w:rPr>
                <w:rFonts w:hint="eastAsia" w:ascii="宋体" w:hAnsi="宋体" w:cs="宋体"/>
                <w:sz w:val="24"/>
              </w:rPr>
              <w:t>前完成投标文件的传输递交，逾期上传的投标文件恕不接受。补充或者修改投标文件的，应当先行撤回原文件，补充、修改后重新传输递交。投标</w:t>
            </w:r>
            <w:r>
              <w:rPr>
                <w:rFonts w:hint="eastAsia" w:ascii="宋体" w:hAnsi="宋体" w:cs="宋体"/>
                <w:sz w:val="24"/>
                <w:lang w:eastAsia="zh-CN"/>
              </w:rPr>
              <w:t>截止时间</w:t>
            </w:r>
            <w:r>
              <w:rPr>
                <w:rFonts w:hint="eastAsia" w:ascii="宋体" w:hAnsi="宋体" w:cs="宋体"/>
                <w:sz w:val="24"/>
              </w:rPr>
              <w:t>前未完成上传的，视为撤回投标文件。</w:t>
            </w:r>
          </w:p>
          <w:p>
            <w:pPr>
              <w:spacing w:line="360" w:lineRule="auto"/>
              <w:ind w:firstLine="480" w:firstLineChars="200"/>
              <w:rPr>
                <w:rFonts w:ascii="宋体" w:hAnsi="宋体" w:cs="宋体"/>
                <w:sz w:val="24"/>
              </w:rPr>
            </w:pPr>
            <w:r>
              <w:rPr>
                <w:rFonts w:hint="eastAsia" w:ascii="宋体" w:hAnsi="宋体" w:cs="宋体"/>
                <w:sz w:val="24"/>
              </w:rPr>
              <w:t>3.投标文件解密：投标人应在开标当天北京时间</w:t>
            </w:r>
            <w:r>
              <w:rPr>
                <w:rFonts w:hint="eastAsia" w:ascii="宋体" w:hAnsi="宋体" w:cs="宋体"/>
                <w:sz w:val="24"/>
                <w:u w:val="single"/>
              </w:rPr>
              <w:t>14:00</w:t>
            </w:r>
            <w:r>
              <w:rPr>
                <w:rFonts w:hint="eastAsia" w:ascii="宋体" w:hAnsi="宋体" w:cs="宋体"/>
                <w:sz w:val="24"/>
              </w:rPr>
              <w:t>至</w:t>
            </w:r>
            <w:r>
              <w:rPr>
                <w:rFonts w:hint="eastAsia" w:ascii="宋体" w:hAnsi="宋体" w:cs="宋体"/>
                <w:sz w:val="24"/>
                <w:u w:val="single"/>
              </w:rPr>
              <w:t>14:30</w:t>
            </w:r>
            <w:r>
              <w:rPr>
                <w:rFonts w:hint="eastAsia" w:ascii="宋体" w:hAnsi="宋体" w:cs="宋体"/>
                <w:sz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备份投标文件是通过政采云电子交易客户端制作投标文件产生的备份文件，请投标人自行妥善保管。</w:t>
            </w:r>
          </w:p>
          <w:p>
            <w:pPr>
              <w:spacing w:line="360" w:lineRule="auto"/>
              <w:ind w:firstLine="480" w:firstLineChars="200"/>
              <w:rPr>
                <w:rFonts w:ascii="宋体" w:hAnsi="宋体" w:cs="宋体"/>
                <w:sz w:val="24"/>
              </w:rPr>
            </w:pPr>
            <w:r>
              <w:rPr>
                <w:rFonts w:hint="eastAsia" w:ascii="宋体" w:hAnsi="宋体" w:cs="宋体"/>
                <w:sz w:val="24"/>
              </w:rPr>
              <w:t>1.使用前提：在解密</w:t>
            </w:r>
            <w:r>
              <w:rPr>
                <w:rFonts w:hint="eastAsia" w:ascii="宋体" w:hAnsi="宋体" w:cs="宋体"/>
                <w:sz w:val="24"/>
                <w:lang w:eastAsia="zh-CN"/>
              </w:rPr>
              <w:t>截止时间</w:t>
            </w:r>
            <w:r>
              <w:rPr>
                <w:rFonts w:hint="eastAsia" w:ascii="宋体" w:hAnsi="宋体" w:cs="宋体"/>
                <w:sz w:val="24"/>
              </w:rPr>
              <w:t>前，投标人自行在线解密操作失败,又未能及时联系技术人员帮助解密，或者投标人寻求技术人员帮助仍无法完成解密。</w:t>
            </w:r>
          </w:p>
          <w:p>
            <w:pPr>
              <w:pStyle w:val="10"/>
              <w:spacing w:line="360" w:lineRule="auto"/>
              <w:ind w:firstLine="240" w:firstLineChars="100"/>
              <w:rPr>
                <w:rFonts w:ascii="宋体" w:hAnsi="宋体" w:cs="宋体"/>
              </w:rPr>
            </w:pPr>
            <w:r>
              <w:rPr>
                <w:rFonts w:hint="eastAsia" w:ascii="宋体" w:hAnsi="宋体" w:cs="宋体"/>
              </w:rPr>
              <w:t>2.递交</w:t>
            </w:r>
            <w:r>
              <w:rPr>
                <w:rFonts w:hint="eastAsia" w:ascii="宋体" w:hAnsi="宋体" w:cs="宋体"/>
                <w:lang w:eastAsia="zh-CN"/>
              </w:rPr>
              <w:t>截止时间</w:t>
            </w:r>
            <w:r>
              <w:rPr>
                <w:rFonts w:hint="eastAsia" w:ascii="宋体" w:hAnsi="宋体" w:cs="宋体"/>
              </w:rPr>
              <w:t>：投标人应按要求在解密</w:t>
            </w:r>
            <w:r>
              <w:rPr>
                <w:rFonts w:hint="eastAsia" w:ascii="宋体" w:hAnsi="宋体" w:cs="宋体"/>
                <w:lang w:eastAsia="zh-CN"/>
              </w:rPr>
              <w:t>截止时间</w:t>
            </w:r>
            <w:r>
              <w:rPr>
                <w:rFonts w:hint="eastAsia" w:ascii="宋体" w:hAnsi="宋体" w:cs="宋体"/>
              </w:rPr>
              <w:t>前将“备份电子投标文件”通过电子邮件发送至邮箱：hyqzfcg@126.com。采购组织机构将接收到的“备份电子投标文件”按“政府采购云平台”操作规范上传至“政府采购云平台”，并以“备份电子投标文件”为依据进行评审。“备份电子投标文件”上传成功后，已传输递交至“政府采购云平台”的电子加密“投标文件”自动失效；</w:t>
            </w:r>
          </w:p>
          <w:p>
            <w:pPr>
              <w:spacing w:line="360" w:lineRule="auto"/>
              <w:ind w:firstLine="480" w:firstLineChars="200"/>
              <w:rPr>
                <w:rFonts w:ascii="宋体" w:hAnsi="宋体" w:cs="宋体"/>
                <w:sz w:val="24"/>
              </w:rPr>
            </w:pPr>
            <w:r>
              <w:rPr>
                <w:rFonts w:hint="eastAsia" w:ascii="宋体" w:hAnsi="宋体" w:cs="宋体"/>
                <w:sz w:val="24"/>
              </w:rPr>
              <w:t>3.未按上述要求递交备份投标文件或所提供的备份投标文件不符合要求的视同放弃投标，仅提交备份投标文件的，投标无效。</w:t>
            </w:r>
          </w:p>
          <w:p>
            <w:pPr>
              <w:spacing w:line="360" w:lineRule="auto"/>
              <w:ind w:firstLine="480" w:firstLineChars="200"/>
              <w:rPr>
                <w:rFonts w:ascii="宋体" w:hAnsi="宋体" w:cs="宋体"/>
                <w:sz w:val="24"/>
              </w:rPr>
            </w:pPr>
            <w:r>
              <w:rPr>
                <w:rFonts w:hint="eastAsia" w:ascii="宋体" w:hAnsi="宋体" w:cs="宋体"/>
                <w:sz w:val="24"/>
              </w:rPr>
              <w:t>4.投标人未按时完成解密的，并符合备份投标文件使用前提的，投标人应提供备份投标文件，否则视为放弃投标。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不见面开标</w:t>
            </w:r>
          </w:p>
          <w:p>
            <w:pPr>
              <w:spacing w:line="360" w:lineRule="auto"/>
              <w:jc w:val="center"/>
              <w:rPr>
                <w:rFonts w:ascii="宋体" w:hAnsi="宋体" w:cs="宋体"/>
                <w:sz w:val="24"/>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采购组织机构按照招标文件规定的时间通过“政采云平台”组织开标，所有投标人均应当准时在线参加。如未参加，造成无法投标、投标失败等后果由投标人自行承担。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演示要求</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本项目不需要演示。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投标与开标</w:t>
            </w:r>
          </w:p>
          <w:p>
            <w:pPr>
              <w:spacing w:line="360" w:lineRule="auto"/>
              <w:jc w:val="center"/>
              <w:rPr>
                <w:rFonts w:ascii="宋体" w:hAnsi="宋体" w:cs="宋体"/>
                <w:sz w:val="24"/>
              </w:rPr>
            </w:pPr>
            <w:r>
              <w:rPr>
                <w:rFonts w:hint="eastAsia" w:ascii="宋体" w:hAnsi="宋体" w:cs="宋体"/>
                <w:sz w:val="24"/>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1.本项目实行电子投标，投标人自行承担投标一切费用。</w:t>
            </w:r>
          </w:p>
          <w:p>
            <w:pPr>
              <w:spacing w:line="360" w:lineRule="auto"/>
              <w:ind w:firstLine="480" w:firstLineChars="200"/>
              <w:rPr>
                <w:rFonts w:ascii="宋体" w:hAnsi="宋体" w:cs="宋体"/>
                <w:sz w:val="24"/>
              </w:rPr>
            </w:pPr>
            <w:r>
              <w:rPr>
                <w:rFonts w:hint="eastAsia" w:ascii="宋体" w:hAnsi="宋体" w:cs="宋体"/>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pPr>
              <w:spacing w:line="360" w:lineRule="auto"/>
              <w:ind w:firstLine="480" w:firstLineChars="200"/>
              <w:rPr>
                <w:rFonts w:ascii="宋体" w:hAnsi="宋体" w:cs="宋体"/>
                <w:sz w:val="24"/>
              </w:rPr>
            </w:pPr>
            <w:r>
              <w:rPr>
                <w:rFonts w:hint="eastAsia" w:ascii="宋体" w:hAnsi="宋体" w:cs="宋体"/>
                <w:sz w:val="24"/>
              </w:rPr>
              <w:t>3.中标供应商需在中标后7个工作日内将投标文件以纸质文件的形式编制，按资格及商务技术文件、报价文件分别编制并单独装订成册以邮寄的方式送达至采购组织机构，数量均为两份（一正一副）。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信用信息</w:t>
            </w:r>
          </w:p>
          <w:p>
            <w:pPr>
              <w:spacing w:line="360" w:lineRule="auto"/>
              <w:jc w:val="center"/>
              <w:rPr>
                <w:rFonts w:ascii="宋体" w:hAnsi="宋体" w:cs="宋体"/>
                <w:sz w:val="24"/>
              </w:rPr>
            </w:pPr>
            <w:r>
              <w:rPr>
                <w:rFonts w:hint="eastAsia" w:ascii="宋体" w:hAnsi="宋体" w:cs="宋体"/>
                <w:sz w:val="24"/>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中小企业预留</w:t>
            </w:r>
          </w:p>
          <w:p>
            <w:pPr>
              <w:spacing w:line="360" w:lineRule="auto"/>
              <w:jc w:val="center"/>
              <w:rPr>
                <w:rFonts w:ascii="宋体" w:hAnsi="宋体" w:cs="宋体"/>
                <w:sz w:val="24"/>
              </w:rPr>
            </w:pPr>
            <w:r>
              <w:rPr>
                <w:rFonts w:hint="eastAsia" w:ascii="宋体" w:hAnsi="宋体" w:cs="宋体"/>
                <w:sz w:val="24"/>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根据《政府采购促进中小企业发展管理办法》财库〔2020〕46号文件的规定，本项目(□是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中小企业</w:t>
            </w:r>
          </w:p>
          <w:p>
            <w:pPr>
              <w:spacing w:line="360" w:lineRule="auto"/>
              <w:jc w:val="center"/>
              <w:rPr>
                <w:rFonts w:ascii="宋体" w:hAnsi="宋体" w:cs="宋体"/>
                <w:sz w:val="24"/>
              </w:rPr>
            </w:pPr>
            <w:r>
              <w:rPr>
                <w:rFonts w:hint="eastAsia" w:ascii="宋体" w:hAnsi="宋体" w:cs="宋体"/>
                <w:sz w:val="24"/>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1.项目属性（服务类）</w:t>
            </w:r>
          </w:p>
          <w:p>
            <w:pPr>
              <w:spacing w:line="360" w:lineRule="auto"/>
              <w:ind w:firstLine="480" w:firstLineChars="200"/>
              <w:rPr>
                <w:rFonts w:ascii="宋体" w:hAnsi="宋体" w:cs="宋体"/>
                <w:sz w:val="24"/>
              </w:rPr>
            </w:pPr>
            <w:r>
              <w:rPr>
                <w:rFonts w:hint="eastAsia" w:ascii="宋体" w:hAnsi="宋体" w:cs="宋体"/>
                <w:sz w:val="24"/>
              </w:rPr>
              <w:t>2.中小企业划分标准所属行业（具体根据《中小企业划型标准规定》执行）。</w:t>
            </w:r>
          </w:p>
          <w:p>
            <w:pPr>
              <w:spacing w:line="300" w:lineRule="auto"/>
              <w:ind w:firstLine="420" w:firstLineChars="200"/>
              <w:jc w:val="left"/>
              <w:rPr>
                <w:rFonts w:cs="Arial" w:asciiTheme="minorEastAsia" w:hAnsiTheme="minorEastAsia" w:eastAsiaTheme="minorEastAsia"/>
                <w:color w:val="FF0000"/>
                <w:szCs w:val="21"/>
              </w:rPr>
            </w:pPr>
            <w:r>
              <w:rPr>
                <w:rFonts w:hint="eastAsia" w:cs="Arial" w:asciiTheme="minorEastAsia" w:hAnsiTheme="minorEastAsia" w:eastAsiaTheme="minorEastAsia"/>
                <w:color w:val="FF0000"/>
                <w:szCs w:val="21"/>
              </w:rPr>
              <w:t>采购标的：</w:t>
            </w:r>
            <w:r>
              <w:rPr>
                <w:rFonts w:hint="eastAsia" w:asciiTheme="minorEastAsia" w:hAnsiTheme="minorEastAsia" w:eastAsiaTheme="minorEastAsia" w:cstheme="minorEastAsia"/>
                <w:color w:val="FF0000"/>
                <w:szCs w:val="21"/>
                <w:u w:val="single"/>
              </w:rPr>
              <w:t>城乡居民基本医疗保险意外伤害住院医疗费用再保险</w:t>
            </w:r>
            <w:r>
              <w:rPr>
                <w:rFonts w:hint="eastAsia" w:cs="Arial" w:asciiTheme="minorEastAsia" w:hAnsiTheme="minorEastAsia" w:eastAsiaTheme="minorEastAsia"/>
                <w:color w:val="FF0000"/>
                <w:szCs w:val="21"/>
              </w:rPr>
              <w:t>，所属行业：</w:t>
            </w:r>
            <w:r>
              <w:rPr>
                <w:rFonts w:hint="eastAsia" w:cs="Arial" w:asciiTheme="minorEastAsia" w:hAnsiTheme="minorEastAsia" w:eastAsiaTheme="minorEastAsia"/>
                <w:color w:val="FF0000"/>
                <w:szCs w:val="21"/>
                <w:u w:val="single"/>
              </w:rPr>
              <w:t>其他未列明行业。</w:t>
            </w:r>
          </w:p>
          <w:p>
            <w:pPr>
              <w:spacing w:line="360" w:lineRule="auto"/>
              <w:ind w:firstLine="480" w:firstLineChars="200"/>
              <w:rPr>
                <w:rFonts w:ascii="宋体" w:hAnsi="宋体" w:cs="宋体"/>
                <w:sz w:val="24"/>
              </w:rPr>
            </w:pPr>
            <w:r>
              <w:rPr>
                <w:rFonts w:hint="eastAsia" w:ascii="宋体" w:hAnsi="宋体" w:cs="宋体"/>
                <w:sz w:val="24"/>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60" w:lineRule="auto"/>
              <w:ind w:firstLine="480" w:firstLineChars="200"/>
              <w:rPr>
                <w:rFonts w:ascii="宋体" w:hAnsi="宋体" w:cs="宋体"/>
                <w:sz w:val="24"/>
              </w:rPr>
            </w:pPr>
            <w:r>
              <w:rPr>
                <w:rFonts w:hint="eastAsia" w:ascii="宋体" w:hAnsi="宋体" w:cs="宋体"/>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60" w:lineRule="auto"/>
              <w:ind w:firstLine="480" w:firstLineChars="200"/>
              <w:rPr>
                <w:rFonts w:ascii="宋体" w:hAnsi="宋体" w:cs="宋体"/>
                <w:sz w:val="24"/>
              </w:rPr>
            </w:pPr>
            <w:r>
              <w:rPr>
                <w:rFonts w:hint="eastAsia" w:ascii="宋体" w:hAnsi="宋体" w:cs="宋体"/>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lang w:val="zh-CN"/>
              </w:rPr>
              <w:t>带“</w:t>
            </w:r>
            <w:r>
              <w:rPr>
                <w:rFonts w:hint="eastAsia" w:ascii="宋体" w:hAnsi="宋体" w:cs="宋体"/>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1、各供应商自行在浙江政府采购网下载或查阅采购文件和相关更正公告等，不另行通知，如有遗漏采购人、采购代理机构概不负责。</w:t>
            </w:r>
          </w:p>
          <w:p>
            <w:pPr>
              <w:spacing w:line="360" w:lineRule="auto"/>
              <w:rPr>
                <w:rFonts w:ascii="宋体" w:hAnsi="宋体" w:cs="宋体"/>
                <w:sz w:val="24"/>
              </w:rPr>
            </w:pPr>
            <w:r>
              <w:rPr>
                <w:rFonts w:hint="eastAsia" w:ascii="宋体" w:hAnsi="宋体" w:cs="宋体"/>
                <w:sz w:val="24"/>
              </w:rPr>
              <w:t>2、两家或两家以上供应商提供的投标文件出自同一终端设备的，或在相同Internet主机分配地址（相同IP地址）报名或网上投标的，后果由供应商自行承担。</w:t>
            </w:r>
          </w:p>
          <w:p>
            <w:pPr>
              <w:spacing w:line="360" w:lineRule="auto"/>
              <w:rPr>
                <w:rFonts w:ascii="宋体" w:hAnsi="宋体" w:cs="宋体"/>
                <w:sz w:val="24"/>
              </w:rPr>
            </w:pPr>
            <w:r>
              <w:rPr>
                <w:rFonts w:hint="eastAsia" w:ascii="宋体" w:hAnsi="宋体" w:cs="宋体"/>
                <w:sz w:val="24"/>
              </w:rPr>
              <w:t>3、开标时间后30分钟内供应商须携带CA自备电脑登录“政采云”平台，用“项目采购-开标评标”功能解密投标文件，投标人未按时解密或解密失败的，其上传的电子投标文件自动失效。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rPr>
                <w:rFonts w:ascii="宋体" w:hAnsi="宋体" w:cs="宋体"/>
                <w:sz w:val="24"/>
              </w:rPr>
            </w:pPr>
            <w:r>
              <w:rPr>
                <w:rFonts w:hint="eastAsia" w:ascii="宋体" w:hAnsi="宋体" w:cs="宋体"/>
                <w:sz w:val="24"/>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p>
    <w:p>
      <w:pPr>
        <w:widowControl/>
        <w:jc w:val="left"/>
        <w:rPr>
          <w:rFonts w:ascii="宋体" w:hAnsi="宋体" w:cs="宋体"/>
          <w:b/>
          <w:sz w:val="24"/>
        </w:rPr>
      </w:pPr>
      <w:r>
        <w:rPr>
          <w:rFonts w:hAnsi="宋体" w:cs="宋体"/>
          <w:b/>
          <w:sz w:val="24"/>
        </w:rPr>
        <w:br w:type="page"/>
      </w:r>
    </w:p>
    <w:p>
      <w:pPr>
        <w:pStyle w:val="14"/>
        <w:snapToGrid w:val="0"/>
        <w:spacing w:line="360" w:lineRule="auto"/>
        <w:ind w:firstLine="482" w:firstLineChars="200"/>
        <w:rPr>
          <w:rFonts w:hAnsi="宋体" w:cs="宋体"/>
          <w:b/>
          <w:sz w:val="24"/>
        </w:rPr>
      </w:pPr>
      <w:r>
        <w:rPr>
          <w:rFonts w:hint="eastAsia" w:hAnsi="宋体" w:cs="宋体"/>
          <w:b/>
          <w:sz w:val="24"/>
        </w:rPr>
        <w:t>二、说 明</w:t>
      </w:r>
    </w:p>
    <w:p>
      <w:pPr>
        <w:pStyle w:val="15"/>
        <w:numPr>
          <w:ilvl w:val="0"/>
          <w:numId w:val="6"/>
        </w:numPr>
        <w:spacing w:line="360" w:lineRule="auto"/>
        <w:ind w:left="0" w:leftChars="0" w:firstLine="482" w:firstLineChars="200"/>
        <w:rPr>
          <w:rFonts w:ascii="宋体" w:hAnsi="宋体" w:eastAsia="宋体" w:cs="宋体"/>
          <w:b/>
          <w:sz w:val="24"/>
          <w:szCs w:val="24"/>
        </w:rPr>
      </w:pPr>
      <w:r>
        <w:rPr>
          <w:rFonts w:hint="eastAsia" w:ascii="宋体" w:hAnsi="宋体" w:eastAsia="宋体" w:cs="宋体"/>
          <w:b/>
          <w:sz w:val="24"/>
          <w:szCs w:val="24"/>
        </w:rPr>
        <w:t>总则</w:t>
      </w:r>
    </w:p>
    <w:p>
      <w:pPr>
        <w:snapToGrid w:val="0"/>
        <w:spacing w:line="360" w:lineRule="auto"/>
        <w:ind w:firstLine="480" w:firstLineChars="200"/>
        <w:rPr>
          <w:rFonts w:ascii="宋体" w:hAnsi="宋体" w:cs="宋体"/>
          <w:sz w:val="24"/>
        </w:rPr>
      </w:pPr>
      <w:r>
        <w:rPr>
          <w:rFonts w:hint="eastAsia" w:ascii="宋体" w:hAnsi="宋体" w:cs="宋体"/>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pPr>
        <w:snapToGrid w:val="0"/>
        <w:spacing w:line="360" w:lineRule="auto"/>
        <w:ind w:firstLine="480" w:firstLineChars="200"/>
        <w:rPr>
          <w:rFonts w:ascii="宋体" w:hAnsi="宋体" w:cs="宋体"/>
          <w:sz w:val="24"/>
        </w:rPr>
      </w:pPr>
      <w:r>
        <w:rPr>
          <w:rFonts w:hint="eastAsia" w:ascii="宋体" w:hAnsi="宋体" w:cs="宋体"/>
          <w:sz w:val="24"/>
        </w:rPr>
        <w:t>投标人应仔细阅读本项目招标公告及招标文件的所有内容（包括变更、补充、澄清以及修改等，且均为招标文件的组成部分），按照招标文件要求以及格式编制投标文件，并保证其真实性，否则由此引起的一切后果应由投标人承担。</w:t>
      </w:r>
    </w:p>
    <w:p>
      <w:pPr>
        <w:numPr>
          <w:ilvl w:val="0"/>
          <w:numId w:val="6"/>
        </w:numPr>
        <w:snapToGrid w:val="0"/>
        <w:spacing w:line="360" w:lineRule="auto"/>
        <w:ind w:firstLine="482" w:firstLineChars="200"/>
        <w:rPr>
          <w:rFonts w:ascii="宋体" w:hAnsi="宋体" w:cs="宋体"/>
          <w:b/>
          <w:sz w:val="24"/>
        </w:rPr>
      </w:pPr>
      <w:r>
        <w:rPr>
          <w:rFonts w:hint="eastAsia" w:ascii="宋体" w:hAnsi="宋体" w:cs="宋体"/>
          <w:b/>
          <w:sz w:val="24"/>
        </w:rPr>
        <w:t>适用范围</w:t>
      </w:r>
    </w:p>
    <w:p>
      <w:pPr>
        <w:snapToGrid w:val="0"/>
        <w:spacing w:line="360" w:lineRule="auto"/>
        <w:ind w:firstLine="480" w:firstLineChars="200"/>
        <w:rPr>
          <w:rFonts w:ascii="宋体" w:hAnsi="宋体" w:cs="宋体"/>
          <w:sz w:val="24"/>
        </w:rPr>
      </w:pPr>
      <w:r>
        <w:rPr>
          <w:rFonts w:hint="eastAsia" w:ascii="宋体" w:hAnsi="宋体" w:cs="宋体"/>
          <w:sz w:val="24"/>
        </w:rPr>
        <w:t>本招标文件适用于</w:t>
      </w:r>
      <w:r>
        <w:rPr>
          <w:rFonts w:hint="eastAsia" w:ascii="宋体" w:hAnsi="宋体" w:cs="宋体"/>
          <w:bCs/>
          <w:sz w:val="24"/>
        </w:rPr>
        <w:t>本次</w:t>
      </w:r>
      <w:r>
        <w:rPr>
          <w:rFonts w:hint="eastAsia" w:ascii="宋体" w:hAnsi="宋体" w:cs="宋体"/>
          <w:sz w:val="24"/>
        </w:rPr>
        <w:t>项目的招标、投标、评标、定标、验收、合同履约、付款等行为（法律、法规另有规定的，从其规定）。</w:t>
      </w:r>
    </w:p>
    <w:p>
      <w:pPr>
        <w:pStyle w:val="10"/>
        <w:spacing w:line="360" w:lineRule="auto"/>
        <w:ind w:firstLine="480" w:firstLineChars="200"/>
        <w:rPr>
          <w:rFonts w:ascii="宋体" w:hAnsi="宋体" w:cs="宋体"/>
        </w:rPr>
      </w:pPr>
      <w:r>
        <w:rPr>
          <w:rFonts w:hint="eastAsia" w:ascii="宋体" w:hAnsi="宋体" w:cs="宋体"/>
        </w:rPr>
        <w:t>本招标文件仅适用于本次招标公告中所涉及的项目和内容。</w:t>
      </w:r>
    </w:p>
    <w:p>
      <w:pPr>
        <w:snapToGrid w:val="0"/>
        <w:spacing w:before="120" w:beforeLines="50" w:line="360" w:lineRule="auto"/>
        <w:ind w:firstLine="482" w:firstLineChars="200"/>
        <w:rPr>
          <w:rFonts w:ascii="宋体" w:hAnsi="宋体" w:cs="宋体"/>
          <w:b/>
          <w:sz w:val="24"/>
        </w:rPr>
      </w:pPr>
      <w:r>
        <w:rPr>
          <w:rFonts w:hint="eastAsia" w:ascii="宋体" w:hAnsi="宋体" w:cs="宋体"/>
          <w:b/>
          <w:sz w:val="24"/>
        </w:rPr>
        <w:t>（三）当事人</w:t>
      </w:r>
    </w:p>
    <w:p>
      <w:pPr>
        <w:pStyle w:val="5"/>
        <w:keepNext w:val="0"/>
        <w:keepLines w:val="0"/>
        <w:tabs>
          <w:tab w:val="left" w:pos="0"/>
          <w:tab w:val="left" w:pos="851"/>
        </w:tabs>
        <w:snapToGrid w:val="0"/>
        <w:spacing w:before="0" w:after="0" w:line="360" w:lineRule="auto"/>
        <w:ind w:firstLine="480" w:firstLineChars="200"/>
        <w:rPr>
          <w:rFonts w:ascii="宋体" w:hAnsi="宋体" w:cs="宋体"/>
          <w:bCs w:val="0"/>
          <w:sz w:val="24"/>
          <w:szCs w:val="24"/>
        </w:rPr>
      </w:pPr>
      <w:r>
        <w:rPr>
          <w:rFonts w:hint="eastAsia" w:ascii="宋体" w:hAnsi="宋体" w:cs="宋体"/>
          <w:sz w:val="24"/>
          <w:szCs w:val="24"/>
        </w:rPr>
        <w:t>1.</w:t>
      </w:r>
      <w:r>
        <w:rPr>
          <w:rFonts w:hint="eastAsia" w:ascii="宋体" w:hAnsi="宋体" w:cs="宋体"/>
          <w:bCs w:val="0"/>
          <w:sz w:val="24"/>
          <w:szCs w:val="24"/>
          <w:lang w:val="zh-CN"/>
        </w:rPr>
        <w:t>采购组织机构：</w:t>
      </w:r>
      <w:r>
        <w:rPr>
          <w:rFonts w:hint="eastAsia" w:ascii="宋体" w:hAnsi="宋体" w:cs="宋体"/>
          <w:sz w:val="24"/>
          <w:szCs w:val="24"/>
        </w:rPr>
        <w:t>是</w:t>
      </w:r>
      <w:r>
        <w:rPr>
          <w:rFonts w:hint="eastAsia" w:ascii="宋体" w:hAnsi="宋体" w:cs="宋体"/>
          <w:bCs w:val="0"/>
          <w:sz w:val="24"/>
          <w:szCs w:val="24"/>
          <w:lang w:val="zh-CN"/>
        </w:rPr>
        <w:t>指采购人委托组织招标的集中采购机构</w:t>
      </w:r>
      <w:r>
        <w:rPr>
          <w:rFonts w:hint="eastAsia" w:ascii="宋体" w:hAnsi="宋体" w:cs="宋体"/>
          <w:bCs w:val="0"/>
          <w:sz w:val="24"/>
          <w:szCs w:val="24"/>
        </w:rPr>
        <w:t>或</w:t>
      </w:r>
      <w:r>
        <w:rPr>
          <w:rFonts w:hint="eastAsia" w:ascii="宋体" w:hAnsi="宋体" w:cs="宋体"/>
          <w:bCs w:val="0"/>
          <w:sz w:val="24"/>
          <w:szCs w:val="24"/>
          <w:lang w:val="zh-CN"/>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2.采购人：是指依法进行政府采购的国家机关、事业单位和团体组织。</w:t>
      </w:r>
    </w:p>
    <w:p>
      <w:pPr>
        <w:snapToGrid w:val="0"/>
        <w:spacing w:line="360" w:lineRule="auto"/>
        <w:ind w:firstLine="480" w:firstLineChars="200"/>
        <w:rPr>
          <w:rFonts w:ascii="宋体" w:hAnsi="宋体" w:cs="宋体"/>
          <w:sz w:val="24"/>
        </w:rPr>
      </w:pPr>
      <w:r>
        <w:rPr>
          <w:rFonts w:hint="eastAsia" w:ascii="宋体" w:hAnsi="宋体" w:cs="宋体"/>
          <w:sz w:val="24"/>
        </w:rPr>
        <w:t>3.投标人：是指响应招标、参加投标竞争的法人、其他组织或者自然人。</w:t>
      </w:r>
    </w:p>
    <w:p>
      <w:pPr>
        <w:snapToGrid w:val="0"/>
        <w:spacing w:line="360" w:lineRule="auto"/>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中标</w:t>
      </w:r>
      <w:r>
        <w:rPr>
          <w:rFonts w:hint="eastAsia" w:ascii="宋体" w:hAnsi="宋体" w:cs="宋体"/>
          <w:sz w:val="24"/>
        </w:rPr>
        <w:t>人</w:t>
      </w:r>
      <w:r>
        <w:rPr>
          <w:rFonts w:hint="eastAsia" w:ascii="宋体" w:hAnsi="宋体" w:cs="宋体"/>
          <w:sz w:val="24"/>
          <w:lang w:val="zh-CN"/>
        </w:rPr>
        <w:t>：是指经评</w:t>
      </w:r>
      <w:r>
        <w:rPr>
          <w:rFonts w:hint="eastAsia" w:ascii="宋体" w:hAnsi="宋体" w:cs="宋体"/>
          <w:sz w:val="24"/>
        </w:rPr>
        <w:t>标</w:t>
      </w:r>
      <w:r>
        <w:rPr>
          <w:rFonts w:hint="eastAsia" w:ascii="宋体" w:hAnsi="宋体" w:cs="宋体"/>
          <w:sz w:val="24"/>
          <w:lang w:val="zh-CN"/>
        </w:rPr>
        <w:t>委员会评审确定的对招标文件</w:t>
      </w:r>
      <w:r>
        <w:rPr>
          <w:rFonts w:hint="eastAsia" w:ascii="宋体" w:hAnsi="宋体" w:cs="宋体"/>
          <w:sz w:val="24"/>
        </w:rPr>
        <w:t>作</w:t>
      </w:r>
      <w:r>
        <w:rPr>
          <w:rFonts w:hint="eastAsia" w:ascii="宋体" w:hAnsi="宋体" w:cs="宋体"/>
          <w:sz w:val="24"/>
          <w:lang w:val="zh-CN"/>
        </w:rPr>
        <w:t>出实质性响应，经采购人按照规定在评</w:t>
      </w:r>
      <w:r>
        <w:rPr>
          <w:rFonts w:hint="eastAsia" w:ascii="宋体" w:hAnsi="宋体" w:cs="宋体"/>
          <w:sz w:val="24"/>
        </w:rPr>
        <w:t>标</w:t>
      </w:r>
      <w:r>
        <w:rPr>
          <w:rFonts w:hint="eastAsia" w:ascii="宋体" w:hAnsi="宋体" w:cs="宋体"/>
          <w:sz w:val="24"/>
          <w:lang w:val="zh-CN"/>
        </w:rPr>
        <w:t>委员会推荐的中标候选人中确定的或受采购人委托直接确认的，与采购人签订合同资格的投标</w:t>
      </w:r>
      <w:r>
        <w:rPr>
          <w:rFonts w:hint="eastAsia" w:ascii="宋体" w:hAnsi="宋体" w:cs="宋体"/>
          <w:sz w:val="24"/>
        </w:rPr>
        <w:t>人</w:t>
      </w:r>
      <w:r>
        <w:rPr>
          <w:rFonts w:hint="eastAsia" w:ascii="宋体" w:hAnsi="宋体" w:cs="宋体"/>
          <w:sz w:val="24"/>
          <w:lang w:val="zh-CN"/>
        </w:rPr>
        <w:t>。</w:t>
      </w:r>
    </w:p>
    <w:p>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w:t>
      </w:r>
      <w:r>
        <w:rPr>
          <w:rFonts w:hint="eastAsia" w:ascii="宋体" w:hAnsi="宋体" w:cs="宋体"/>
          <w:sz w:val="24"/>
        </w:rPr>
        <w:t>联合体：两个或两个以上法人或者其他组织可以组成一个联合体，以一个投标人的身份共同投标。</w:t>
      </w:r>
    </w:p>
    <w:p>
      <w:pPr>
        <w:snapToGrid w:val="0"/>
        <w:spacing w:line="360" w:lineRule="auto"/>
        <w:ind w:firstLine="482" w:firstLineChars="200"/>
        <w:rPr>
          <w:rFonts w:ascii="宋体" w:hAnsi="宋体" w:cs="宋体"/>
          <w:b/>
          <w:bCs/>
          <w:sz w:val="24"/>
        </w:rPr>
      </w:pPr>
      <w:r>
        <w:rPr>
          <w:rFonts w:hint="eastAsia" w:ascii="宋体" w:hAnsi="宋体" w:cs="宋体"/>
          <w:b/>
          <w:bCs/>
          <w:sz w:val="24"/>
        </w:rPr>
        <w:t>（四）以联合体形式投标的，应符合以下规定：</w:t>
      </w:r>
    </w:p>
    <w:p>
      <w:pPr>
        <w:snapToGrid w:val="0"/>
        <w:spacing w:line="360" w:lineRule="auto"/>
        <w:ind w:firstLine="480" w:firstLineChars="200"/>
        <w:rPr>
          <w:rFonts w:ascii="宋体" w:hAnsi="宋体" w:cs="宋体"/>
          <w:sz w:val="24"/>
        </w:rPr>
      </w:pPr>
      <w:r>
        <w:rPr>
          <w:rFonts w:hint="eastAsia" w:ascii="宋体" w:hAnsi="宋体" w:cs="宋体"/>
          <w:sz w:val="24"/>
        </w:rPr>
        <w:t>1.联合体各方应签订联合体协议书，明确联合体牵头人和各方权利义务，并作为投标文件组成分部分；</w:t>
      </w:r>
    </w:p>
    <w:p>
      <w:pPr>
        <w:snapToGrid w:val="0"/>
        <w:spacing w:line="360" w:lineRule="auto"/>
        <w:ind w:firstLine="480" w:firstLineChars="200"/>
        <w:rPr>
          <w:rFonts w:ascii="宋体" w:hAnsi="宋体" w:cs="宋体"/>
          <w:sz w:val="24"/>
        </w:rPr>
      </w:pPr>
      <w:r>
        <w:rPr>
          <w:rFonts w:hint="eastAsia" w:ascii="宋体" w:hAnsi="宋体" w:cs="宋体"/>
          <w:sz w:val="24"/>
        </w:rPr>
        <w:t>2.联合体各方均应当具备</w:t>
      </w:r>
      <w:r>
        <w:rPr>
          <w:rFonts w:hint="eastAsia" w:ascii="宋体" w:hAnsi="宋体" w:cs="宋体"/>
          <w:sz w:val="24"/>
          <w:lang w:val="zh-CN"/>
        </w:rPr>
        <w:t>《中华人民共和国政府采购法》</w:t>
      </w:r>
      <w:r>
        <w:rPr>
          <w:rFonts w:hint="eastAsia" w:ascii="宋体" w:hAnsi="宋体" w:cs="宋体"/>
          <w:sz w:val="24"/>
        </w:rPr>
        <w:t>第二十二条规定的条件，并在投标文件中提供联合体各方的相关证明材料；</w:t>
      </w:r>
    </w:p>
    <w:p>
      <w:pPr>
        <w:snapToGrid w:val="0"/>
        <w:spacing w:line="360" w:lineRule="auto"/>
        <w:ind w:firstLine="480" w:firstLineChars="200"/>
        <w:rPr>
          <w:rFonts w:ascii="宋体" w:hAnsi="宋体" w:cs="宋体"/>
          <w:sz w:val="24"/>
        </w:rPr>
      </w:pPr>
      <w:r>
        <w:rPr>
          <w:rFonts w:hint="eastAsia" w:ascii="宋体" w:hAnsi="宋体" w:cs="宋体"/>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宋体" w:hAnsi="宋体" w:cs="宋体"/>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集中采购机构/采购代理机构名称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snapToGrid w:val="0"/>
        <w:spacing w:line="360" w:lineRule="auto"/>
        <w:ind w:firstLine="482" w:firstLineChars="200"/>
        <w:rPr>
          <w:rFonts w:ascii="宋体" w:hAnsi="宋体" w:cs="宋体"/>
          <w:b/>
          <w:bCs/>
          <w:sz w:val="24"/>
        </w:rPr>
      </w:pPr>
      <w:r>
        <w:rPr>
          <w:rFonts w:hint="eastAsia" w:ascii="宋体" w:hAnsi="宋体" w:cs="宋体"/>
          <w:b/>
          <w:bCs/>
          <w:sz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cs="宋体"/>
          <w:b/>
          <w:sz w:val="24"/>
        </w:rPr>
      </w:pPr>
      <w:r>
        <w:rPr>
          <w:rFonts w:hint="eastAsia" w:hAnsi="宋体" w:cs="宋体"/>
          <w:b/>
          <w:sz w:val="24"/>
        </w:rPr>
        <w:t>（七）特别说明</w:t>
      </w:r>
    </w:p>
    <w:p>
      <w:pPr>
        <w:pStyle w:val="14"/>
        <w:snapToGrid w:val="0"/>
        <w:spacing w:line="360" w:lineRule="auto"/>
        <w:ind w:left="2" w:leftChars="1"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2.本招标文件中关于招投标内容、流程如与政采云系统中最新的内容、操作不一致的，以政采云系统中的要求为准。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三、招标文件</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（一）招标文件由招标文件目录所列内容组成。</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（二）投标人在规定的时间内未对招标文件提出疑问、质疑或要求澄清的，将视其为无异议。</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（三）对招标文件中描述有歧义或前后不一致的地方，评标委员会有权进行评判，但对同一条款的评判应适用于每个投标人。</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（四）采购组织机构对招标文件进行必要的澄清更正的，澄清或者修改的内容可能影响投标文件编制的，于投标</w:t>
      </w:r>
      <w:r>
        <w:rPr>
          <w:rFonts w:hint="eastAsia" w:ascii="宋体" w:hAnsi="宋体" w:cs="宋体"/>
          <w:sz w:val="24"/>
          <w:szCs w:val="24"/>
          <w:lang w:eastAsia="zh-CN"/>
        </w:rPr>
        <w:t>截止时间</w:t>
      </w:r>
      <w:r>
        <w:rPr>
          <w:rFonts w:hint="eastAsia" w:ascii="宋体" w:hAnsi="宋体" w:cs="宋体"/>
          <w:sz w:val="24"/>
          <w:szCs w:val="24"/>
        </w:rPr>
        <w:t>的15日前在浙江省政府采购网上以更正公告的形式通知各潜在的投标人；不足15日的，采购组织机构应当顺延提交投标文件的</w:t>
      </w:r>
      <w:r>
        <w:rPr>
          <w:rFonts w:hint="eastAsia" w:ascii="宋体" w:hAnsi="宋体" w:cs="宋体"/>
          <w:sz w:val="24"/>
          <w:szCs w:val="24"/>
          <w:lang w:eastAsia="zh-CN"/>
        </w:rPr>
        <w:t>截止时间</w:t>
      </w:r>
      <w:r>
        <w:rPr>
          <w:rFonts w:hint="eastAsia" w:ascii="宋体" w:hAnsi="宋体" w:cs="宋体"/>
          <w:sz w:val="24"/>
          <w:szCs w:val="24"/>
        </w:rPr>
        <w:t>。</w:t>
      </w:r>
    </w:p>
    <w:p>
      <w:pPr>
        <w:tabs>
          <w:tab w:val="left" w:pos="1418"/>
        </w:tabs>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四、投标文件</w:t>
      </w:r>
    </w:p>
    <w:p>
      <w:pPr>
        <w:pStyle w:val="8"/>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（一）投标文件的编制</w:t>
      </w:r>
    </w:p>
    <w:p>
      <w:pPr>
        <w:pStyle w:val="8"/>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kern w:val="0"/>
          <w:sz w:val="24"/>
          <w:szCs w:val="24"/>
        </w:rPr>
        <w:t xml:space="preserve"> 投标人获取招标文件后，按照采购组织机构的要求提供：资格证明文件、商务与技术文件和报价</w:t>
      </w:r>
      <w:r>
        <w:rPr>
          <w:rFonts w:hint="eastAsia" w:ascii="宋体" w:hAnsi="宋体" w:cs="宋体"/>
          <w:kern w:val="0"/>
          <w:sz w:val="24"/>
          <w:szCs w:val="24"/>
          <w:lang w:val="zh-CN"/>
        </w:rPr>
        <w:t>文件。【特别提示：如在投标时有要求提供资料原件的，将原件扫描放入</w:t>
      </w:r>
      <w:r>
        <w:rPr>
          <w:rFonts w:hint="eastAsia" w:ascii="宋体" w:hAnsi="宋体" w:cs="宋体"/>
          <w:color w:val="000000" w:themeColor="text1"/>
          <w:kern w:val="0"/>
          <w:sz w:val="24"/>
          <w:szCs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1.资格证明文件的组成：</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（1）投标声明书；</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（2）授权委托书（法定代表人（单位负责人）亲自办理投标事宜的，则无需提交)；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（3）联合体授权委托书及联合体声明、协议（若项目接受联合体投标时需提供）；</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（4）法人或者其他组织的营业执照等证明文件，自然人的身份证明；</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（5）财务状况报告，依法缴纳税收和社会保障资金的相关材料（附件2.1）</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（6）具备履行合同所必需的设备和专业服务（技术）能力的承诺函（附件2.2）</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（7）提供采购公告中符合供应商特定条件的有效资质证书扫描件以及需要说明的其他资料。</w:t>
      </w:r>
    </w:p>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2.商务与技术文件的组成：</w:t>
      </w:r>
    </w:p>
    <w:p>
      <w:pPr>
        <w:pStyle w:val="8"/>
        <w:widowControl/>
        <w:numPr>
          <w:ilvl w:val="0"/>
          <w:numId w:val="7"/>
        </w:numPr>
        <w:adjustRightInd w:val="0"/>
        <w:snapToGrid w:val="0"/>
        <w:spacing w:line="360" w:lineRule="auto"/>
        <w:ind w:firstLine="480"/>
        <w:rPr>
          <w:rFonts w:ascii="宋体" w:hAnsi="宋体" w:cs="宋体"/>
          <w:sz w:val="24"/>
          <w:szCs w:val="24"/>
        </w:rPr>
      </w:pPr>
      <w:r>
        <w:rPr>
          <w:rFonts w:hint="eastAsia" w:ascii="宋体" w:hAnsi="宋体" w:cs="宋体"/>
          <w:sz w:val="24"/>
          <w:szCs w:val="24"/>
        </w:rPr>
        <w:t>投标人情况介绍（附件3）</w:t>
      </w:r>
    </w:p>
    <w:p>
      <w:pPr>
        <w:pStyle w:val="8"/>
        <w:widowControl/>
        <w:numPr>
          <w:ilvl w:val="0"/>
          <w:numId w:val="7"/>
        </w:numPr>
        <w:adjustRightInd w:val="0"/>
        <w:snapToGrid w:val="0"/>
        <w:spacing w:line="360" w:lineRule="auto"/>
        <w:ind w:firstLine="480"/>
        <w:rPr>
          <w:rFonts w:ascii="宋体" w:hAnsi="宋体" w:cs="宋体"/>
          <w:sz w:val="24"/>
          <w:szCs w:val="24"/>
        </w:rPr>
      </w:pPr>
      <w:r>
        <w:rPr>
          <w:rFonts w:hint="eastAsia" w:ascii="宋体" w:hAnsi="宋体" w:cs="宋体"/>
          <w:sz w:val="24"/>
          <w:szCs w:val="24"/>
        </w:rPr>
        <w:t>技术需求响应表（附件4）</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（3）投标方案描述：</w:t>
      </w:r>
    </w:p>
    <w:p>
      <w:pPr>
        <w:pStyle w:val="8"/>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A.项目需求的理解与分析(投标人对项目现状及需求的理解情况，对项目现状和需求描述的全面性、准确性、针对性，对项目重点、难点的把握，解决方案及合理化建议)。</w:t>
      </w:r>
    </w:p>
    <w:p>
      <w:pPr>
        <w:pStyle w:val="8"/>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B.项目组织实施方案（包括不仅限于以下几点）：</w:t>
      </w:r>
    </w:p>
    <w:p>
      <w:pPr>
        <w:pStyle w:val="8"/>
        <w:widowControl/>
        <w:adjustRightInd w:val="0"/>
        <w:snapToGrid w:val="0"/>
        <w:spacing w:line="360" w:lineRule="auto"/>
        <w:ind w:left="218" w:leftChars="104" w:firstLine="619" w:firstLineChars="258"/>
        <w:rPr>
          <w:rFonts w:ascii="宋体" w:hAnsi="宋体" w:cs="宋体"/>
          <w:bCs/>
          <w:sz w:val="24"/>
          <w:szCs w:val="24"/>
        </w:rPr>
      </w:pPr>
      <w:r>
        <w:rPr>
          <w:rFonts w:hint="eastAsia" w:ascii="宋体" w:hAnsi="宋体" w:cs="宋体"/>
          <w:bCs/>
          <w:sz w:val="24"/>
          <w:szCs w:val="24"/>
        </w:rPr>
        <w:t>保险方案及服务承诺（针对本项目特点详细提供，具有针对性的，切实可行的实行方案及承诺）；</w:t>
      </w:r>
    </w:p>
    <w:p>
      <w:pPr>
        <w:pStyle w:val="8"/>
        <w:widowControl/>
        <w:adjustRightInd w:val="0"/>
        <w:snapToGrid w:val="0"/>
        <w:spacing w:line="360" w:lineRule="auto"/>
        <w:ind w:left="218" w:leftChars="104" w:firstLine="619" w:firstLineChars="258"/>
        <w:rPr>
          <w:rFonts w:ascii="宋体" w:hAnsi="宋体" w:cs="宋体"/>
          <w:bCs/>
          <w:sz w:val="24"/>
          <w:szCs w:val="24"/>
        </w:rPr>
      </w:pPr>
      <w:r>
        <w:rPr>
          <w:rFonts w:hint="eastAsia" w:ascii="宋体" w:hAnsi="宋体" w:cs="宋体"/>
          <w:bCs/>
          <w:sz w:val="24"/>
          <w:szCs w:val="24"/>
        </w:rPr>
        <w:t>针对本项目成立的服务（部门）机构的详细介绍，一般及专业技术力量配置等；</w:t>
      </w:r>
    </w:p>
    <w:p>
      <w:pPr>
        <w:spacing w:line="360" w:lineRule="auto"/>
        <w:ind w:firstLine="960" w:firstLineChars="400"/>
        <w:rPr>
          <w:rFonts w:ascii="宋体" w:hAnsi="宋体" w:cs="宋体"/>
          <w:sz w:val="24"/>
        </w:rPr>
      </w:pPr>
      <w:r>
        <w:rPr>
          <w:rFonts w:hint="eastAsia" w:ascii="宋体" w:hAnsi="宋体" w:cs="宋体"/>
          <w:sz w:val="24"/>
        </w:rPr>
        <w:t>项目实施人员一览表（附件5）</w:t>
      </w:r>
    </w:p>
    <w:p>
      <w:pPr>
        <w:spacing w:line="360" w:lineRule="auto"/>
        <w:ind w:left="420" w:firstLine="480" w:firstLineChars="200"/>
        <w:rPr>
          <w:rFonts w:ascii="宋体" w:hAnsi="宋体" w:cs="宋体"/>
          <w:sz w:val="24"/>
        </w:rPr>
      </w:pPr>
      <w:r>
        <w:rPr>
          <w:rFonts w:hint="eastAsia" w:ascii="宋体" w:hAnsi="宋体" w:cs="宋体"/>
          <w:sz w:val="24"/>
        </w:rPr>
        <w:t>服务（部门）机构总负责人情况表（附件6）</w:t>
      </w:r>
    </w:p>
    <w:p>
      <w:pPr>
        <w:pStyle w:val="8"/>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（可根据投标人对招标任务的理解和自身情况编制，利用投标文件中承诺提供的设备、人员等资源围绕采购人的要求、工作进度的实际要求如何实现这些要求，如何保质保量按时完成任务。）</w:t>
      </w:r>
    </w:p>
    <w:p>
      <w:pPr>
        <w:autoSpaceDE w:val="0"/>
        <w:autoSpaceDN w:val="0"/>
        <w:adjustRightInd w:val="0"/>
        <w:spacing w:line="360" w:lineRule="auto"/>
        <w:ind w:firstLine="424" w:firstLineChars="177"/>
        <w:rPr>
          <w:rFonts w:ascii="宋体" w:hAnsi="宋体" w:cs="宋体"/>
          <w:sz w:val="24"/>
        </w:rPr>
      </w:pPr>
      <w:r>
        <w:rPr>
          <w:rFonts w:hint="eastAsia" w:ascii="宋体" w:hAnsi="宋体" w:cs="宋体"/>
          <w:kern w:val="0"/>
          <w:sz w:val="24"/>
        </w:rPr>
        <w:t>（4）投标人通过的质量管理和质量保证体系、环保体系、</w:t>
      </w:r>
      <w:r>
        <w:rPr>
          <w:rFonts w:hint="eastAsia" w:ascii="宋体" w:hAnsi="宋体" w:cs="宋体"/>
          <w:sz w:val="24"/>
        </w:rPr>
        <w:t>自主创新相关证书等等与本项目相关</w:t>
      </w:r>
      <w:r>
        <w:rPr>
          <w:rFonts w:hint="eastAsia" w:ascii="宋体" w:hAnsi="宋体" w:cs="宋体"/>
          <w:kern w:val="0"/>
          <w:sz w:val="24"/>
        </w:rPr>
        <w:t>的认证证书或文件；</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（5）投标人类似成功案例一览表（2019年以来涉及意外伤害、基本医疗的保险业绩）；（附件7）</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（6）资信及商务需求响应表（附件8）；</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（7）证书一览表（附件9）；</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（8）投标人类似项目实施情况一览表（附件10）；</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（9）投标人需要说明的其他内容。（包括可能影响投标人商务与技术文件评分的各类证明材料）。</w:t>
      </w:r>
    </w:p>
    <w:p>
      <w:pPr>
        <w:autoSpaceDE w:val="0"/>
        <w:autoSpaceDN w:val="0"/>
        <w:adjustRightInd w:val="0"/>
        <w:spacing w:line="360" w:lineRule="auto"/>
        <w:ind w:left="426" w:firstLine="65" w:firstLineChars="27"/>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（1）开标一览表</w:t>
      </w:r>
      <w:r>
        <w:rPr>
          <w:rFonts w:hint="eastAsia" w:ascii="宋体" w:hAnsi="宋体" w:cs="宋体"/>
          <w:color w:val="000000"/>
          <w:sz w:val="24"/>
        </w:rPr>
        <w:t>（附件11）</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（2）报价明细表</w:t>
      </w:r>
      <w:r>
        <w:rPr>
          <w:rFonts w:hint="eastAsia" w:ascii="宋体" w:hAnsi="宋体" w:cs="宋体"/>
          <w:color w:val="000000"/>
          <w:sz w:val="24"/>
        </w:rPr>
        <w:t>（附件12）</w:t>
      </w:r>
    </w:p>
    <w:p>
      <w:pPr>
        <w:autoSpaceDE w:val="0"/>
        <w:autoSpaceDN w:val="0"/>
        <w:adjustRightInd w:val="0"/>
        <w:spacing w:line="360" w:lineRule="auto"/>
        <w:ind w:firstLine="480" w:firstLineChars="200"/>
        <w:rPr>
          <w:rFonts w:ascii="宋体" w:hAnsi="宋体" w:cs="宋体"/>
          <w:color w:val="000000" w:themeColor="text1"/>
          <w:kern w:val="0"/>
          <w:sz w:val="24"/>
          <w:lang w:val="en-GB"/>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（3）中小企业、</w:t>
      </w:r>
      <w:r>
        <w:rPr>
          <w:rFonts w:hint="eastAsia" w:ascii="宋体" w:hAnsi="宋体" w:cs="宋体"/>
          <w:color w:val="000000" w:themeColor="text1"/>
          <w:kern w:val="0"/>
          <w:sz w:val="24"/>
          <w:lang w:val="en-GB"/>
          <w14:textFill>
            <w14:solidFill>
              <w14:schemeClr w14:val="tx1"/>
            </w14:solidFill>
          </w14:textFill>
        </w:rPr>
        <w:t>残疾人福利性单位、监狱企业</w:t>
      </w:r>
      <w:r>
        <w:rPr>
          <w:rFonts w:hint="eastAsia" w:ascii="宋体" w:hAnsi="宋体" w:cs="宋体"/>
          <w:color w:val="000000" w:themeColor="text1"/>
          <w:kern w:val="0"/>
          <w:sz w:val="24"/>
          <w14:textFill>
            <w14:solidFill>
              <w14:schemeClr w14:val="tx1"/>
            </w14:solidFill>
          </w14:textFill>
        </w:rPr>
        <w:t>等声明函</w:t>
      </w:r>
      <w:r>
        <w:rPr>
          <w:rFonts w:hint="eastAsia" w:ascii="宋体" w:hAnsi="宋体" w:cs="宋体"/>
          <w:color w:val="000000"/>
          <w:sz w:val="24"/>
        </w:rPr>
        <w:t>（附件13）</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（4）针对报价投标人认为其他需要说明的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（二）投标报价</w:t>
      </w:r>
    </w:p>
    <w:p>
      <w:pPr>
        <w:pStyle w:val="8"/>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snapToGrid w:val="0"/>
        <w:spacing w:line="360" w:lineRule="auto"/>
        <w:ind w:firstLine="480" w:firstLineChars="200"/>
        <w:rPr>
          <w:rFonts w:ascii="宋体" w:hAnsi="宋体" w:cs="宋体"/>
          <w:color w:val="000000"/>
          <w:sz w:val="24"/>
          <w:lang w:val="zh-CN"/>
        </w:rPr>
      </w:pPr>
      <w:r>
        <w:rPr>
          <w:rFonts w:hint="eastAsia" w:ascii="宋体" w:hAnsi="宋体" w:cs="宋体"/>
          <w:bCs/>
          <w:kern w:val="0"/>
          <w:sz w:val="24"/>
        </w:rPr>
        <w:t>2.</w:t>
      </w:r>
      <w:r>
        <w:rPr>
          <w:rFonts w:hint="eastAsia" w:ascii="宋体" w:hAnsi="宋体" w:cs="宋体"/>
          <w:color w:val="000000"/>
          <w:sz w:val="24"/>
        </w:rPr>
        <w:t>本项目投标报价应包括劳务、管理、维护、保险、利润、税金、售后服务、政策性文件规定及合同包含的所有风险、责任等所涉及的所有费用。投标人应考虑企业自身实力、经验及项目实施过程中的各种因素，在投标报价中应充分考虑所有可能发生的费用，否则采购人将视投标总价中已包括所有费用。</w:t>
      </w:r>
    </w:p>
    <w:p>
      <w:pPr>
        <w:pStyle w:val="8"/>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3.投标报价不得为选择性报价和附有条件的报价。</w:t>
      </w:r>
    </w:p>
    <w:p>
      <w:pPr>
        <w:pStyle w:val="8"/>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（三）投标文件的有效期</w:t>
      </w:r>
    </w:p>
    <w:p>
      <w:pPr>
        <w:pStyle w:val="8"/>
        <w:spacing w:line="360" w:lineRule="auto"/>
        <w:ind w:firstLine="480" w:firstLineChars="200"/>
        <w:rPr>
          <w:rFonts w:ascii="宋体" w:hAnsi="宋体" w:cs="宋体"/>
          <w:sz w:val="24"/>
          <w:szCs w:val="24"/>
          <w:lang w:val="en-GB"/>
        </w:rPr>
      </w:pPr>
      <w:r>
        <w:rPr>
          <w:rFonts w:hint="eastAsia" w:ascii="宋体" w:hAnsi="宋体" w:cs="宋体"/>
          <w:sz w:val="24"/>
          <w:szCs w:val="24"/>
        </w:rPr>
        <w:t>1.投标文件有效期为</w:t>
      </w:r>
      <w:r>
        <w:rPr>
          <w:rFonts w:hint="eastAsia" w:ascii="宋体" w:hAnsi="宋体" w:cs="宋体"/>
          <w:sz w:val="24"/>
          <w:szCs w:val="24"/>
          <w:lang w:val="en-GB"/>
        </w:rPr>
        <w:t>投标截至日起90天。</w:t>
      </w:r>
    </w:p>
    <w:p>
      <w:pPr>
        <w:pStyle w:val="8"/>
        <w:spacing w:line="360" w:lineRule="auto"/>
        <w:ind w:firstLine="480" w:firstLineChars="200"/>
        <w:rPr>
          <w:rFonts w:ascii="宋体" w:hAnsi="宋体" w:cs="宋体"/>
          <w:sz w:val="24"/>
          <w:szCs w:val="24"/>
          <w:lang w:val="en-GB"/>
        </w:rPr>
      </w:pPr>
      <w:r>
        <w:rPr>
          <w:rFonts w:hint="eastAsia" w:ascii="宋体" w:hAnsi="宋体" w:cs="宋体"/>
          <w:sz w:val="24"/>
          <w:szCs w:val="24"/>
        </w:rPr>
        <w:t>2.</w:t>
      </w:r>
      <w:r>
        <w:rPr>
          <w:rFonts w:hint="eastAsia" w:ascii="宋体" w:hAnsi="宋体" w:cs="宋体"/>
          <w:sz w:val="24"/>
          <w:szCs w:val="24"/>
          <w:lang w:val="en-GB"/>
        </w:rPr>
        <w:t>在特殊情况下，采购人可与投标人协商延长投标文件的有效期。</w:t>
      </w:r>
    </w:p>
    <w:p>
      <w:pPr>
        <w:snapToGrid w:val="0"/>
        <w:spacing w:line="360" w:lineRule="auto"/>
        <w:ind w:firstLine="480" w:firstLineChars="200"/>
        <w:rPr>
          <w:rFonts w:ascii="宋体" w:hAnsi="宋体" w:cs="宋体"/>
          <w:sz w:val="24"/>
        </w:rPr>
      </w:pPr>
      <w:r>
        <w:rPr>
          <w:rFonts w:hint="eastAsia" w:ascii="宋体" w:hAnsi="宋体" w:cs="宋体"/>
          <w:sz w:val="24"/>
        </w:rPr>
        <w:t>3.中标人的投标文件自开标之日起至合同履行完毕均应保持有效。</w:t>
      </w:r>
    </w:p>
    <w:p>
      <w:pPr>
        <w:snapToGrid w:val="0"/>
        <w:spacing w:line="360" w:lineRule="auto"/>
        <w:ind w:firstLine="482" w:firstLineChars="200"/>
        <w:rPr>
          <w:rFonts w:ascii="宋体" w:hAnsi="宋体" w:cs="宋体"/>
          <w:b/>
          <w:kern w:val="0"/>
          <w:sz w:val="24"/>
        </w:rPr>
      </w:pPr>
      <w:r>
        <w:rPr>
          <w:rFonts w:hint="eastAsia" w:ascii="宋体" w:hAnsi="宋体" w:cs="宋体"/>
          <w:b/>
          <w:kern w:val="0"/>
          <w:sz w:val="24"/>
        </w:rPr>
        <w:t>（四）投标文件的签署</w:t>
      </w:r>
    </w:p>
    <w:p>
      <w:pPr>
        <w:pStyle w:val="8"/>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投标文件需由法定代表人（单位负责人）或经其正式授权的代表签字或盖章（本项目如允许联合体投标且投标人是联合体的，联合体牵头单位应盖章，并签署联合体牵头单位法定代表人（单位负责人）或经其正式授权的代表的全名）。授权代表须出具书面授权证明，其《法定代表人（单位负责人）授权书》应附在投标文件中。</w:t>
      </w:r>
    </w:p>
    <w:p>
      <w:pPr>
        <w:pStyle w:val="8"/>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2.投标文件中所有的插字、涂改和增删，必须由法定代表人（单位负责人）或经其正式授权的代表在旁边签字或盖章才有效。</w:t>
      </w:r>
    </w:p>
    <w:p>
      <w:pPr>
        <w:pStyle w:val="8"/>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3.投标文件中要求加盖公章处，可使用有效安全的电子签章替代。</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（五）投标文件的递交要求</w:t>
      </w:r>
    </w:p>
    <w:p>
      <w:pPr>
        <w:tabs>
          <w:tab w:val="left" w:pos="1418"/>
        </w:tabs>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sz w:val="24"/>
        </w:rPr>
        <w:t>按照前附表要求提交，</w:t>
      </w:r>
      <w:r>
        <w:rPr>
          <w:rFonts w:hint="eastAsia" w:ascii="宋体" w:hAnsi="宋体" w:cs="宋体"/>
          <w:kern w:val="0"/>
          <w:sz w:val="24"/>
        </w:rPr>
        <w:t>如采购组织机构延长</w:t>
      </w:r>
      <w:r>
        <w:rPr>
          <w:rFonts w:hint="eastAsia" w:ascii="宋体" w:hAnsi="宋体" w:cs="宋体"/>
          <w:kern w:val="0"/>
          <w:sz w:val="24"/>
          <w:lang w:eastAsia="zh-CN"/>
        </w:rPr>
        <w:t>截止时间</w:t>
      </w:r>
      <w:r>
        <w:rPr>
          <w:rFonts w:hint="eastAsia" w:ascii="宋体" w:hAnsi="宋体" w:cs="宋体"/>
          <w:kern w:val="0"/>
          <w:sz w:val="24"/>
        </w:rPr>
        <w:t>和开标时间，采购组织机构和投标人的权利和义务将受到新的</w:t>
      </w:r>
      <w:r>
        <w:rPr>
          <w:rFonts w:hint="eastAsia" w:ascii="宋体" w:hAnsi="宋体" w:cs="宋体"/>
          <w:kern w:val="0"/>
          <w:sz w:val="24"/>
          <w:lang w:eastAsia="zh-CN"/>
        </w:rPr>
        <w:t>截止时间</w:t>
      </w:r>
      <w:r>
        <w:rPr>
          <w:rFonts w:hint="eastAsia" w:ascii="宋体" w:hAnsi="宋体" w:cs="宋体"/>
          <w:kern w:val="0"/>
          <w:sz w:val="24"/>
        </w:rPr>
        <w:t>和开标时间的约束。</w:t>
      </w:r>
    </w:p>
    <w:p>
      <w:pPr>
        <w:snapToGrid w:val="0"/>
        <w:spacing w:line="360" w:lineRule="auto"/>
        <w:ind w:firstLine="482" w:firstLineChars="200"/>
        <w:rPr>
          <w:rFonts w:ascii="宋体" w:hAnsi="宋体" w:cs="宋体"/>
          <w:b/>
          <w:kern w:val="0"/>
          <w:sz w:val="24"/>
        </w:rPr>
      </w:pPr>
      <w:r>
        <w:rPr>
          <w:rFonts w:hint="eastAsia" w:ascii="宋体" w:hAnsi="宋体" w:cs="宋体"/>
          <w:b/>
          <w:kern w:val="0"/>
          <w:sz w:val="24"/>
        </w:rPr>
        <w:t>五、开标</w:t>
      </w:r>
    </w:p>
    <w:p>
      <w:pPr>
        <w:autoSpaceDE w:val="0"/>
        <w:autoSpaceDN w:val="0"/>
        <w:adjustRightInd w:val="0"/>
        <w:spacing w:line="360" w:lineRule="auto"/>
        <w:ind w:firstLine="482" w:firstLineChars="200"/>
        <w:rPr>
          <w:rFonts w:ascii="宋体" w:hAnsi="宋体" w:cs="宋体"/>
          <w:b/>
          <w:sz w:val="24"/>
        </w:rPr>
      </w:pPr>
      <w:r>
        <w:rPr>
          <w:rFonts w:hint="eastAsia" w:ascii="宋体" w:hAnsi="宋体" w:cs="宋体"/>
          <w:b/>
          <w:sz w:val="24"/>
        </w:rPr>
        <w:t>（一）开标程序</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1.开标时间到后，主持人准时组织开标；</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2.宣布采购组织机构工作人员；</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4.采购组织机构工作人员当众宣布投标人名称、投标价格和招标文件规定的需要宣布的其他内容（以开标一览表要求为准）；</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5.公布开标结果。</w:t>
      </w:r>
    </w:p>
    <w:p>
      <w:pPr>
        <w:pStyle w:val="8"/>
        <w:spacing w:line="360" w:lineRule="auto"/>
        <w:ind w:firstLine="482" w:firstLineChars="200"/>
        <w:rPr>
          <w:rFonts w:ascii="宋体" w:hAnsi="宋体" w:cs="宋体"/>
          <w:b/>
          <w:bCs/>
          <w:sz w:val="24"/>
          <w:szCs w:val="24"/>
        </w:rPr>
      </w:pPr>
      <w:r>
        <w:rPr>
          <w:rFonts w:hint="eastAsia" w:ascii="宋体" w:hAnsi="宋体" w:cs="宋体"/>
          <w:b/>
          <w:bCs/>
          <w:sz w:val="24"/>
          <w:szCs w:val="24"/>
        </w:rPr>
        <w:t>（二）开标异议</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rFonts w:ascii="宋体" w:hAnsi="宋体" w:cs="宋体"/>
          <w:sz w:val="24"/>
          <w:szCs w:val="24"/>
        </w:rPr>
      </w:pPr>
      <w:r>
        <w:rPr>
          <w:rFonts w:hint="eastAsia" w:ascii="宋体" w:hAnsi="宋体" w:cs="宋体"/>
          <w:b/>
          <w:bCs/>
          <w:sz w:val="24"/>
          <w:szCs w:val="24"/>
        </w:rPr>
        <w:t>（三）</w:t>
      </w:r>
      <w:r>
        <w:rPr>
          <w:rFonts w:hint="eastAsia" w:ascii="宋体" w:hAnsi="宋体" w:cs="宋体"/>
          <w:sz w:val="24"/>
          <w:szCs w:val="24"/>
        </w:rPr>
        <w:t>投标人不足三家，不得开标。</w:t>
      </w:r>
    </w:p>
    <w:p>
      <w:pPr>
        <w:pStyle w:val="14"/>
        <w:snapToGrid w:val="0"/>
        <w:spacing w:line="360" w:lineRule="auto"/>
        <w:ind w:firstLine="482" w:firstLineChars="200"/>
        <w:rPr>
          <w:rFonts w:hAnsi="宋体" w:cs="宋体"/>
          <w:b/>
          <w:sz w:val="24"/>
        </w:rPr>
      </w:pPr>
      <w:r>
        <w:rPr>
          <w:rFonts w:hint="eastAsia" w:hAnsi="宋体" w:cs="宋体"/>
          <w:b/>
          <w:sz w:val="24"/>
        </w:rPr>
        <w:t>五、评标（详见第四章）</w:t>
      </w:r>
    </w:p>
    <w:p>
      <w:pPr>
        <w:pStyle w:val="21"/>
        <w:spacing w:before="0" w:beforeAutospacing="0" w:after="0" w:afterAutospacing="0" w:line="360" w:lineRule="auto"/>
        <w:ind w:firstLine="482" w:firstLineChars="200"/>
        <w:jc w:val="both"/>
        <w:rPr>
          <w:rFonts w:hint="default" w:cs="宋体"/>
          <w:b/>
        </w:rPr>
      </w:pPr>
      <w:r>
        <w:rPr>
          <w:rFonts w:cs="宋体"/>
          <w:b/>
        </w:rPr>
        <w:t>六、定标</w:t>
      </w:r>
    </w:p>
    <w:p>
      <w:pPr>
        <w:pStyle w:val="21"/>
        <w:spacing w:before="0" w:beforeAutospacing="0" w:after="0" w:afterAutospacing="0" w:line="360" w:lineRule="auto"/>
        <w:ind w:firstLine="480" w:firstLineChars="200"/>
        <w:jc w:val="both"/>
        <w:rPr>
          <w:rFonts w:hint="default" w:cs="宋体"/>
        </w:rPr>
      </w:pPr>
      <w:r>
        <w:rPr>
          <w:rFonts w:cs="宋体"/>
        </w:rP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cs="宋体"/>
          <w:kern w:val="0"/>
          <w:sz w:val="24"/>
        </w:rPr>
      </w:pPr>
      <w:r>
        <w:rPr>
          <w:rFonts w:hint="eastAsia" w:ascii="宋体" w:hAnsi="宋体" w:cs="宋体"/>
          <w:sz w:val="24"/>
        </w:rPr>
        <w:t>（二）</w:t>
      </w:r>
      <w:r>
        <w:rPr>
          <w:rFonts w:hint="eastAsia" w:ascii="宋体" w:hAnsi="宋体" w:cs="宋体"/>
          <w:kern w:val="0"/>
          <w:sz w:val="24"/>
        </w:rPr>
        <w:t>发布</w:t>
      </w:r>
      <w:r>
        <w:rPr>
          <w:rFonts w:hint="eastAsia" w:ascii="宋体" w:hAnsi="宋体" w:cs="宋体"/>
          <w:sz w:val="24"/>
        </w:rPr>
        <w:t>中标</w:t>
      </w:r>
      <w:r>
        <w:rPr>
          <w:rFonts w:hint="eastAsia" w:ascii="宋体" w:hAnsi="宋体" w:cs="宋体"/>
          <w:kern w:val="0"/>
          <w:sz w:val="24"/>
        </w:rPr>
        <w:t>结果公告。采购组织机构自中标人确定之日起2个工作日内，在浙江省政府采购网和台州市公共资源交易网上公告中标结果，</w:t>
      </w:r>
      <w:r>
        <w:rPr>
          <w:rFonts w:hint="eastAsia" w:ascii="宋体" w:hAnsi="宋体" w:cs="宋体"/>
          <w:sz w:val="24"/>
        </w:rPr>
        <w:t>中标结果公告期为 1 个工作日</w:t>
      </w:r>
      <w:r>
        <w:rPr>
          <w:rFonts w:hint="eastAsia" w:ascii="宋体" w:hAnsi="宋体" w:cs="宋体"/>
          <w:kern w:val="0"/>
          <w:sz w:val="24"/>
        </w:rPr>
        <w:t>。</w:t>
      </w:r>
    </w:p>
    <w:p>
      <w:pPr>
        <w:pStyle w:val="9"/>
        <w:spacing w:line="360" w:lineRule="auto"/>
        <w:ind w:firstLine="480" w:firstLineChars="200"/>
        <w:jc w:val="both"/>
        <w:rPr>
          <w:rFonts w:ascii="宋体" w:hAnsi="宋体" w:cs="宋体"/>
          <w:sz w:val="24"/>
        </w:rPr>
      </w:pPr>
      <w:r>
        <w:rPr>
          <w:rFonts w:hint="eastAsia" w:ascii="宋体" w:hAnsi="宋体" w:cs="宋体"/>
          <w:kern w:val="0"/>
          <w:sz w:val="24"/>
        </w:rPr>
        <w:t>（三）</w:t>
      </w:r>
      <w:r>
        <w:rPr>
          <w:rFonts w:hint="eastAsia" w:ascii="宋体" w:hAnsi="宋体" w:cs="宋体"/>
          <w:sz w:val="24"/>
        </w:rPr>
        <w:t>发放中标通知书</w:t>
      </w:r>
      <w:r>
        <w:rPr>
          <w:rFonts w:hint="eastAsia" w:ascii="宋体" w:hAnsi="宋体" w:cs="宋体"/>
          <w:kern w:val="0"/>
          <w:sz w:val="24"/>
        </w:rPr>
        <w:t>。采购组织机构在发布中标结果公告的同时，</w:t>
      </w:r>
      <w:r>
        <w:rPr>
          <w:rFonts w:hint="eastAsia" w:ascii="宋体" w:hAnsi="宋体" w:cs="宋体"/>
          <w:sz w:val="24"/>
        </w:rPr>
        <w:t>通过政采云平台</w:t>
      </w:r>
      <w:r>
        <w:rPr>
          <w:rFonts w:hint="eastAsia" w:ascii="宋体" w:hAnsi="宋体" w:cs="宋体"/>
          <w:kern w:val="0"/>
          <w:sz w:val="24"/>
        </w:rPr>
        <w:t>向中标人发出中标通知书。</w:t>
      </w:r>
    </w:p>
    <w:p>
      <w:pPr>
        <w:spacing w:line="360" w:lineRule="auto"/>
        <w:ind w:firstLine="482" w:firstLineChars="200"/>
        <w:rPr>
          <w:rFonts w:ascii="宋体" w:hAnsi="宋体" w:cs="宋体"/>
          <w:kern w:val="0"/>
          <w:sz w:val="24"/>
        </w:rPr>
      </w:pPr>
      <w:r>
        <w:rPr>
          <w:rFonts w:hint="eastAsia" w:ascii="宋体" w:hAnsi="宋体" w:cs="宋体"/>
          <w:b/>
          <w:sz w:val="24"/>
        </w:rPr>
        <w:t>七、</w:t>
      </w:r>
      <w:r>
        <w:rPr>
          <w:rFonts w:hint="eastAsia" w:ascii="宋体" w:hAnsi="宋体" w:cs="宋体"/>
          <w:b/>
          <w:kern w:val="0"/>
          <w:sz w:val="24"/>
        </w:rPr>
        <w:t>合同签订及公告</w:t>
      </w:r>
    </w:p>
    <w:p>
      <w:pPr>
        <w:spacing w:line="360" w:lineRule="auto"/>
        <w:ind w:firstLine="482" w:firstLineChars="200"/>
        <w:rPr>
          <w:rFonts w:ascii="宋体" w:hAnsi="宋体" w:cs="宋体"/>
          <w:b/>
          <w:kern w:val="0"/>
          <w:sz w:val="24"/>
        </w:rPr>
      </w:pPr>
      <w:r>
        <w:rPr>
          <w:rFonts w:hint="eastAsia" w:ascii="宋体" w:hAnsi="宋体" w:cs="宋体"/>
          <w:b/>
          <w:sz w:val="24"/>
        </w:rPr>
        <w:t>（一）签订合同</w:t>
      </w:r>
    </w:p>
    <w:p>
      <w:pPr>
        <w:pStyle w:val="21"/>
        <w:spacing w:before="0" w:beforeAutospacing="0" w:after="0" w:afterAutospacing="0" w:line="360" w:lineRule="auto"/>
        <w:ind w:firstLine="480" w:firstLineChars="200"/>
        <w:jc w:val="both"/>
        <w:rPr>
          <w:rFonts w:hint="default" w:cs="宋体"/>
        </w:rPr>
      </w:pPr>
      <w:r>
        <w:rPr>
          <w:rFonts w:cs="宋体"/>
        </w:rPr>
        <w:t>1.采购人应当自中标通知书发出之日起30日内，按照招标文件和中标人投标文件内容要求，与中标人签订合同。所签订的合同不得对招标文件确定的事项和中标人投标文件作实质性修改。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cs="宋体"/>
        </w:rPr>
      </w:pPr>
      <w:r>
        <w:rPr>
          <w:rFonts w:cs="宋体"/>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default" w:cs="宋体"/>
        </w:rPr>
      </w:pPr>
      <w:r>
        <w:rPr>
          <w:rFonts w:cs="宋体"/>
        </w:rPr>
        <w:t>3.中标人无故拖延、拒签合同的,将取消中标资格。</w:t>
      </w:r>
    </w:p>
    <w:p>
      <w:pPr>
        <w:pStyle w:val="21"/>
        <w:spacing w:before="0" w:beforeAutospacing="0" w:after="0" w:afterAutospacing="0" w:line="360" w:lineRule="auto"/>
        <w:ind w:firstLine="480" w:firstLineChars="200"/>
        <w:jc w:val="both"/>
        <w:rPr>
          <w:rFonts w:hint="default" w:cs="宋体"/>
        </w:rPr>
      </w:pPr>
      <w:r>
        <w:rPr>
          <w:rFonts w:cs="宋体"/>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default" w:cs="宋体"/>
        </w:rPr>
      </w:pPr>
      <w:r>
        <w:rPr>
          <w:rFonts w:cs="宋体"/>
        </w:rPr>
        <w:t>5.询问或者质疑事项可能影响中标结果的，采购人应当暂停签订合同，已经签订合同的，应当中止履行合同。</w:t>
      </w:r>
    </w:p>
    <w:p>
      <w:pPr>
        <w:pStyle w:val="21"/>
        <w:spacing w:before="0" w:beforeAutospacing="0" w:after="0" w:afterAutospacing="0" w:line="360" w:lineRule="auto"/>
        <w:ind w:firstLine="482" w:firstLineChars="200"/>
        <w:jc w:val="both"/>
        <w:rPr>
          <w:rFonts w:hint="default" w:cs="宋体"/>
          <w:b/>
        </w:rPr>
      </w:pPr>
      <w:r>
        <w:rPr>
          <w:rFonts w:cs="宋体"/>
          <w:b/>
        </w:rPr>
        <w:t>（二）合同公告及备案</w:t>
      </w:r>
    </w:p>
    <w:p>
      <w:pPr>
        <w:pStyle w:val="13"/>
        <w:spacing w:after="0" w:line="360" w:lineRule="auto"/>
        <w:ind w:left="0" w:leftChars="0" w:firstLine="480" w:firstLineChars="200"/>
        <w:rPr>
          <w:rFonts w:ascii="宋体" w:hAnsi="宋体" w:cs="宋体"/>
          <w:sz w:val="24"/>
        </w:rPr>
      </w:pPr>
      <w:r>
        <w:rPr>
          <w:rFonts w:hint="eastAsia" w:ascii="宋体" w:hAnsi="宋体" w:cs="宋体"/>
          <w:sz w:val="24"/>
        </w:rPr>
        <w:t>1.采购人应当自合同签订之日起2个工作日内，</w:t>
      </w:r>
      <w:r>
        <w:rPr>
          <w:rFonts w:hint="eastAsia" w:ascii="宋体" w:hAnsi="宋体" w:cs="宋体"/>
          <w:kern w:val="0"/>
          <w:sz w:val="24"/>
        </w:rPr>
        <w:t>在省级以上财政部门指定的政府采购信息发布媒体及相关网站上公告</w:t>
      </w:r>
      <w:r>
        <w:rPr>
          <w:rFonts w:hint="eastAsia" w:ascii="宋体" w:hAnsi="宋体" w:cs="宋体"/>
          <w:sz w:val="24"/>
        </w:rPr>
        <w:t>。</w:t>
      </w:r>
    </w:p>
    <w:p>
      <w:pPr>
        <w:pStyle w:val="9"/>
        <w:spacing w:line="360" w:lineRule="auto"/>
        <w:ind w:firstLine="480" w:firstLineChars="200"/>
        <w:jc w:val="both"/>
        <w:rPr>
          <w:rFonts w:ascii="宋体" w:hAnsi="宋体" w:cs="宋体"/>
          <w:sz w:val="24"/>
        </w:rPr>
      </w:pPr>
      <w:r>
        <w:rPr>
          <w:rFonts w:hint="eastAsia" w:ascii="宋体" w:hAnsi="宋体" w:cs="宋体"/>
          <w:sz w:val="24"/>
        </w:rPr>
        <w:t>2.采购人应当自合同签订之日起7个工作日内，将合同通过政采云平台提交至同级人民政府财政部门备案存档。</w:t>
      </w:r>
    </w:p>
    <w:p>
      <w:pPr>
        <w:pStyle w:val="9"/>
        <w:spacing w:line="360" w:lineRule="auto"/>
        <w:ind w:firstLine="482" w:firstLineChars="200"/>
        <w:jc w:val="both"/>
        <w:rPr>
          <w:rFonts w:ascii="宋体" w:hAnsi="宋体" w:cs="宋体"/>
          <w:b/>
          <w:bCs/>
          <w:sz w:val="24"/>
        </w:rPr>
      </w:pPr>
      <w:r>
        <w:rPr>
          <w:rFonts w:hint="eastAsia" w:ascii="宋体" w:hAnsi="宋体" w:cs="宋体"/>
          <w:b/>
          <w:bCs/>
          <w:sz w:val="24"/>
        </w:rPr>
        <w:t>八、询问、质疑与投诉</w:t>
      </w:r>
    </w:p>
    <w:p>
      <w:pPr>
        <w:pStyle w:val="9"/>
        <w:spacing w:line="360" w:lineRule="auto"/>
        <w:ind w:firstLine="482" w:firstLineChars="200"/>
        <w:jc w:val="both"/>
        <w:rPr>
          <w:rFonts w:ascii="宋体" w:hAnsi="宋体" w:cs="宋体"/>
          <w:b/>
          <w:bCs/>
          <w:sz w:val="24"/>
        </w:rPr>
      </w:pPr>
      <w:r>
        <w:rPr>
          <w:rFonts w:hint="eastAsia" w:ascii="宋体" w:hAnsi="宋体" w:cs="宋体"/>
          <w:b/>
          <w:bCs/>
          <w:sz w:val="24"/>
        </w:rPr>
        <w:t>（一）询问</w:t>
      </w:r>
    </w:p>
    <w:p>
      <w:pPr>
        <w:pStyle w:val="9"/>
        <w:spacing w:line="360" w:lineRule="auto"/>
        <w:ind w:firstLine="480" w:firstLineChars="200"/>
        <w:jc w:val="both"/>
        <w:rPr>
          <w:rFonts w:ascii="宋体" w:hAnsi="宋体" w:cs="宋体"/>
          <w:sz w:val="24"/>
        </w:rPr>
      </w:pPr>
      <w:r>
        <w:rPr>
          <w:rFonts w:hint="eastAsia" w:ascii="宋体" w:hAnsi="宋体" w:cs="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cs="宋体"/>
          <w:b/>
          <w:bCs/>
          <w:sz w:val="24"/>
        </w:rPr>
      </w:pPr>
      <w:r>
        <w:rPr>
          <w:rFonts w:hint="eastAsia" w:ascii="宋体" w:hAnsi="宋体" w:cs="宋体"/>
          <w:b/>
          <w:bCs/>
          <w:sz w:val="24"/>
        </w:rPr>
        <w:t>（二）质疑</w:t>
      </w:r>
    </w:p>
    <w:p>
      <w:pPr>
        <w:pStyle w:val="9"/>
        <w:spacing w:line="360" w:lineRule="auto"/>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cs="宋体"/>
          <w:sz w:val="24"/>
        </w:rPr>
      </w:pPr>
      <w:r>
        <w:rPr>
          <w:rFonts w:hint="eastAsia" w:ascii="宋体" w:hAnsi="宋体" w:cs="宋体"/>
          <w:color w:val="000000" w:themeColor="text1"/>
          <w:sz w:val="24"/>
          <w14:textFill>
            <w14:solidFill>
              <w14:schemeClr w14:val="tx1"/>
            </w14:solidFill>
          </w14:textFill>
        </w:rPr>
        <w:t>（1）投标人认为招标文件的内容损害其权益的，应当自获取之日起（获取截至日之后收到招标文件的，以获取截至日为</w:t>
      </w:r>
      <w:r>
        <w:rPr>
          <w:rFonts w:hint="eastAsia" w:ascii="宋体" w:hAnsi="宋体" w:cs="宋体"/>
          <w:sz w:val="24"/>
        </w:rPr>
        <w:t>准）7个工作日内提出质疑；</w:t>
      </w:r>
    </w:p>
    <w:p>
      <w:pPr>
        <w:pStyle w:val="9"/>
        <w:spacing w:line="360" w:lineRule="auto"/>
        <w:ind w:firstLine="480" w:firstLineChars="200"/>
        <w:jc w:val="both"/>
        <w:rPr>
          <w:rFonts w:ascii="宋体" w:hAnsi="宋体" w:cs="宋体"/>
          <w:sz w:val="24"/>
        </w:rPr>
      </w:pPr>
      <w:r>
        <w:rPr>
          <w:rFonts w:hint="eastAsia" w:ascii="宋体" w:hAnsi="宋体" w:cs="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cs="宋体"/>
          <w:sz w:val="24"/>
        </w:rPr>
      </w:pPr>
      <w:r>
        <w:rPr>
          <w:rFonts w:hint="eastAsia" w:ascii="宋体" w:hAnsi="宋体" w:cs="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cs="宋体"/>
          <w:sz w:val="24"/>
        </w:rPr>
      </w:pPr>
      <w:r>
        <w:rPr>
          <w:rFonts w:hint="eastAsia" w:ascii="宋体" w:hAnsi="宋体" w:cs="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cs="宋体"/>
          <w:sz w:val="24"/>
        </w:rPr>
      </w:pPr>
      <w:r>
        <w:rPr>
          <w:rFonts w:hint="eastAsia" w:ascii="宋体" w:hAnsi="宋体" w:cs="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cs="宋体"/>
          <w:b/>
          <w:bCs/>
          <w:sz w:val="24"/>
        </w:rPr>
      </w:pPr>
      <w:r>
        <w:rPr>
          <w:rFonts w:hint="eastAsia" w:ascii="宋体" w:hAnsi="宋体" w:cs="宋体"/>
          <w:b/>
          <w:bCs/>
          <w:sz w:val="24"/>
        </w:rPr>
        <w:t>（三）投诉</w:t>
      </w:r>
    </w:p>
    <w:p>
      <w:pPr>
        <w:pStyle w:val="9"/>
        <w:spacing w:line="360" w:lineRule="auto"/>
        <w:ind w:firstLine="480" w:firstLineChars="200"/>
        <w:jc w:val="both"/>
        <w:rPr>
          <w:rFonts w:ascii="宋体" w:hAnsi="宋体" w:cs="宋体"/>
          <w:sz w:val="24"/>
        </w:rPr>
      </w:pPr>
      <w:r>
        <w:rPr>
          <w:rFonts w:hint="eastAsia" w:ascii="宋体" w:hAnsi="宋体" w:cs="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22" w:name="_Toc13072_WPSOffice_Level1"/>
      <w:r>
        <w:rPr>
          <w:rFonts w:hint="eastAsia" w:asciiTheme="minorEastAsia" w:hAnsiTheme="minorEastAsia" w:eastAsiaTheme="minorEastAsia"/>
          <w:b/>
          <w:sz w:val="36"/>
          <w:szCs w:val="36"/>
        </w:rPr>
        <w:t>招标需求</w:t>
      </w:r>
      <w:bookmarkEnd w:id="22"/>
    </w:p>
    <w:p>
      <w:pPr>
        <w:tabs>
          <w:tab w:val="left" w:pos="8280"/>
        </w:tabs>
        <w:autoSpaceDE w:val="0"/>
        <w:autoSpaceDN w:val="0"/>
        <w:adjustRightInd w:val="0"/>
        <w:spacing w:line="360" w:lineRule="auto"/>
        <w:ind w:right="25"/>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个标项，具体内容如下表：</w:t>
      </w:r>
    </w:p>
    <w:tbl>
      <w:tblPr>
        <w:tblStyle w:val="23"/>
        <w:tblW w:w="5000" w:type="pct"/>
        <w:tblInd w:w="0" w:type="dxa"/>
        <w:tblLayout w:type="fixed"/>
        <w:tblCellMar>
          <w:top w:w="0" w:type="dxa"/>
          <w:left w:w="0" w:type="dxa"/>
          <w:bottom w:w="0" w:type="dxa"/>
          <w:right w:w="0" w:type="dxa"/>
        </w:tblCellMar>
      </w:tblPr>
      <w:tblGrid>
        <w:gridCol w:w="977"/>
        <w:gridCol w:w="2256"/>
        <w:gridCol w:w="1304"/>
        <w:gridCol w:w="1507"/>
        <w:gridCol w:w="1512"/>
        <w:gridCol w:w="1508"/>
      </w:tblGrid>
      <w:tr>
        <w:tblPrEx>
          <w:tblCellMar>
            <w:top w:w="0" w:type="dxa"/>
            <w:left w:w="0" w:type="dxa"/>
            <w:bottom w:w="0" w:type="dxa"/>
            <w:right w:w="0" w:type="dxa"/>
          </w:tblCellMar>
        </w:tblPrEx>
        <w:trPr>
          <w:trHeight w:val="951" w:hRule="atLeast"/>
        </w:trPr>
        <w:tc>
          <w:tcPr>
            <w:tcW w:w="977" w:type="dxa"/>
            <w:tcBorders>
              <w:top w:val="single" w:color="000000" w:sz="8" w:space="0"/>
              <w:left w:val="single" w:color="000000" w:sz="8" w:space="0"/>
              <w:bottom w:val="nil"/>
              <w:right w:val="nil"/>
            </w:tcBorders>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bookmarkStart w:id="23" w:name="_Toc31173_WPSOffice_Level1"/>
            <w:r>
              <w:rPr>
                <w:rFonts w:hint="eastAsia" w:ascii="宋体" w:hAnsi="宋体" w:cs="宋体"/>
                <w:b/>
                <w:kern w:val="0"/>
                <w:sz w:val="24"/>
                <w:lang w:bidi="ar"/>
              </w:rPr>
              <w:t>标段</w:t>
            </w:r>
          </w:p>
        </w:tc>
        <w:tc>
          <w:tcPr>
            <w:tcW w:w="2256"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项目名称</w:t>
            </w:r>
          </w:p>
        </w:tc>
        <w:tc>
          <w:tcPr>
            <w:tcW w:w="1304"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参保人数</w:t>
            </w:r>
          </w:p>
        </w:tc>
        <w:tc>
          <w:tcPr>
            <w:tcW w:w="150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预算价（万元）</w:t>
            </w:r>
          </w:p>
        </w:tc>
        <w:tc>
          <w:tcPr>
            <w:tcW w:w="15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最高限价（万元）</w:t>
            </w:r>
          </w:p>
        </w:tc>
        <w:tc>
          <w:tcPr>
            <w:tcW w:w="150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保险期限</w:t>
            </w:r>
          </w:p>
        </w:tc>
      </w:tr>
      <w:tr>
        <w:tblPrEx>
          <w:tblCellMar>
            <w:top w:w="0" w:type="dxa"/>
            <w:left w:w="0" w:type="dxa"/>
            <w:bottom w:w="0" w:type="dxa"/>
            <w:right w:w="0" w:type="dxa"/>
          </w:tblCellMar>
        </w:tblPrEx>
        <w:trPr>
          <w:trHeight w:val="2391" w:hRule="atLeast"/>
        </w:trPr>
        <w:tc>
          <w:tcPr>
            <w:tcW w:w="97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标段一</w:t>
            </w:r>
          </w:p>
        </w:tc>
        <w:tc>
          <w:tcPr>
            <w:tcW w:w="225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pStyle w:val="10"/>
              <w:spacing w:line="360" w:lineRule="auto"/>
              <w:rPr>
                <w:rFonts w:ascii="宋体" w:hAnsi="宋体" w:cs="宋体"/>
              </w:rPr>
            </w:pPr>
            <w:r>
              <w:rPr>
                <w:rFonts w:hint="eastAsia" w:ascii="宋体" w:hAnsi="宋体" w:cs="宋体"/>
                <w:kern w:val="0"/>
                <w:lang w:bidi="ar"/>
              </w:rPr>
              <w:t>2022-2023年度黄岩区城乡居民基本医疗保险意外伤害住院医疗费用再保险项目（承担65%赔付责任）</w:t>
            </w:r>
          </w:p>
        </w:tc>
        <w:tc>
          <w:tcPr>
            <w:tcW w:w="13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暂定397000人</w:t>
            </w:r>
          </w:p>
        </w:tc>
        <w:tc>
          <w:tcPr>
            <w:tcW w:w="15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5135</w:t>
            </w:r>
          </w:p>
        </w:tc>
        <w:tc>
          <w:tcPr>
            <w:tcW w:w="15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4779.086</w:t>
            </w:r>
          </w:p>
        </w:tc>
        <w:tc>
          <w:tcPr>
            <w:tcW w:w="150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2022年1月1日起至2023年12月31日止，共两年。</w:t>
            </w:r>
          </w:p>
        </w:tc>
      </w:tr>
      <w:tr>
        <w:tblPrEx>
          <w:tblCellMar>
            <w:top w:w="0" w:type="dxa"/>
            <w:left w:w="0" w:type="dxa"/>
            <w:bottom w:w="0" w:type="dxa"/>
            <w:right w:w="0" w:type="dxa"/>
          </w:tblCellMar>
        </w:tblPrEx>
        <w:trPr>
          <w:trHeight w:val="2563" w:hRule="atLeast"/>
        </w:trPr>
        <w:tc>
          <w:tcPr>
            <w:tcW w:w="977" w:type="dxa"/>
            <w:tcBorders>
              <w:top w:val="nil"/>
              <w:left w:val="single" w:color="000000" w:sz="8" w:space="0"/>
              <w:bottom w:val="single" w:color="000000" w:sz="8" w:space="0"/>
              <w:right w:val="nil"/>
            </w:tcBorders>
            <w:shd w:val="clear" w:color="auto" w:fill="auto"/>
            <w:noWrap/>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标段二</w:t>
            </w:r>
          </w:p>
        </w:tc>
        <w:tc>
          <w:tcPr>
            <w:tcW w:w="225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2022-2023年度黄岩区城乡居民基本医疗保险意外伤害住院医疗费用再保险项目（承担35%赔付责任）</w:t>
            </w:r>
          </w:p>
        </w:tc>
        <w:tc>
          <w:tcPr>
            <w:tcW w:w="13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暂定397000人</w:t>
            </w:r>
          </w:p>
        </w:tc>
        <w:tc>
          <w:tcPr>
            <w:tcW w:w="150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2765</w:t>
            </w:r>
          </w:p>
        </w:tc>
        <w:tc>
          <w:tcPr>
            <w:tcW w:w="15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2573.354</w:t>
            </w:r>
          </w:p>
        </w:tc>
        <w:tc>
          <w:tcPr>
            <w:tcW w:w="150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2022年1月1日起至2023年12月31日止，共两年。</w:t>
            </w:r>
          </w:p>
        </w:tc>
      </w:tr>
    </w:tbl>
    <w:p>
      <w:pPr>
        <w:pStyle w:val="14"/>
        <w:snapToGrid w:val="0"/>
        <w:spacing w:before="120" w:after="120" w:line="360" w:lineRule="auto"/>
        <w:rPr>
          <w:rFonts w:hAnsi="宋体" w:cs="宋体"/>
          <w:bCs/>
          <w:color w:val="0070C0"/>
          <w:kern w:val="0"/>
          <w:sz w:val="24"/>
        </w:rPr>
      </w:pPr>
      <w:r>
        <w:rPr>
          <w:rFonts w:hint="eastAsia" w:hAnsi="宋体" w:cs="宋体"/>
          <w:bCs/>
          <w:color w:val="0070C0"/>
          <w:kern w:val="0"/>
          <w:sz w:val="24"/>
        </w:rPr>
        <w:t>注：1、同一家公司可报名参加2个标段的投标，但在第一标段被评为第一中标候选人的公司不能参与第二标段的评标，同一家公司只能中标一个标段，请各供应商领取本次招标采购文件后，认真阅读各项内容，进行必要的准备工作。</w:t>
      </w:r>
    </w:p>
    <w:p>
      <w:pPr>
        <w:pStyle w:val="14"/>
        <w:snapToGrid w:val="0"/>
        <w:spacing w:before="120" w:after="120" w:line="360" w:lineRule="auto"/>
        <w:rPr>
          <w:rFonts w:hAnsi="宋体" w:cs="宋体"/>
          <w:bCs/>
          <w:color w:val="0070C0"/>
          <w:kern w:val="0"/>
          <w:sz w:val="24"/>
        </w:rPr>
      </w:pPr>
      <w:r>
        <w:rPr>
          <w:rFonts w:hint="eastAsia" w:hAnsi="宋体" w:cs="宋体"/>
          <w:bCs/>
          <w:color w:val="0070C0"/>
          <w:kern w:val="0"/>
          <w:sz w:val="24"/>
        </w:rPr>
        <w:t>2、结算时按照实际参保人数结算。</w:t>
      </w:r>
    </w:p>
    <w:p>
      <w:pPr>
        <w:pStyle w:val="14"/>
        <w:snapToGrid w:val="0"/>
        <w:spacing w:before="120" w:after="120" w:line="360" w:lineRule="auto"/>
        <w:rPr>
          <w:rFonts w:hAnsi="宋体" w:cs="宋体"/>
          <w:b/>
          <w:kern w:val="0"/>
          <w:sz w:val="24"/>
        </w:rPr>
      </w:pPr>
      <w:r>
        <w:rPr>
          <w:rFonts w:hint="eastAsia" w:hAnsi="宋体" w:cs="宋体"/>
          <w:b/>
          <w:kern w:val="0"/>
          <w:sz w:val="24"/>
        </w:rPr>
        <w:t>二、招标要求：</w:t>
      </w:r>
    </w:p>
    <w:p>
      <w:pPr>
        <w:shd w:val="clear" w:color="auto" w:fill="FFFFFF"/>
        <w:snapToGrid w:val="0"/>
        <w:spacing w:line="360" w:lineRule="auto"/>
        <w:rPr>
          <w:rFonts w:ascii="宋体" w:hAnsi="宋体" w:cs="宋体"/>
          <w:b/>
          <w:sz w:val="24"/>
        </w:rPr>
      </w:pPr>
      <w:r>
        <w:rPr>
          <w:rFonts w:hint="eastAsia" w:ascii="宋体" w:hAnsi="宋体" w:cs="宋体"/>
          <w:b/>
          <w:sz w:val="24"/>
        </w:rPr>
        <w:t>（一）责任范围</w:t>
      </w: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意外伤害是指因非疾病原因或因参保人部分责任导致身体受到伤害的事件，意外伤害的住院医疗费用包括本次意外伤害住院治疗过程中治疗其它相关疾病的合理费用。</w:t>
      </w:r>
    </w:p>
    <w:p>
      <w:pPr>
        <w:spacing w:line="360" w:lineRule="auto"/>
        <w:ind w:firstLine="482" w:firstLineChars="200"/>
        <w:rPr>
          <w:rFonts w:ascii="宋体" w:hAnsi="宋体" w:cs="宋体"/>
          <w:sz w:val="24"/>
        </w:rPr>
      </w:pPr>
      <w:r>
        <w:rPr>
          <w:rFonts w:hint="eastAsia" w:ascii="宋体" w:hAnsi="宋体" w:cs="宋体"/>
          <w:b/>
          <w:sz w:val="24"/>
        </w:rPr>
        <w:t>2022-2023年度黄岩区城乡居民基本医疗保险意外伤害住院医疗费用再保险项目</w:t>
      </w:r>
      <w:r>
        <w:rPr>
          <w:rFonts w:hint="eastAsia" w:ascii="宋体" w:hAnsi="宋体" w:cs="宋体"/>
          <w:sz w:val="24"/>
        </w:rPr>
        <w:t>责任范围：按《台州市全民医保办法》（台政办发【2018】79号）、《台州市全民医疗保险办法实施细则》（台医保发【2018】1号）及其他台州市医保发文统一执行的医保待遇政策等文件的规定执行。</w:t>
      </w:r>
    </w:p>
    <w:p>
      <w:pPr>
        <w:shd w:val="clear" w:color="auto" w:fill="FFFFFF"/>
        <w:snapToGrid w:val="0"/>
        <w:spacing w:line="360" w:lineRule="auto"/>
        <w:ind w:firstLine="361" w:firstLineChars="150"/>
        <w:rPr>
          <w:rFonts w:ascii="宋体" w:hAnsi="宋体" w:cs="宋体"/>
          <w:b/>
          <w:sz w:val="24"/>
        </w:rPr>
      </w:pPr>
      <w:r>
        <w:rPr>
          <w:rFonts w:hint="eastAsia" w:ascii="宋体" w:hAnsi="宋体" w:cs="宋体"/>
          <w:b/>
          <w:sz w:val="24"/>
        </w:rPr>
        <w:t>责任免除如下：</w:t>
      </w:r>
    </w:p>
    <w:p>
      <w:pPr>
        <w:spacing w:line="360" w:lineRule="auto"/>
        <w:ind w:firstLine="360" w:firstLineChars="150"/>
        <w:rPr>
          <w:rFonts w:ascii="宋体" w:hAnsi="宋体" w:cs="宋体"/>
          <w:sz w:val="24"/>
        </w:rPr>
      </w:pPr>
      <w:r>
        <w:rPr>
          <w:rFonts w:hint="eastAsia" w:ascii="宋体" w:hAnsi="宋体" w:cs="宋体"/>
          <w:sz w:val="24"/>
        </w:rPr>
        <w:t>1、在基本医疗保险药品目录、医疗服务项目目录范围以外的；</w:t>
      </w:r>
    </w:p>
    <w:p>
      <w:pPr>
        <w:spacing w:line="360" w:lineRule="auto"/>
        <w:ind w:firstLine="360" w:firstLineChars="150"/>
        <w:rPr>
          <w:rFonts w:ascii="宋体" w:hAnsi="宋体" w:cs="宋体"/>
          <w:sz w:val="24"/>
        </w:rPr>
      </w:pPr>
      <w:r>
        <w:rPr>
          <w:rFonts w:hint="eastAsia" w:ascii="宋体" w:hAnsi="宋体" w:cs="宋体"/>
          <w:sz w:val="24"/>
        </w:rPr>
        <w:t>2、应当从工伤保险基金中支付的；</w:t>
      </w:r>
    </w:p>
    <w:p>
      <w:pPr>
        <w:spacing w:line="360" w:lineRule="auto"/>
        <w:ind w:firstLine="360" w:firstLineChars="150"/>
        <w:rPr>
          <w:rFonts w:ascii="宋体" w:hAnsi="宋体" w:cs="宋体"/>
          <w:sz w:val="24"/>
        </w:rPr>
      </w:pPr>
      <w:r>
        <w:rPr>
          <w:rFonts w:hint="eastAsia" w:ascii="宋体" w:hAnsi="宋体" w:cs="宋体"/>
          <w:sz w:val="24"/>
        </w:rPr>
        <w:t>3、应当由第三人负担的；</w:t>
      </w:r>
    </w:p>
    <w:p>
      <w:pPr>
        <w:spacing w:line="360" w:lineRule="auto"/>
        <w:ind w:firstLine="360" w:firstLineChars="150"/>
        <w:rPr>
          <w:rFonts w:ascii="宋体" w:hAnsi="宋体" w:cs="宋体"/>
          <w:sz w:val="24"/>
        </w:rPr>
      </w:pPr>
      <w:r>
        <w:rPr>
          <w:rFonts w:hint="eastAsia" w:ascii="宋体" w:hAnsi="宋体" w:cs="宋体"/>
          <w:sz w:val="24"/>
        </w:rPr>
        <w:t>4、应当由公共卫生负担的；</w:t>
      </w:r>
    </w:p>
    <w:p>
      <w:pPr>
        <w:spacing w:line="360" w:lineRule="auto"/>
        <w:ind w:firstLine="360" w:firstLineChars="150"/>
        <w:rPr>
          <w:rFonts w:ascii="宋体" w:hAnsi="宋体" w:cs="宋体"/>
          <w:sz w:val="24"/>
        </w:rPr>
      </w:pPr>
      <w:r>
        <w:rPr>
          <w:rFonts w:hint="eastAsia" w:ascii="宋体" w:hAnsi="宋体" w:cs="宋体"/>
          <w:sz w:val="24"/>
        </w:rPr>
        <w:t>5、在境外就医的；</w:t>
      </w:r>
    </w:p>
    <w:p>
      <w:pPr>
        <w:spacing w:line="360" w:lineRule="auto"/>
        <w:ind w:firstLine="360" w:firstLineChars="150"/>
        <w:rPr>
          <w:rFonts w:ascii="宋体" w:hAnsi="宋体" w:cs="宋体"/>
          <w:sz w:val="24"/>
        </w:rPr>
      </w:pPr>
      <w:r>
        <w:rPr>
          <w:rFonts w:hint="eastAsia" w:ascii="宋体" w:hAnsi="宋体" w:cs="宋体"/>
          <w:sz w:val="24"/>
        </w:rPr>
        <w:t>6、其他按规定不予支付的医疗费用。</w:t>
      </w:r>
    </w:p>
    <w:p>
      <w:pPr>
        <w:pStyle w:val="14"/>
        <w:snapToGrid w:val="0"/>
        <w:spacing w:before="120" w:after="120" w:line="360" w:lineRule="auto"/>
        <w:rPr>
          <w:rFonts w:hAnsi="宋体" w:cs="宋体"/>
          <w:b/>
          <w:bCs/>
          <w:sz w:val="24"/>
        </w:rPr>
      </w:pPr>
      <w:r>
        <w:rPr>
          <w:rFonts w:hint="eastAsia" w:hAnsi="宋体" w:cs="宋体"/>
          <w:b/>
          <w:bCs/>
          <w:sz w:val="24"/>
        </w:rPr>
        <w:t>（二）保险期限</w:t>
      </w:r>
    </w:p>
    <w:p>
      <w:pPr>
        <w:pStyle w:val="14"/>
        <w:snapToGrid w:val="0"/>
        <w:spacing w:before="120" w:after="120" w:line="360" w:lineRule="auto"/>
        <w:ind w:firstLine="480" w:firstLineChars="200"/>
        <w:rPr>
          <w:rFonts w:hAnsi="宋体" w:cs="宋体"/>
          <w:b/>
          <w:bCs/>
          <w:sz w:val="24"/>
        </w:rPr>
      </w:pPr>
      <w:r>
        <w:rPr>
          <w:rFonts w:hint="eastAsia" w:hAnsi="宋体" w:cs="宋体"/>
          <w:sz w:val="24"/>
        </w:rPr>
        <w:t>本次招标合作期从2022年1月1日起至2023年12月31日止，共两年。责任期限时间与基本医疗保险年度一致，即发生的时间以出院结算日为准。待遇支付均不包括大病保险待遇支付部分。如项目终止未续保，承保方承担保单责任（2022年1月1日至2023年12月31出院结算）内后续的意外伤害相关费用，受理时间截至2024年12月31日。</w:t>
      </w:r>
    </w:p>
    <w:p>
      <w:pPr>
        <w:pStyle w:val="14"/>
        <w:numPr>
          <w:ilvl w:val="0"/>
          <w:numId w:val="8"/>
        </w:numPr>
        <w:snapToGrid w:val="0"/>
        <w:spacing w:before="120" w:after="120" w:line="360" w:lineRule="auto"/>
        <w:rPr>
          <w:rFonts w:hAnsi="宋体" w:cs="宋体"/>
          <w:b/>
          <w:bCs/>
          <w:sz w:val="24"/>
        </w:rPr>
      </w:pPr>
      <w:r>
        <w:rPr>
          <w:rFonts w:hint="eastAsia" w:hAnsi="宋体" w:cs="宋体"/>
          <w:b/>
          <w:bCs/>
          <w:sz w:val="24"/>
        </w:rPr>
        <w:t>人员及实施保障</w:t>
      </w:r>
    </w:p>
    <w:p>
      <w:pPr>
        <w:pStyle w:val="14"/>
        <w:snapToGrid w:val="0"/>
        <w:spacing w:before="120" w:after="120" w:line="360" w:lineRule="auto"/>
        <w:ind w:firstLine="480" w:firstLineChars="200"/>
        <w:rPr>
          <w:rFonts w:hAnsi="宋体" w:cs="宋体"/>
          <w:sz w:val="24"/>
        </w:rPr>
      </w:pPr>
      <w:r>
        <w:rPr>
          <w:rFonts w:hint="eastAsia" w:hAnsi="宋体" w:cs="宋体"/>
          <w:sz w:val="24"/>
        </w:rPr>
        <w:t>暂定人数12人（医学类专业不少于4人），车辆1辆，人员车辆由标段一中标人提供，标段二中标人承担标段一35%的实际费用。</w:t>
      </w:r>
    </w:p>
    <w:p>
      <w:pPr>
        <w:shd w:val="clear" w:color="auto" w:fill="FFFFFF"/>
        <w:snapToGrid w:val="0"/>
        <w:spacing w:line="360" w:lineRule="auto"/>
        <w:rPr>
          <w:rFonts w:ascii="宋体" w:hAnsi="宋体" w:cs="宋体"/>
          <w:b/>
          <w:sz w:val="24"/>
        </w:rPr>
      </w:pPr>
      <w:r>
        <w:rPr>
          <w:rFonts w:hint="eastAsia" w:ascii="宋体" w:hAnsi="宋体" w:cs="宋体"/>
          <w:b/>
          <w:sz w:val="24"/>
        </w:rPr>
        <w:t>（四）项目合作方式</w:t>
      </w:r>
    </w:p>
    <w:p>
      <w:pPr>
        <w:spacing w:line="360" w:lineRule="auto"/>
        <w:ind w:right="-153" w:rightChars="-73" w:firstLine="460" w:firstLineChars="192"/>
        <w:rPr>
          <w:rFonts w:ascii="宋体" w:hAnsi="宋体" w:cs="宋体"/>
          <w:sz w:val="24"/>
        </w:rPr>
      </w:pPr>
      <w:r>
        <w:rPr>
          <w:rFonts w:hint="eastAsia" w:ascii="宋体" w:hAnsi="宋体" w:cs="宋体"/>
          <w:sz w:val="24"/>
        </w:rPr>
        <w:t>1、以政府购买服务的方式合作。即采购人将意外伤害保险的受理、审核、结报、备案等内容委托中标人进行管理运作的方式，其服务过程接受委托部门和相关部门的全程监管。</w:t>
      </w:r>
    </w:p>
    <w:p>
      <w:pPr>
        <w:spacing w:line="360" w:lineRule="auto"/>
        <w:ind w:right="-153" w:rightChars="-73" w:firstLine="460" w:firstLineChars="192"/>
        <w:rPr>
          <w:rFonts w:ascii="宋体" w:hAnsi="宋体" w:cs="宋体"/>
          <w:sz w:val="24"/>
        </w:rPr>
      </w:pPr>
      <w:r>
        <w:rPr>
          <w:rFonts w:hint="eastAsia" w:ascii="宋体" w:hAnsi="宋体" w:cs="宋体"/>
          <w:sz w:val="24"/>
        </w:rPr>
        <w:t>2、意外伤害案件办理流程（详见下表）：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42"/>
        <w:gridCol w:w="2041"/>
        <w:gridCol w:w="2446"/>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5" w:type="dxa"/>
            <w:vAlign w:val="center"/>
          </w:tcPr>
          <w:p>
            <w:pPr>
              <w:widowControl/>
              <w:spacing w:line="360" w:lineRule="auto"/>
              <w:jc w:val="center"/>
              <w:textAlignment w:val="center"/>
              <w:rPr>
                <w:rFonts w:ascii="宋体" w:hAnsi="宋体" w:cs="宋体"/>
                <w:b/>
                <w:bCs/>
                <w:sz w:val="24"/>
              </w:rPr>
            </w:pPr>
            <w:r>
              <w:rPr>
                <w:rFonts w:hint="eastAsia" w:ascii="宋体" w:hAnsi="宋体" w:cs="宋体"/>
                <w:b/>
                <w:kern w:val="0"/>
                <w:sz w:val="24"/>
                <w:lang w:bidi="ar"/>
              </w:rPr>
              <w:t>序号</w:t>
            </w:r>
          </w:p>
        </w:tc>
        <w:tc>
          <w:tcPr>
            <w:tcW w:w="1042" w:type="dxa"/>
            <w:vAlign w:val="center"/>
          </w:tcPr>
          <w:p>
            <w:pPr>
              <w:widowControl/>
              <w:spacing w:line="360" w:lineRule="auto"/>
              <w:jc w:val="center"/>
              <w:textAlignment w:val="center"/>
              <w:rPr>
                <w:rFonts w:ascii="宋体" w:hAnsi="宋体" w:cs="宋体"/>
                <w:b/>
                <w:bCs/>
                <w:sz w:val="24"/>
              </w:rPr>
            </w:pPr>
            <w:r>
              <w:rPr>
                <w:rFonts w:hint="eastAsia" w:ascii="宋体" w:hAnsi="宋体" w:cs="宋体"/>
                <w:b/>
                <w:kern w:val="0"/>
                <w:sz w:val="24"/>
                <w:lang w:bidi="ar"/>
              </w:rPr>
              <w:t>程序</w:t>
            </w:r>
          </w:p>
        </w:tc>
        <w:tc>
          <w:tcPr>
            <w:tcW w:w="2041" w:type="dxa"/>
            <w:vAlign w:val="center"/>
          </w:tcPr>
          <w:p>
            <w:pPr>
              <w:widowControl/>
              <w:spacing w:line="360" w:lineRule="auto"/>
              <w:jc w:val="center"/>
              <w:textAlignment w:val="center"/>
              <w:rPr>
                <w:rFonts w:ascii="宋体" w:hAnsi="宋体" w:cs="宋体"/>
                <w:b/>
                <w:bCs/>
                <w:sz w:val="24"/>
              </w:rPr>
            </w:pPr>
            <w:r>
              <w:rPr>
                <w:rFonts w:hint="eastAsia" w:ascii="宋体" w:hAnsi="宋体" w:cs="宋体"/>
                <w:b/>
                <w:kern w:val="0"/>
                <w:sz w:val="24"/>
                <w:lang w:bidi="ar"/>
              </w:rPr>
              <w:t>内容</w:t>
            </w:r>
          </w:p>
        </w:tc>
        <w:tc>
          <w:tcPr>
            <w:tcW w:w="2446" w:type="dxa"/>
            <w:vAlign w:val="center"/>
          </w:tcPr>
          <w:p>
            <w:pPr>
              <w:widowControl/>
              <w:spacing w:line="360" w:lineRule="auto"/>
              <w:jc w:val="center"/>
              <w:textAlignment w:val="center"/>
              <w:rPr>
                <w:rFonts w:ascii="宋体" w:hAnsi="宋体" w:cs="宋体"/>
                <w:b/>
                <w:bCs/>
                <w:sz w:val="24"/>
              </w:rPr>
            </w:pPr>
            <w:r>
              <w:rPr>
                <w:rFonts w:hint="eastAsia" w:ascii="宋体" w:hAnsi="宋体" w:cs="宋体"/>
                <w:b/>
                <w:kern w:val="0"/>
                <w:sz w:val="24"/>
                <w:lang w:bidi="ar"/>
              </w:rPr>
              <w:t>承诺时效</w:t>
            </w:r>
          </w:p>
        </w:tc>
        <w:tc>
          <w:tcPr>
            <w:tcW w:w="2804" w:type="dxa"/>
            <w:vAlign w:val="center"/>
          </w:tcPr>
          <w:p>
            <w:pPr>
              <w:widowControl/>
              <w:spacing w:line="360" w:lineRule="auto"/>
              <w:jc w:val="center"/>
              <w:textAlignment w:val="center"/>
              <w:rPr>
                <w:rFonts w:ascii="宋体" w:hAnsi="宋体" w:cs="宋体"/>
                <w:b/>
                <w:bCs/>
                <w:sz w:val="24"/>
              </w:rPr>
            </w:pPr>
            <w:r>
              <w:rPr>
                <w:rFonts w:hint="eastAsia" w:ascii="宋体" w:hAnsi="宋体" w:cs="宋体"/>
                <w:b/>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25"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w:t>
            </w:r>
          </w:p>
        </w:tc>
        <w:tc>
          <w:tcPr>
            <w:tcW w:w="1042"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受理</w:t>
            </w:r>
          </w:p>
        </w:tc>
        <w:tc>
          <w:tcPr>
            <w:tcW w:w="2041"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窗口受理《申请书》</w:t>
            </w:r>
          </w:p>
        </w:tc>
        <w:tc>
          <w:tcPr>
            <w:tcW w:w="2446"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即时办理</w:t>
            </w:r>
          </w:p>
        </w:tc>
        <w:tc>
          <w:tcPr>
            <w:tcW w:w="2804"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填写</w:t>
            </w:r>
            <w:r>
              <w:rPr>
                <w:rStyle w:val="47"/>
                <w:rFonts w:hint="default"/>
                <w:color w:val="auto"/>
                <w:sz w:val="24"/>
                <w:szCs w:val="24"/>
                <w:lang w:bidi="ar"/>
              </w:rPr>
              <w:t>《基本医疗保险外伤人员情况登记表》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25"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w:t>
            </w:r>
          </w:p>
        </w:tc>
        <w:tc>
          <w:tcPr>
            <w:tcW w:w="1042"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备案</w:t>
            </w:r>
          </w:p>
        </w:tc>
        <w:tc>
          <w:tcPr>
            <w:tcW w:w="2041"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整理资料向采购人进行备案登记</w:t>
            </w:r>
          </w:p>
        </w:tc>
        <w:tc>
          <w:tcPr>
            <w:tcW w:w="2446"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每日报备（特殊情况单独报备）</w:t>
            </w:r>
          </w:p>
        </w:tc>
        <w:tc>
          <w:tcPr>
            <w:tcW w:w="2804" w:type="dxa"/>
            <w:vAlign w:val="center"/>
          </w:tcPr>
          <w:p>
            <w:pPr>
              <w:spacing w:line="360" w:lineRule="auto"/>
              <w:rPr>
                <w:rFonts w:ascii="宋体"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25"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w:t>
            </w:r>
          </w:p>
        </w:tc>
        <w:tc>
          <w:tcPr>
            <w:tcW w:w="1042"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审核</w:t>
            </w:r>
          </w:p>
        </w:tc>
        <w:tc>
          <w:tcPr>
            <w:tcW w:w="2041"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现场稽查、资料审核</w:t>
            </w:r>
          </w:p>
        </w:tc>
        <w:tc>
          <w:tcPr>
            <w:tcW w:w="2446"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区内三个工作日、区外十个工作日</w:t>
            </w:r>
          </w:p>
        </w:tc>
        <w:tc>
          <w:tcPr>
            <w:tcW w:w="2804" w:type="dxa"/>
            <w:vAlign w:val="center"/>
          </w:tcPr>
          <w:p>
            <w:pPr>
              <w:widowControl/>
              <w:spacing w:line="360" w:lineRule="auto"/>
              <w:jc w:val="center"/>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25"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w:t>
            </w:r>
          </w:p>
        </w:tc>
        <w:tc>
          <w:tcPr>
            <w:tcW w:w="1042"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结报</w:t>
            </w:r>
          </w:p>
        </w:tc>
        <w:tc>
          <w:tcPr>
            <w:tcW w:w="2041"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与医疗机构及被保险人进行结算</w:t>
            </w:r>
          </w:p>
        </w:tc>
        <w:tc>
          <w:tcPr>
            <w:tcW w:w="2446"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被保险人刷卡报销的为一个工作日，被保险人非刷卡报销的为十五个工作日。</w:t>
            </w:r>
          </w:p>
        </w:tc>
        <w:tc>
          <w:tcPr>
            <w:tcW w:w="2804" w:type="dxa"/>
            <w:vAlign w:val="center"/>
          </w:tcPr>
          <w:p>
            <w:pPr>
              <w:spacing w:line="360" w:lineRule="auto"/>
              <w:jc w:val="center"/>
              <w:rPr>
                <w:rFonts w:ascii="宋体" w:hAnsi="宋体" w:cs="宋体"/>
                <w:sz w:val="24"/>
              </w:rPr>
            </w:pPr>
          </w:p>
        </w:tc>
      </w:tr>
    </w:tbl>
    <w:p>
      <w:pPr>
        <w:spacing w:line="360" w:lineRule="auto"/>
        <w:ind w:firstLine="463" w:firstLineChars="192"/>
        <w:rPr>
          <w:rFonts w:ascii="宋体" w:hAnsi="宋体" w:cs="宋体"/>
          <w:b/>
          <w:sz w:val="24"/>
        </w:rPr>
      </w:pPr>
      <w:r>
        <w:rPr>
          <w:rFonts w:hint="eastAsia" w:ascii="宋体" w:hAnsi="宋体" w:cs="宋体"/>
          <w:b/>
          <w:sz w:val="24"/>
        </w:rPr>
        <w:t>特别说明：</w:t>
      </w:r>
    </w:p>
    <w:p>
      <w:pPr>
        <w:spacing w:line="360" w:lineRule="auto"/>
        <w:ind w:firstLine="460" w:firstLineChars="192"/>
        <w:rPr>
          <w:rFonts w:ascii="宋体" w:hAnsi="宋体" w:cs="宋体"/>
          <w:sz w:val="24"/>
        </w:rPr>
      </w:pPr>
      <w:r>
        <w:rPr>
          <w:rFonts w:hint="eastAsia" w:ascii="宋体" w:hAnsi="宋体" w:cs="宋体"/>
          <w:sz w:val="24"/>
        </w:rPr>
        <w:t>①支付（补偿）给被保险人的保费在基本医疗保险基金中列支，该支付暂定免缴营业税，如果结算时出现支付营业税的情况，采购人将在投标费用中予以相应调整。</w:t>
      </w:r>
    </w:p>
    <w:p>
      <w:pPr>
        <w:spacing w:line="360" w:lineRule="auto"/>
        <w:ind w:firstLine="460" w:firstLineChars="192"/>
        <w:rPr>
          <w:rFonts w:ascii="宋体" w:hAnsi="宋体" w:cs="宋体"/>
          <w:sz w:val="24"/>
        </w:rPr>
      </w:pPr>
      <w:r>
        <w:rPr>
          <w:rFonts w:hint="eastAsia" w:ascii="宋体" w:hAnsi="宋体" w:cs="宋体"/>
          <w:sz w:val="24"/>
        </w:rPr>
        <w:t>②盈亏分成的奖励部分列支渠道由采购人在结算时确定。</w:t>
      </w:r>
    </w:p>
    <w:p>
      <w:pPr>
        <w:spacing w:line="360" w:lineRule="auto"/>
        <w:ind w:right="-153" w:rightChars="-73" w:firstLine="480" w:firstLineChars="200"/>
        <w:rPr>
          <w:rFonts w:ascii="宋体" w:hAnsi="宋体" w:cs="宋体"/>
          <w:sz w:val="24"/>
        </w:rPr>
      </w:pPr>
      <w:r>
        <w:rPr>
          <w:rFonts w:hint="eastAsia" w:ascii="宋体" w:hAnsi="宋体" w:cs="宋体"/>
          <w:sz w:val="24"/>
        </w:rPr>
        <w:t>3、供应商提供服务承诺和具体措施。</w:t>
      </w:r>
    </w:p>
    <w:p>
      <w:pPr>
        <w:numPr>
          <w:ilvl w:val="0"/>
          <w:numId w:val="9"/>
        </w:numPr>
        <w:spacing w:line="360" w:lineRule="auto"/>
        <w:ind w:right="-153" w:rightChars="-73" w:firstLine="482" w:firstLineChars="200"/>
        <w:rPr>
          <w:rFonts w:ascii="宋体" w:hAnsi="宋体" w:cs="宋体"/>
          <w:sz w:val="24"/>
        </w:rPr>
      </w:pPr>
      <w:r>
        <w:rPr>
          <w:rFonts w:hint="eastAsia" w:ascii="宋体" w:hAnsi="宋体" w:cs="宋体"/>
          <w:b/>
          <w:bCs/>
          <w:sz w:val="24"/>
        </w:rPr>
        <w:t>盈亏奖惩方式：</w:t>
      </w:r>
      <w:r>
        <w:rPr>
          <w:rFonts w:hint="eastAsia" w:ascii="宋体" w:hAnsi="宋体" w:cs="宋体"/>
          <w:sz w:val="24"/>
        </w:rPr>
        <w:t>意外伤害设置调剂金制度：</w:t>
      </w:r>
    </w:p>
    <w:p>
      <w:pPr>
        <w:pStyle w:val="10"/>
        <w:spacing w:line="360" w:lineRule="auto"/>
        <w:ind w:firstLine="480" w:firstLineChars="200"/>
        <w:rPr>
          <w:rFonts w:ascii="宋体" w:hAnsi="宋体" w:cs="宋体"/>
        </w:rPr>
      </w:pPr>
      <w:r>
        <w:rPr>
          <w:rFonts w:hint="eastAsia" w:ascii="宋体" w:hAnsi="宋体" w:cs="宋体"/>
        </w:rPr>
        <w:t>标段一：</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703"/>
        <w:gridCol w:w="169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440" w:type="dxa"/>
            <w:vAlign w:val="center"/>
          </w:tcPr>
          <w:p>
            <w:pPr>
              <w:spacing w:line="360" w:lineRule="auto"/>
              <w:jc w:val="center"/>
              <w:rPr>
                <w:rFonts w:ascii="宋体" w:hAnsi="宋体" w:cs="宋体"/>
                <w:sz w:val="24"/>
              </w:rPr>
            </w:pPr>
            <w:r>
              <w:rPr>
                <w:rFonts w:hint="eastAsia" w:ascii="宋体" w:hAnsi="宋体" w:cs="宋体"/>
                <w:sz w:val="24"/>
              </w:rPr>
              <w:t>节约和超支</w:t>
            </w:r>
          </w:p>
        </w:tc>
        <w:tc>
          <w:tcPr>
            <w:tcW w:w="2703" w:type="dxa"/>
            <w:vAlign w:val="center"/>
          </w:tcPr>
          <w:p>
            <w:pPr>
              <w:spacing w:line="360" w:lineRule="auto"/>
              <w:jc w:val="center"/>
              <w:rPr>
                <w:rFonts w:ascii="宋体" w:hAnsi="宋体" w:cs="宋体"/>
                <w:sz w:val="24"/>
              </w:rPr>
            </w:pPr>
            <w:r>
              <w:rPr>
                <w:rFonts w:hint="eastAsia" w:ascii="宋体" w:hAnsi="宋体" w:cs="宋体"/>
                <w:sz w:val="24"/>
              </w:rPr>
              <w:t>节约（超支）比例</w:t>
            </w:r>
          </w:p>
        </w:tc>
        <w:tc>
          <w:tcPr>
            <w:tcW w:w="1696" w:type="dxa"/>
            <w:vAlign w:val="center"/>
          </w:tcPr>
          <w:p>
            <w:pPr>
              <w:spacing w:line="360" w:lineRule="auto"/>
              <w:jc w:val="center"/>
              <w:rPr>
                <w:rFonts w:ascii="宋体" w:hAnsi="宋体" w:cs="宋体"/>
                <w:sz w:val="24"/>
              </w:rPr>
            </w:pPr>
            <w:r>
              <w:rPr>
                <w:rFonts w:hint="eastAsia" w:ascii="宋体" w:hAnsi="宋体" w:cs="宋体"/>
                <w:sz w:val="24"/>
              </w:rPr>
              <w:t>奖励和赔偿</w:t>
            </w:r>
          </w:p>
        </w:tc>
        <w:tc>
          <w:tcPr>
            <w:tcW w:w="2261"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1</w:t>
            </w:r>
          </w:p>
        </w:tc>
        <w:tc>
          <w:tcPr>
            <w:tcW w:w="1440" w:type="dxa"/>
            <w:vMerge w:val="restart"/>
            <w:vAlign w:val="center"/>
          </w:tcPr>
          <w:p>
            <w:pPr>
              <w:spacing w:line="360" w:lineRule="auto"/>
              <w:jc w:val="center"/>
              <w:rPr>
                <w:rFonts w:ascii="宋体" w:hAnsi="宋体" w:cs="宋体"/>
                <w:sz w:val="24"/>
              </w:rPr>
            </w:pPr>
            <w:r>
              <w:rPr>
                <w:rFonts w:hint="eastAsia" w:ascii="宋体" w:hAnsi="宋体" w:cs="宋体"/>
                <w:sz w:val="24"/>
              </w:rPr>
              <w:t>保费节约部分（实际结余金额）=中标金额-当年赔付支出-当年营运成本</w:t>
            </w:r>
          </w:p>
        </w:tc>
        <w:tc>
          <w:tcPr>
            <w:tcW w:w="2703" w:type="dxa"/>
            <w:vAlign w:val="center"/>
          </w:tcPr>
          <w:p>
            <w:pPr>
              <w:spacing w:line="360" w:lineRule="auto"/>
              <w:jc w:val="center"/>
              <w:rPr>
                <w:rFonts w:ascii="宋体" w:hAnsi="宋体" w:cs="宋体"/>
                <w:sz w:val="24"/>
              </w:rPr>
            </w:pPr>
            <w:r>
              <w:rPr>
                <w:rFonts w:hint="eastAsia" w:ascii="宋体" w:hAnsi="宋体" w:cs="宋体"/>
                <w:sz w:val="24"/>
              </w:rPr>
              <w:t>结余金额在中标金额4%（含）以内部分的</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以实际结余金额的60%给予中标人奖励</w:t>
            </w:r>
          </w:p>
        </w:tc>
        <w:tc>
          <w:tcPr>
            <w:tcW w:w="2261" w:type="dxa"/>
            <w:vMerge w:val="restart"/>
            <w:vAlign w:val="center"/>
          </w:tcPr>
          <w:p>
            <w:pPr>
              <w:spacing w:line="360" w:lineRule="auto"/>
              <w:jc w:val="center"/>
              <w:rPr>
                <w:rFonts w:ascii="宋体" w:hAnsi="宋体" w:cs="宋体"/>
                <w:sz w:val="24"/>
              </w:rPr>
            </w:pPr>
            <w:r>
              <w:rPr>
                <w:rFonts w:hint="eastAsia" w:ascii="宋体" w:hAnsi="宋体" w:cs="宋体"/>
                <w:sz w:val="24"/>
              </w:rPr>
              <w:t xml:space="preserve">当年营运成本限12 名经办人员和1 辆车的费用（人员的薪酬按照上一年度省在岗职工平均工资水平加上单位缴纳的五险一金；车辆费用按每年每辆60000元计算）。此标段承担营运成本总费用的65%。（如遇重大会计制度调整，在不影响风调结果的情况下，双方协商确定） </w:t>
            </w:r>
          </w:p>
          <w:p>
            <w:pPr>
              <w:pStyle w:val="1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2</w:t>
            </w:r>
          </w:p>
        </w:tc>
        <w:tc>
          <w:tcPr>
            <w:tcW w:w="1440" w:type="dxa"/>
            <w:vMerge w:val="continue"/>
            <w:vAlign w:val="center"/>
          </w:tcPr>
          <w:p>
            <w:pPr>
              <w:spacing w:line="360" w:lineRule="auto"/>
              <w:jc w:val="center"/>
              <w:rPr>
                <w:rFonts w:ascii="宋体" w:hAnsi="宋体" w:cs="宋体"/>
                <w:sz w:val="24"/>
              </w:rPr>
            </w:pPr>
          </w:p>
        </w:tc>
        <w:tc>
          <w:tcPr>
            <w:tcW w:w="2703" w:type="dxa"/>
            <w:vAlign w:val="center"/>
          </w:tcPr>
          <w:p>
            <w:pPr>
              <w:spacing w:line="360" w:lineRule="auto"/>
              <w:jc w:val="center"/>
              <w:rPr>
                <w:rFonts w:ascii="宋体" w:hAnsi="宋体" w:cs="宋体"/>
                <w:sz w:val="24"/>
              </w:rPr>
            </w:pPr>
            <w:r>
              <w:rPr>
                <w:rFonts w:hint="eastAsia" w:ascii="宋体" w:hAnsi="宋体" w:cs="宋体"/>
                <w:sz w:val="24"/>
              </w:rPr>
              <w:t>结余金额在中标金额4%-8%（含）部分的</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以实际结余金额的40%给予中标人奖励</w:t>
            </w:r>
          </w:p>
        </w:tc>
        <w:tc>
          <w:tcPr>
            <w:tcW w:w="2261" w:type="dxa"/>
            <w:vMerge w:val="continue"/>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3</w:t>
            </w:r>
          </w:p>
        </w:tc>
        <w:tc>
          <w:tcPr>
            <w:tcW w:w="1440" w:type="dxa"/>
            <w:vMerge w:val="continue"/>
            <w:vAlign w:val="center"/>
          </w:tcPr>
          <w:p>
            <w:pPr>
              <w:spacing w:line="360" w:lineRule="auto"/>
              <w:jc w:val="center"/>
              <w:rPr>
                <w:rFonts w:ascii="宋体" w:hAnsi="宋体" w:cs="宋体"/>
                <w:sz w:val="24"/>
              </w:rPr>
            </w:pPr>
          </w:p>
        </w:tc>
        <w:tc>
          <w:tcPr>
            <w:tcW w:w="2703" w:type="dxa"/>
            <w:vAlign w:val="center"/>
          </w:tcPr>
          <w:p>
            <w:pPr>
              <w:spacing w:line="360" w:lineRule="auto"/>
              <w:jc w:val="center"/>
              <w:rPr>
                <w:rFonts w:ascii="宋体" w:hAnsi="宋体" w:cs="宋体"/>
                <w:sz w:val="24"/>
              </w:rPr>
            </w:pPr>
            <w:r>
              <w:rPr>
                <w:rFonts w:hint="eastAsia" w:ascii="宋体" w:hAnsi="宋体" w:cs="宋体"/>
                <w:sz w:val="24"/>
              </w:rPr>
              <w:t>结余金额在中标金额8%以上部分</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以实际结余金额的20%给予中标人奖励</w:t>
            </w:r>
          </w:p>
        </w:tc>
        <w:tc>
          <w:tcPr>
            <w:tcW w:w="2261" w:type="dxa"/>
            <w:vMerge w:val="continue"/>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4</w:t>
            </w:r>
          </w:p>
        </w:tc>
        <w:tc>
          <w:tcPr>
            <w:tcW w:w="1440" w:type="dxa"/>
            <w:vMerge w:val="restart"/>
            <w:vAlign w:val="center"/>
          </w:tcPr>
          <w:p>
            <w:pPr>
              <w:spacing w:line="360" w:lineRule="auto"/>
              <w:jc w:val="center"/>
              <w:rPr>
                <w:rFonts w:ascii="宋体" w:hAnsi="宋体" w:cs="宋体"/>
                <w:sz w:val="24"/>
              </w:rPr>
            </w:pPr>
            <w:r>
              <w:rPr>
                <w:rFonts w:hint="eastAsia" w:ascii="宋体" w:hAnsi="宋体" w:cs="宋体"/>
                <w:sz w:val="24"/>
              </w:rPr>
              <w:t>保费超支部分（实际超支金额）=当年赔付支出+当年营运成本--中标金额</w:t>
            </w:r>
          </w:p>
        </w:tc>
        <w:tc>
          <w:tcPr>
            <w:tcW w:w="2703" w:type="dxa"/>
            <w:vAlign w:val="center"/>
          </w:tcPr>
          <w:p>
            <w:pPr>
              <w:spacing w:line="360" w:lineRule="auto"/>
              <w:jc w:val="center"/>
              <w:rPr>
                <w:rFonts w:ascii="宋体" w:hAnsi="宋体" w:cs="宋体"/>
                <w:sz w:val="24"/>
              </w:rPr>
            </w:pPr>
            <w:r>
              <w:rPr>
                <w:rFonts w:hint="eastAsia" w:ascii="宋体" w:hAnsi="宋体" w:cs="宋体"/>
                <w:sz w:val="24"/>
              </w:rPr>
              <w:t>超支金额在中标金额4%（含）以内部分的</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以实际超支金额的60%给予招标人赔付</w:t>
            </w:r>
          </w:p>
        </w:tc>
        <w:tc>
          <w:tcPr>
            <w:tcW w:w="2261" w:type="dxa"/>
            <w:vMerge w:val="continue"/>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宋体" w:hAnsi="宋体" w:cs="宋体"/>
                <w:sz w:val="24"/>
              </w:rPr>
            </w:pPr>
            <w:r>
              <w:rPr>
                <w:rFonts w:hint="eastAsia" w:ascii="宋体" w:hAnsi="宋体" w:cs="宋体"/>
                <w:sz w:val="24"/>
              </w:rPr>
              <w:t>5</w:t>
            </w:r>
          </w:p>
        </w:tc>
        <w:tc>
          <w:tcPr>
            <w:tcW w:w="1440" w:type="dxa"/>
            <w:vMerge w:val="continue"/>
            <w:vAlign w:val="center"/>
          </w:tcPr>
          <w:p>
            <w:pPr>
              <w:spacing w:line="360" w:lineRule="auto"/>
              <w:jc w:val="center"/>
              <w:rPr>
                <w:rFonts w:ascii="宋体" w:hAnsi="宋体" w:cs="宋体"/>
                <w:sz w:val="24"/>
              </w:rPr>
            </w:pPr>
          </w:p>
        </w:tc>
        <w:tc>
          <w:tcPr>
            <w:tcW w:w="2703" w:type="dxa"/>
            <w:vAlign w:val="center"/>
          </w:tcPr>
          <w:p>
            <w:pPr>
              <w:spacing w:line="360" w:lineRule="auto"/>
              <w:jc w:val="center"/>
              <w:rPr>
                <w:rFonts w:ascii="宋体" w:hAnsi="宋体" w:cs="宋体"/>
                <w:sz w:val="24"/>
              </w:rPr>
            </w:pPr>
            <w:r>
              <w:rPr>
                <w:rFonts w:hint="eastAsia" w:ascii="宋体" w:hAnsi="宋体" w:cs="宋体"/>
                <w:sz w:val="24"/>
              </w:rPr>
              <w:t>超支金额在中标金额4%-8%（含）部分的</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以实际超支金额的40%给予招标人赔付</w:t>
            </w:r>
          </w:p>
        </w:tc>
        <w:tc>
          <w:tcPr>
            <w:tcW w:w="2261" w:type="dxa"/>
            <w:vMerge w:val="continue"/>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rFonts w:ascii="宋体" w:hAnsi="宋体" w:cs="宋体"/>
                <w:sz w:val="24"/>
              </w:rPr>
            </w:pPr>
            <w:r>
              <w:rPr>
                <w:rFonts w:hint="eastAsia" w:ascii="宋体" w:hAnsi="宋体" w:cs="宋体"/>
                <w:sz w:val="24"/>
              </w:rPr>
              <w:t>6</w:t>
            </w:r>
          </w:p>
        </w:tc>
        <w:tc>
          <w:tcPr>
            <w:tcW w:w="1440" w:type="dxa"/>
            <w:vMerge w:val="continue"/>
            <w:vAlign w:val="center"/>
          </w:tcPr>
          <w:p>
            <w:pPr>
              <w:spacing w:line="360" w:lineRule="auto"/>
              <w:jc w:val="center"/>
              <w:rPr>
                <w:rFonts w:ascii="宋体" w:hAnsi="宋体" w:cs="宋体"/>
                <w:sz w:val="24"/>
              </w:rPr>
            </w:pPr>
          </w:p>
        </w:tc>
        <w:tc>
          <w:tcPr>
            <w:tcW w:w="2703" w:type="dxa"/>
            <w:vAlign w:val="center"/>
          </w:tcPr>
          <w:p>
            <w:pPr>
              <w:spacing w:line="360" w:lineRule="auto"/>
              <w:jc w:val="center"/>
              <w:rPr>
                <w:rFonts w:ascii="宋体" w:hAnsi="宋体" w:cs="宋体"/>
                <w:sz w:val="24"/>
              </w:rPr>
            </w:pPr>
            <w:r>
              <w:rPr>
                <w:rFonts w:hint="eastAsia" w:ascii="宋体" w:hAnsi="宋体" w:cs="宋体"/>
                <w:sz w:val="24"/>
              </w:rPr>
              <w:t>超支金额在中标金额8%以上部分</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以实际超支金额的20%给予招标人赔付</w:t>
            </w:r>
          </w:p>
        </w:tc>
        <w:tc>
          <w:tcPr>
            <w:tcW w:w="2261" w:type="dxa"/>
            <w:vMerge w:val="continue"/>
          </w:tcPr>
          <w:p>
            <w:pPr>
              <w:spacing w:line="360" w:lineRule="auto"/>
              <w:rPr>
                <w:rFonts w:ascii="宋体" w:hAnsi="宋体" w:cs="宋体"/>
                <w:sz w:val="24"/>
              </w:rPr>
            </w:pPr>
          </w:p>
        </w:tc>
      </w:tr>
    </w:tbl>
    <w:p>
      <w:pPr>
        <w:pStyle w:val="10"/>
        <w:spacing w:line="360" w:lineRule="auto"/>
        <w:rPr>
          <w:rFonts w:ascii="宋体" w:hAnsi="宋体" w:cs="宋体"/>
        </w:rPr>
      </w:pPr>
    </w:p>
    <w:p>
      <w:pPr>
        <w:pStyle w:val="10"/>
        <w:spacing w:line="360" w:lineRule="auto"/>
        <w:ind w:left="420" w:leftChars="200"/>
        <w:rPr>
          <w:rFonts w:ascii="宋体" w:hAnsi="宋体" w:cs="宋体"/>
        </w:rPr>
      </w:pPr>
      <w:r>
        <w:rPr>
          <w:rFonts w:hint="eastAsia" w:ascii="宋体" w:hAnsi="宋体" w:cs="宋体"/>
        </w:rPr>
        <w:t>标段二：</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703"/>
        <w:gridCol w:w="169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440" w:type="dxa"/>
            <w:vAlign w:val="center"/>
          </w:tcPr>
          <w:p>
            <w:pPr>
              <w:spacing w:line="360" w:lineRule="auto"/>
              <w:jc w:val="center"/>
              <w:rPr>
                <w:rFonts w:ascii="宋体" w:hAnsi="宋体" w:cs="宋体"/>
                <w:sz w:val="24"/>
              </w:rPr>
            </w:pPr>
            <w:r>
              <w:rPr>
                <w:rFonts w:hint="eastAsia" w:ascii="宋体" w:hAnsi="宋体" w:cs="宋体"/>
                <w:sz w:val="24"/>
              </w:rPr>
              <w:t>节约和超支</w:t>
            </w:r>
          </w:p>
        </w:tc>
        <w:tc>
          <w:tcPr>
            <w:tcW w:w="2703" w:type="dxa"/>
            <w:vAlign w:val="center"/>
          </w:tcPr>
          <w:p>
            <w:pPr>
              <w:spacing w:line="360" w:lineRule="auto"/>
              <w:jc w:val="center"/>
              <w:rPr>
                <w:rFonts w:ascii="宋体" w:hAnsi="宋体" w:cs="宋体"/>
                <w:sz w:val="24"/>
              </w:rPr>
            </w:pPr>
            <w:r>
              <w:rPr>
                <w:rFonts w:hint="eastAsia" w:ascii="宋体" w:hAnsi="宋体" w:cs="宋体"/>
                <w:sz w:val="24"/>
              </w:rPr>
              <w:t>节约（超支）比例</w:t>
            </w:r>
          </w:p>
        </w:tc>
        <w:tc>
          <w:tcPr>
            <w:tcW w:w="1696" w:type="dxa"/>
            <w:vAlign w:val="center"/>
          </w:tcPr>
          <w:p>
            <w:pPr>
              <w:spacing w:line="360" w:lineRule="auto"/>
              <w:jc w:val="center"/>
              <w:rPr>
                <w:rFonts w:ascii="宋体" w:hAnsi="宋体" w:cs="宋体"/>
                <w:sz w:val="24"/>
              </w:rPr>
            </w:pPr>
            <w:r>
              <w:rPr>
                <w:rFonts w:hint="eastAsia" w:ascii="宋体" w:hAnsi="宋体" w:cs="宋体"/>
                <w:sz w:val="24"/>
              </w:rPr>
              <w:t>奖励和赔偿</w:t>
            </w:r>
          </w:p>
        </w:tc>
        <w:tc>
          <w:tcPr>
            <w:tcW w:w="2261"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1</w:t>
            </w:r>
          </w:p>
        </w:tc>
        <w:tc>
          <w:tcPr>
            <w:tcW w:w="1440" w:type="dxa"/>
            <w:vMerge w:val="restart"/>
            <w:vAlign w:val="center"/>
          </w:tcPr>
          <w:p>
            <w:pPr>
              <w:spacing w:line="360" w:lineRule="auto"/>
              <w:jc w:val="center"/>
              <w:rPr>
                <w:rFonts w:ascii="宋体" w:hAnsi="宋体" w:cs="宋体"/>
                <w:sz w:val="24"/>
              </w:rPr>
            </w:pPr>
            <w:r>
              <w:rPr>
                <w:rFonts w:hint="eastAsia" w:ascii="宋体" w:hAnsi="宋体" w:cs="宋体"/>
                <w:sz w:val="24"/>
              </w:rPr>
              <w:t>保费节约部分（实际结余金额）=中标金额-当年赔付支出-当年营运成本</w:t>
            </w:r>
          </w:p>
        </w:tc>
        <w:tc>
          <w:tcPr>
            <w:tcW w:w="2703" w:type="dxa"/>
            <w:vAlign w:val="center"/>
          </w:tcPr>
          <w:p>
            <w:pPr>
              <w:spacing w:line="360" w:lineRule="auto"/>
              <w:jc w:val="center"/>
              <w:rPr>
                <w:rFonts w:ascii="宋体" w:hAnsi="宋体" w:cs="宋体"/>
                <w:sz w:val="24"/>
              </w:rPr>
            </w:pPr>
            <w:r>
              <w:rPr>
                <w:rFonts w:hint="eastAsia" w:ascii="宋体" w:hAnsi="宋体" w:cs="宋体"/>
                <w:sz w:val="24"/>
              </w:rPr>
              <w:t>结余金额在中标金额4%（含）以内部分的</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以实际结余金额的60%给予中标人奖励</w:t>
            </w:r>
          </w:p>
        </w:tc>
        <w:tc>
          <w:tcPr>
            <w:tcW w:w="2261" w:type="dxa"/>
            <w:vMerge w:val="restart"/>
            <w:vAlign w:val="center"/>
          </w:tcPr>
          <w:p>
            <w:pPr>
              <w:spacing w:line="360" w:lineRule="auto"/>
              <w:jc w:val="center"/>
              <w:rPr>
                <w:rFonts w:ascii="宋体" w:hAnsi="宋体" w:cs="宋体"/>
                <w:sz w:val="24"/>
              </w:rPr>
            </w:pPr>
            <w:r>
              <w:rPr>
                <w:rFonts w:hint="eastAsia" w:ascii="宋体" w:hAnsi="宋体" w:cs="宋体"/>
                <w:sz w:val="24"/>
              </w:rPr>
              <w:t>当年营运成本限12 名经办人员和1 辆车的费用（人员的薪酬按照上一年度省在岗职工平均工资水平加上单位缴纳的五险一金；车辆费用按每年每辆60000元计算）。此标段承担营运成本总费用的35%。（如遇重大会计制度调整，在不影响风调结果的情况下，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2</w:t>
            </w:r>
          </w:p>
        </w:tc>
        <w:tc>
          <w:tcPr>
            <w:tcW w:w="1440" w:type="dxa"/>
            <w:vMerge w:val="continue"/>
            <w:vAlign w:val="center"/>
          </w:tcPr>
          <w:p>
            <w:pPr>
              <w:spacing w:line="360" w:lineRule="auto"/>
              <w:jc w:val="center"/>
              <w:rPr>
                <w:rFonts w:ascii="宋体" w:hAnsi="宋体" w:cs="宋体"/>
                <w:sz w:val="24"/>
              </w:rPr>
            </w:pPr>
          </w:p>
        </w:tc>
        <w:tc>
          <w:tcPr>
            <w:tcW w:w="2703" w:type="dxa"/>
            <w:vAlign w:val="center"/>
          </w:tcPr>
          <w:p>
            <w:pPr>
              <w:spacing w:line="360" w:lineRule="auto"/>
              <w:jc w:val="center"/>
              <w:rPr>
                <w:rFonts w:ascii="宋体" w:hAnsi="宋体" w:cs="宋体"/>
                <w:sz w:val="24"/>
              </w:rPr>
            </w:pPr>
            <w:r>
              <w:rPr>
                <w:rFonts w:hint="eastAsia" w:ascii="宋体" w:hAnsi="宋体" w:cs="宋体"/>
                <w:sz w:val="24"/>
              </w:rPr>
              <w:t>结余金额在中标金额4%-8%（含）部分的</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以实际结余金额的40%给予中标人奖励</w:t>
            </w:r>
          </w:p>
        </w:tc>
        <w:tc>
          <w:tcPr>
            <w:tcW w:w="2261" w:type="dxa"/>
            <w:vMerge w:val="continue"/>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3</w:t>
            </w:r>
          </w:p>
        </w:tc>
        <w:tc>
          <w:tcPr>
            <w:tcW w:w="1440" w:type="dxa"/>
            <w:vMerge w:val="continue"/>
            <w:vAlign w:val="center"/>
          </w:tcPr>
          <w:p>
            <w:pPr>
              <w:spacing w:line="360" w:lineRule="auto"/>
              <w:jc w:val="center"/>
              <w:rPr>
                <w:rFonts w:ascii="宋体" w:hAnsi="宋体" w:cs="宋体"/>
                <w:sz w:val="24"/>
              </w:rPr>
            </w:pPr>
          </w:p>
        </w:tc>
        <w:tc>
          <w:tcPr>
            <w:tcW w:w="2703" w:type="dxa"/>
            <w:vAlign w:val="center"/>
          </w:tcPr>
          <w:p>
            <w:pPr>
              <w:spacing w:line="360" w:lineRule="auto"/>
              <w:jc w:val="center"/>
              <w:rPr>
                <w:rFonts w:ascii="宋体" w:hAnsi="宋体" w:cs="宋体"/>
                <w:sz w:val="24"/>
              </w:rPr>
            </w:pPr>
            <w:r>
              <w:rPr>
                <w:rFonts w:hint="eastAsia" w:ascii="宋体" w:hAnsi="宋体" w:cs="宋体"/>
                <w:sz w:val="24"/>
              </w:rPr>
              <w:t>结余金额在中标金额8%以上部分</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以实际结余金额的20%给予中标人奖励</w:t>
            </w:r>
          </w:p>
        </w:tc>
        <w:tc>
          <w:tcPr>
            <w:tcW w:w="2261" w:type="dxa"/>
            <w:vMerge w:val="continue"/>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4</w:t>
            </w:r>
          </w:p>
        </w:tc>
        <w:tc>
          <w:tcPr>
            <w:tcW w:w="1440" w:type="dxa"/>
            <w:vMerge w:val="restart"/>
            <w:vAlign w:val="center"/>
          </w:tcPr>
          <w:p>
            <w:pPr>
              <w:spacing w:line="360" w:lineRule="auto"/>
              <w:jc w:val="center"/>
              <w:rPr>
                <w:rFonts w:ascii="宋体" w:hAnsi="宋体" w:cs="宋体"/>
                <w:sz w:val="24"/>
              </w:rPr>
            </w:pPr>
            <w:r>
              <w:rPr>
                <w:rFonts w:hint="eastAsia" w:ascii="宋体" w:hAnsi="宋体" w:cs="宋体"/>
                <w:sz w:val="24"/>
              </w:rPr>
              <w:t>保费超支部分（实际超支金额）=当年赔付支出+当年营运成本--中标金额</w:t>
            </w:r>
          </w:p>
        </w:tc>
        <w:tc>
          <w:tcPr>
            <w:tcW w:w="2703" w:type="dxa"/>
            <w:vAlign w:val="center"/>
          </w:tcPr>
          <w:p>
            <w:pPr>
              <w:spacing w:line="360" w:lineRule="auto"/>
              <w:jc w:val="center"/>
              <w:rPr>
                <w:rFonts w:ascii="宋体" w:hAnsi="宋体" w:cs="宋体"/>
                <w:sz w:val="24"/>
              </w:rPr>
            </w:pPr>
            <w:r>
              <w:rPr>
                <w:rFonts w:hint="eastAsia" w:ascii="宋体" w:hAnsi="宋体" w:cs="宋体"/>
                <w:sz w:val="24"/>
              </w:rPr>
              <w:t>超支金额在中标金额4%（含）以内部分的</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以实际超支金额的60%给予招标人赔付</w:t>
            </w:r>
          </w:p>
        </w:tc>
        <w:tc>
          <w:tcPr>
            <w:tcW w:w="2261" w:type="dxa"/>
            <w:vMerge w:val="continue"/>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0" w:type="dxa"/>
            <w:vAlign w:val="center"/>
          </w:tcPr>
          <w:p>
            <w:pPr>
              <w:spacing w:line="360" w:lineRule="auto"/>
              <w:jc w:val="center"/>
              <w:rPr>
                <w:rFonts w:ascii="宋体" w:hAnsi="宋体" w:cs="宋体"/>
                <w:sz w:val="24"/>
              </w:rPr>
            </w:pPr>
            <w:r>
              <w:rPr>
                <w:rFonts w:hint="eastAsia" w:ascii="宋体" w:hAnsi="宋体" w:cs="宋体"/>
                <w:sz w:val="24"/>
              </w:rPr>
              <w:t>5</w:t>
            </w:r>
          </w:p>
        </w:tc>
        <w:tc>
          <w:tcPr>
            <w:tcW w:w="1440" w:type="dxa"/>
            <w:vMerge w:val="continue"/>
            <w:vAlign w:val="center"/>
          </w:tcPr>
          <w:p>
            <w:pPr>
              <w:spacing w:line="360" w:lineRule="auto"/>
              <w:jc w:val="center"/>
              <w:rPr>
                <w:rFonts w:ascii="宋体" w:hAnsi="宋体" w:cs="宋体"/>
                <w:sz w:val="24"/>
              </w:rPr>
            </w:pPr>
          </w:p>
        </w:tc>
        <w:tc>
          <w:tcPr>
            <w:tcW w:w="2703" w:type="dxa"/>
            <w:vAlign w:val="center"/>
          </w:tcPr>
          <w:p>
            <w:pPr>
              <w:spacing w:line="360" w:lineRule="auto"/>
              <w:jc w:val="center"/>
              <w:rPr>
                <w:rFonts w:ascii="宋体" w:hAnsi="宋体" w:cs="宋体"/>
                <w:sz w:val="24"/>
              </w:rPr>
            </w:pPr>
            <w:r>
              <w:rPr>
                <w:rFonts w:hint="eastAsia" w:ascii="宋体" w:hAnsi="宋体" w:cs="宋体"/>
                <w:sz w:val="24"/>
              </w:rPr>
              <w:t>超支金额在中标金额4%-8%（含）部分的</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以实际超支金额的40%给予招标人赔付</w:t>
            </w:r>
          </w:p>
        </w:tc>
        <w:tc>
          <w:tcPr>
            <w:tcW w:w="2261" w:type="dxa"/>
            <w:vMerge w:val="continue"/>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60" w:lineRule="auto"/>
              <w:jc w:val="center"/>
              <w:rPr>
                <w:rFonts w:ascii="宋体" w:hAnsi="宋体" w:cs="宋体"/>
                <w:sz w:val="24"/>
              </w:rPr>
            </w:pPr>
            <w:r>
              <w:rPr>
                <w:rFonts w:hint="eastAsia" w:ascii="宋体" w:hAnsi="宋体" w:cs="宋体"/>
                <w:sz w:val="24"/>
              </w:rPr>
              <w:t>6</w:t>
            </w:r>
          </w:p>
        </w:tc>
        <w:tc>
          <w:tcPr>
            <w:tcW w:w="1440" w:type="dxa"/>
            <w:vMerge w:val="continue"/>
            <w:vAlign w:val="center"/>
          </w:tcPr>
          <w:p>
            <w:pPr>
              <w:spacing w:line="360" w:lineRule="auto"/>
              <w:jc w:val="center"/>
              <w:rPr>
                <w:rFonts w:ascii="宋体" w:hAnsi="宋体" w:cs="宋体"/>
                <w:sz w:val="24"/>
              </w:rPr>
            </w:pPr>
          </w:p>
        </w:tc>
        <w:tc>
          <w:tcPr>
            <w:tcW w:w="2703" w:type="dxa"/>
            <w:vAlign w:val="center"/>
          </w:tcPr>
          <w:p>
            <w:pPr>
              <w:spacing w:line="360" w:lineRule="auto"/>
              <w:jc w:val="center"/>
              <w:rPr>
                <w:rFonts w:ascii="宋体" w:hAnsi="宋体" w:cs="宋体"/>
                <w:sz w:val="24"/>
              </w:rPr>
            </w:pPr>
            <w:r>
              <w:rPr>
                <w:rFonts w:hint="eastAsia" w:ascii="宋体" w:hAnsi="宋体" w:cs="宋体"/>
                <w:sz w:val="24"/>
              </w:rPr>
              <w:t>超支金额在中标金额8%以上部分</w:t>
            </w:r>
          </w:p>
        </w:tc>
        <w:tc>
          <w:tcPr>
            <w:tcW w:w="1696" w:type="dxa"/>
            <w:vAlign w:val="center"/>
          </w:tcPr>
          <w:p>
            <w:pPr>
              <w:spacing w:line="360" w:lineRule="auto"/>
              <w:jc w:val="center"/>
              <w:rPr>
                <w:rFonts w:ascii="宋体" w:hAnsi="宋体" w:cs="宋体"/>
                <w:sz w:val="24"/>
              </w:rPr>
            </w:pPr>
            <w:r>
              <w:rPr>
                <w:rFonts w:hint="eastAsia" w:ascii="宋体" w:hAnsi="宋体" w:cs="宋体"/>
                <w:sz w:val="24"/>
              </w:rPr>
              <w:t>以实际超支金额的20%给予招标人赔付</w:t>
            </w:r>
          </w:p>
        </w:tc>
        <w:tc>
          <w:tcPr>
            <w:tcW w:w="2261" w:type="dxa"/>
            <w:vMerge w:val="continue"/>
          </w:tcPr>
          <w:p>
            <w:pPr>
              <w:spacing w:line="360" w:lineRule="auto"/>
              <w:rPr>
                <w:rFonts w:ascii="宋体" w:hAnsi="宋体" w:cs="宋体"/>
                <w:sz w:val="24"/>
              </w:rPr>
            </w:pPr>
          </w:p>
        </w:tc>
      </w:tr>
    </w:tbl>
    <w:p>
      <w:pPr>
        <w:pStyle w:val="10"/>
        <w:spacing w:line="360" w:lineRule="auto"/>
        <w:ind w:left="420" w:leftChars="200"/>
        <w:rPr>
          <w:rFonts w:ascii="宋体" w:hAnsi="宋体" w:cs="宋体"/>
        </w:rPr>
      </w:pPr>
    </w:p>
    <w:p>
      <w:pPr>
        <w:shd w:val="clear" w:color="auto" w:fill="FFFFFF"/>
        <w:snapToGrid w:val="0"/>
        <w:spacing w:line="360" w:lineRule="auto"/>
        <w:ind w:firstLine="480" w:firstLineChars="200"/>
        <w:rPr>
          <w:rFonts w:ascii="宋体" w:hAnsi="宋体" w:cs="宋体"/>
          <w:sz w:val="24"/>
        </w:rPr>
      </w:pPr>
      <w:r>
        <w:rPr>
          <w:rFonts w:hint="eastAsia" w:ascii="宋体" w:hAnsi="宋体" w:cs="宋体"/>
          <w:sz w:val="24"/>
        </w:rPr>
        <w:t>5、由采购人为中标人提供受理环节的工作场所。其它环节的办公场所由中标人自理。</w:t>
      </w:r>
    </w:p>
    <w:p>
      <w:pPr>
        <w:pStyle w:val="72"/>
        <w:shd w:val="clear" w:color="auto" w:fill="FFFFFF"/>
        <w:snapToGrid w:val="0"/>
        <w:spacing w:line="360" w:lineRule="auto"/>
        <w:ind w:firstLineChars="0"/>
        <w:rPr>
          <w:rFonts w:ascii="宋体" w:hAnsi="宋体" w:cs="宋体"/>
          <w:sz w:val="24"/>
        </w:rPr>
      </w:pPr>
      <w:r>
        <w:rPr>
          <w:rFonts w:hint="eastAsia" w:ascii="宋体" w:hAnsi="宋体" w:cs="宋体"/>
          <w:sz w:val="24"/>
        </w:rPr>
        <w:t>6、</w:t>
      </w:r>
      <w:r>
        <w:rPr>
          <w:rFonts w:hint="eastAsia" w:ascii="宋体" w:hAnsi="宋体" w:cs="宋体"/>
          <w:sz w:val="24"/>
          <w:u w:val="single"/>
        </w:rPr>
        <w:t>中标人对保险费设立专用账户进行专账核算</w:t>
      </w:r>
      <w:r>
        <w:rPr>
          <w:rFonts w:hint="eastAsia" w:ascii="宋体" w:hAnsi="宋体" w:cs="宋体"/>
          <w:sz w:val="24"/>
        </w:rPr>
        <w:t>，该账户仅用于支出意外伤害的保费，实行专款专用，并随时接受采购人和相关部门的监督和核查。</w:t>
      </w:r>
    </w:p>
    <w:p>
      <w:pPr>
        <w:pStyle w:val="14"/>
        <w:snapToGrid w:val="0"/>
        <w:spacing w:before="120" w:after="120" w:line="360" w:lineRule="auto"/>
        <w:ind w:firstLine="480" w:firstLineChars="200"/>
        <w:rPr>
          <w:rFonts w:hAnsi="宋体" w:cs="宋体"/>
          <w:sz w:val="24"/>
        </w:rPr>
      </w:pPr>
      <w:r>
        <w:rPr>
          <w:rFonts w:hint="eastAsia" w:hAnsi="宋体" w:cs="宋体"/>
          <w:sz w:val="24"/>
        </w:rPr>
        <w:t>7、</w:t>
      </w:r>
      <w:r>
        <w:rPr>
          <w:rFonts w:hint="eastAsia" w:hAnsi="宋体" w:cs="宋体"/>
          <w:bCs/>
          <w:sz w:val="24"/>
        </w:rPr>
        <w:t>如中标人以明显低于合理价格中标的（中标价低于预算价15%以上），年度结算过程中，实际支出超出中标价15%以上部分，基金不予支付，由中标人全额承担。</w:t>
      </w:r>
    </w:p>
    <w:p>
      <w:pPr>
        <w:pStyle w:val="14"/>
        <w:snapToGrid w:val="0"/>
        <w:spacing w:before="120" w:after="120" w:line="360" w:lineRule="auto"/>
        <w:rPr>
          <w:rFonts w:hAnsi="宋体" w:cs="宋体"/>
          <w:b/>
          <w:bCs/>
          <w:sz w:val="24"/>
        </w:rPr>
      </w:pPr>
      <w:r>
        <w:rPr>
          <w:rFonts w:hint="eastAsia" w:hAnsi="宋体" w:cs="宋体"/>
          <w:b/>
          <w:bCs/>
          <w:sz w:val="24"/>
        </w:rPr>
        <w:t>（五）保费支付</w:t>
      </w:r>
    </w:p>
    <w:p>
      <w:pPr>
        <w:pStyle w:val="14"/>
        <w:snapToGrid w:val="0"/>
        <w:spacing w:before="120" w:after="120" w:line="360" w:lineRule="auto"/>
        <w:ind w:firstLine="480" w:firstLineChars="200"/>
        <w:rPr>
          <w:rFonts w:hAnsi="宋体" w:cs="宋体"/>
          <w:sz w:val="24"/>
        </w:rPr>
      </w:pPr>
      <w:r>
        <w:rPr>
          <w:rFonts w:hint="eastAsia" w:hAnsi="宋体" w:cs="宋体"/>
          <w:kern w:val="0"/>
          <w:sz w:val="24"/>
        </w:rPr>
        <w:t>黄岩区城乡居民基本医疗保险服务中心</w:t>
      </w:r>
      <w:r>
        <w:rPr>
          <w:rFonts w:hint="eastAsia" w:hAnsi="宋体" w:cs="宋体"/>
          <w:sz w:val="24"/>
        </w:rPr>
        <w:t>将年初集体征缴保费的90%按季度划拨给中标人，剩余的10%作为后续拨付资金，用于支付被保险人在保险期内发生的未支付部分的保险费，具体支付时间按结算期确定。（年初保费的计算方式为年初参保人数*中标单价）</w:t>
      </w:r>
    </w:p>
    <w:p>
      <w:pPr>
        <w:pStyle w:val="14"/>
        <w:snapToGrid w:val="0"/>
        <w:spacing w:before="120" w:after="120" w:line="360" w:lineRule="auto"/>
        <w:ind w:firstLine="480" w:firstLineChars="200"/>
        <w:rPr>
          <w:rFonts w:hAnsi="宋体" w:cs="宋体"/>
          <w:sz w:val="24"/>
        </w:rPr>
      </w:pPr>
      <w:r>
        <w:rPr>
          <w:rFonts w:hint="eastAsia" w:hAnsi="宋体" w:cs="宋体"/>
          <w:sz w:val="24"/>
        </w:rPr>
        <w:t>中途参保征缴保费于每年7月底和次年1月底分两次审核汇总后交中标人，同时将再保险保费划入中标人财务账户。（中途保费的计算方式为中途参保人数*中标单价）</w:t>
      </w:r>
    </w:p>
    <w:p>
      <w:pPr>
        <w:pStyle w:val="14"/>
        <w:snapToGrid w:val="0"/>
        <w:spacing w:before="120" w:after="120" w:line="360" w:lineRule="auto"/>
        <w:rPr>
          <w:rFonts w:hAnsi="宋体" w:cs="宋体"/>
          <w:b/>
          <w:bCs/>
          <w:sz w:val="24"/>
        </w:rPr>
      </w:pPr>
      <w:r>
        <w:rPr>
          <w:rFonts w:hint="eastAsia" w:hAnsi="宋体" w:cs="宋体"/>
          <w:b/>
          <w:bCs/>
          <w:sz w:val="24"/>
        </w:rPr>
        <w:t>（六）待遇支付</w:t>
      </w:r>
    </w:p>
    <w:p>
      <w:pPr>
        <w:pStyle w:val="14"/>
        <w:snapToGrid w:val="0"/>
        <w:spacing w:before="120" w:after="120" w:line="360" w:lineRule="auto"/>
        <w:ind w:firstLine="480" w:firstLineChars="200"/>
        <w:rPr>
          <w:rFonts w:hAnsi="宋体" w:cs="宋体"/>
          <w:sz w:val="24"/>
        </w:rPr>
      </w:pPr>
      <w:r>
        <w:rPr>
          <w:rFonts w:hint="eastAsia" w:hAnsi="宋体" w:cs="宋体"/>
          <w:sz w:val="24"/>
        </w:rPr>
        <w:t>被保险人发生的医保费用，</w:t>
      </w:r>
      <w:r>
        <w:rPr>
          <w:rFonts w:hint="eastAsia" w:hAnsi="宋体" w:cs="宋体"/>
          <w:kern w:val="0"/>
          <w:sz w:val="24"/>
        </w:rPr>
        <w:t>黄岩区城乡居民基本医疗保险服务中心</w:t>
      </w:r>
      <w:r>
        <w:rPr>
          <w:rFonts w:hint="eastAsia" w:hAnsi="宋体" w:cs="宋体"/>
          <w:sz w:val="24"/>
        </w:rPr>
        <w:t>先予以垫付，次月再向中标人结算，中标人在收到采购人结算清单后5个工作日内，将理赔款项支付给采购人。其中标段一中标人承担实际赔付额的65%，标段二中标人承担实际赔付额的35%。</w:t>
      </w:r>
    </w:p>
    <w:p>
      <w:pPr>
        <w:pStyle w:val="14"/>
        <w:snapToGrid w:val="0"/>
        <w:spacing w:before="120" w:after="120" w:line="360" w:lineRule="auto"/>
        <w:rPr>
          <w:rFonts w:hAnsi="宋体" w:cs="宋体"/>
          <w:b/>
          <w:bCs/>
          <w:sz w:val="24"/>
        </w:rPr>
      </w:pPr>
      <w:r>
        <w:rPr>
          <w:rFonts w:hint="eastAsia" w:hAnsi="宋体" w:cs="宋体"/>
          <w:b/>
          <w:bCs/>
          <w:sz w:val="24"/>
        </w:rPr>
        <w:t>（七）考核机制</w:t>
      </w:r>
    </w:p>
    <w:p>
      <w:pPr>
        <w:pStyle w:val="72"/>
        <w:shd w:val="clear" w:color="auto" w:fill="FFFFFF"/>
        <w:snapToGrid w:val="0"/>
        <w:spacing w:line="360" w:lineRule="auto"/>
        <w:ind w:firstLineChars="0"/>
        <w:rPr>
          <w:rFonts w:ascii="宋体" w:hAnsi="宋体" w:cs="宋体"/>
          <w:sz w:val="24"/>
        </w:rPr>
      </w:pPr>
      <w:r>
        <w:rPr>
          <w:rFonts w:hint="eastAsia" w:ascii="宋体" w:hAnsi="宋体" w:cs="宋体"/>
          <w:sz w:val="24"/>
        </w:rPr>
        <w:t>实行履约和服务质量考核制度，按季度考核，考核标准另行确定。考核细则可根据中标人的承诺标准、项目实际运行情况适当调整，解释权归黄岩区医疗保障局。采购人提取当年保费总额的3%作为考核奖惩经费，将制定切合实际、合理的考核机制并逐步完善，对中标人进行合同履约方面的考核，发现未达到招标人的考核要求的，招标人将视情况作出相应的处置、处罚，考评结果与奖惩经费直接挂钩。</w:t>
      </w:r>
    </w:p>
    <w:p>
      <w:pPr>
        <w:pStyle w:val="72"/>
        <w:shd w:val="clear" w:color="auto" w:fill="FFFFFF"/>
        <w:snapToGrid w:val="0"/>
        <w:spacing w:line="360" w:lineRule="auto"/>
        <w:ind w:firstLineChars="0"/>
        <w:rPr>
          <w:rFonts w:ascii="宋体" w:hAnsi="宋体" w:cs="宋体"/>
          <w:sz w:val="24"/>
        </w:rPr>
      </w:pPr>
      <w:r>
        <w:rPr>
          <w:rFonts w:hint="eastAsia" w:ascii="宋体" w:hAnsi="宋体" w:cs="宋体"/>
          <w:sz w:val="24"/>
        </w:rPr>
        <w:t>考核得分80分及以上的，不扣除考核奖惩经费；考核得分在80分以下60分及以上的，每减少1分，扣减考核奖惩经费的3%；考核得分低于60分的，考核奖惩经费全部扣除。</w:t>
      </w:r>
    </w:p>
    <w:p>
      <w:pPr>
        <w:spacing w:line="360" w:lineRule="auto"/>
        <w:rPr>
          <w:rFonts w:ascii="宋体" w:hAnsi="宋体" w:cs="宋体"/>
          <w:b/>
          <w:sz w:val="24"/>
        </w:rPr>
      </w:pPr>
      <w:r>
        <w:rPr>
          <w:rFonts w:hint="eastAsia" w:ascii="宋体" w:hAnsi="宋体" w:cs="宋体"/>
          <w:b/>
          <w:sz w:val="24"/>
        </w:rPr>
        <w:t>（八）其它服务要求</w:t>
      </w:r>
    </w:p>
    <w:p>
      <w:pPr>
        <w:spacing w:line="360" w:lineRule="auto"/>
        <w:ind w:firstLine="480" w:firstLineChars="200"/>
        <w:rPr>
          <w:rFonts w:ascii="宋体" w:hAnsi="宋体" w:cs="宋体"/>
          <w:sz w:val="24"/>
        </w:rPr>
      </w:pPr>
      <w:r>
        <w:rPr>
          <w:rFonts w:hint="eastAsia" w:ascii="宋体" w:hAnsi="宋体" w:cs="宋体"/>
          <w:sz w:val="24"/>
        </w:rPr>
        <w:t>1、中标人配合采购人做好职工基本医疗保险、城乡居民基本医保政策宣传工作。</w:t>
      </w:r>
    </w:p>
    <w:p>
      <w:pPr>
        <w:spacing w:line="360" w:lineRule="auto"/>
        <w:ind w:firstLine="480" w:firstLineChars="200"/>
        <w:rPr>
          <w:rFonts w:ascii="宋体" w:hAnsi="宋体" w:cs="宋体"/>
          <w:sz w:val="24"/>
        </w:rPr>
      </w:pPr>
      <w:r>
        <w:rPr>
          <w:rFonts w:hint="eastAsia" w:ascii="宋体" w:hAnsi="宋体" w:cs="宋体"/>
          <w:sz w:val="24"/>
        </w:rPr>
        <w:t xml:space="preserve">2、中标人对审核的资料、信息操作系统必须落实安全和保密责任，承诺所有涉及相关项目内容不用于其它领域。        </w:t>
      </w:r>
    </w:p>
    <w:p>
      <w:pPr>
        <w:spacing w:line="360" w:lineRule="auto"/>
        <w:ind w:firstLine="480" w:firstLineChars="200"/>
        <w:rPr>
          <w:rFonts w:ascii="宋体" w:hAnsi="宋体" w:cs="宋体"/>
          <w:sz w:val="24"/>
        </w:rPr>
      </w:pPr>
      <w:r>
        <w:rPr>
          <w:rFonts w:hint="eastAsia" w:ascii="宋体" w:hAnsi="宋体" w:cs="宋体"/>
          <w:sz w:val="24"/>
        </w:rPr>
        <w:t>3、标段一中标人需在医保中心设立至少12人（医学类专业不少于4人）专职经办人员，配置办公及服务设施，负责参保人员意外伤害申请受理、支付及解释等相关工作；</w:t>
      </w:r>
    </w:p>
    <w:p>
      <w:pPr>
        <w:spacing w:line="360" w:lineRule="auto"/>
        <w:ind w:firstLine="480" w:firstLineChars="200"/>
        <w:rPr>
          <w:rFonts w:ascii="宋体" w:hAnsi="宋体" w:cs="宋体"/>
          <w:sz w:val="24"/>
        </w:rPr>
      </w:pPr>
      <w:r>
        <w:rPr>
          <w:rFonts w:hint="eastAsia" w:ascii="宋体" w:hAnsi="宋体" w:cs="宋体"/>
          <w:sz w:val="24"/>
        </w:rPr>
        <w:t>4、中标人开展医疗费用调查，经调查审核，对被保险人不符合意外伤害补偿者，中标人必须出具有效结论并负责解释，报采购人备案。若被保险人有争议，由采购人进行核实确定。</w:t>
      </w:r>
    </w:p>
    <w:p>
      <w:pPr>
        <w:spacing w:line="360" w:lineRule="auto"/>
        <w:ind w:firstLine="480" w:firstLineChars="200"/>
        <w:jc w:val="left"/>
        <w:rPr>
          <w:rFonts w:ascii="宋体" w:hAnsi="宋体" w:cs="宋体"/>
          <w:sz w:val="24"/>
        </w:rPr>
      </w:pPr>
      <w:r>
        <w:rPr>
          <w:rFonts w:hint="eastAsia" w:ascii="宋体" w:hAnsi="宋体" w:cs="宋体"/>
          <w:sz w:val="24"/>
        </w:rPr>
        <w:t>5、中标人要向采购人每月提供项目营运分析报告以及被保险人详细资料和报表等。</w:t>
      </w:r>
    </w:p>
    <w:p>
      <w:pPr>
        <w:pStyle w:val="10"/>
        <w:rPr>
          <w:rFonts w:ascii="宋体" w:hAnsi="宋体" w:cs="宋体"/>
        </w:rPr>
      </w:pPr>
    </w:p>
    <w:p>
      <w:pPr>
        <w:pStyle w:val="11"/>
        <w:ind w:firstLine="480"/>
        <w:rPr>
          <w:rFonts w:ascii="宋体" w:hAnsi="宋体" w:cs="宋体"/>
        </w:rPr>
      </w:pPr>
    </w:p>
    <w:p>
      <w:pPr>
        <w:pStyle w:val="12"/>
        <w:rPr>
          <w:rFonts w:ascii="宋体" w:hAnsi="宋体" w:cs="宋体"/>
          <w:sz w:val="24"/>
        </w:rPr>
      </w:pPr>
    </w:p>
    <w:p>
      <w:pPr>
        <w:rPr>
          <w:rFonts w:ascii="宋体" w:hAnsi="宋体" w:cs="宋体"/>
          <w:sz w:val="24"/>
        </w:rPr>
      </w:pPr>
    </w:p>
    <w:p>
      <w:pPr>
        <w:pStyle w:val="10"/>
        <w:rPr>
          <w:rFonts w:ascii="宋体" w:hAnsi="宋体" w:cs="宋体"/>
        </w:rPr>
      </w:pPr>
    </w:p>
    <w:p>
      <w:pPr>
        <w:pStyle w:val="11"/>
        <w:ind w:firstLine="480"/>
        <w:rPr>
          <w:rFonts w:ascii="宋体" w:hAnsi="宋体" w:cs="宋体"/>
        </w:rPr>
      </w:pPr>
    </w:p>
    <w:p>
      <w:pPr>
        <w:pStyle w:val="12"/>
        <w:rPr>
          <w:rFonts w:ascii="宋体" w:hAnsi="宋体" w:cs="宋体"/>
          <w:sz w:val="24"/>
        </w:rPr>
      </w:pPr>
    </w:p>
    <w:p>
      <w:pPr>
        <w:rPr>
          <w:rFonts w:ascii="宋体" w:hAnsi="宋体" w:cs="宋体"/>
          <w:sz w:val="24"/>
        </w:rPr>
      </w:pPr>
    </w:p>
    <w:p>
      <w:pPr>
        <w:pStyle w:val="10"/>
        <w:rPr>
          <w:rFonts w:ascii="宋体" w:hAnsi="宋体" w:cs="宋体"/>
        </w:rPr>
      </w:pPr>
    </w:p>
    <w:p>
      <w:pPr>
        <w:pStyle w:val="11"/>
        <w:ind w:firstLine="480"/>
        <w:rPr>
          <w:rFonts w:ascii="宋体" w:hAnsi="宋体" w:cs="宋体"/>
        </w:rPr>
      </w:pPr>
    </w:p>
    <w:p>
      <w:pPr>
        <w:pStyle w:val="12"/>
        <w:rPr>
          <w:rFonts w:ascii="宋体" w:hAnsi="宋体" w:cs="宋体"/>
          <w:sz w:val="24"/>
        </w:rPr>
      </w:pPr>
    </w:p>
    <w:p>
      <w:pPr>
        <w:rPr>
          <w:rFonts w:ascii="宋体" w:hAnsi="宋体" w:cs="宋体"/>
          <w:sz w:val="24"/>
        </w:rPr>
      </w:pPr>
    </w:p>
    <w:p>
      <w:pPr>
        <w:pStyle w:val="10"/>
        <w:rPr>
          <w:rFonts w:ascii="宋体" w:hAnsi="宋体" w:cs="宋体"/>
        </w:rPr>
      </w:pPr>
    </w:p>
    <w:p>
      <w:pPr>
        <w:pStyle w:val="11"/>
        <w:ind w:firstLine="480"/>
        <w:rPr>
          <w:rFonts w:ascii="宋体" w:hAnsi="宋体" w:cs="宋体"/>
        </w:rPr>
      </w:pPr>
    </w:p>
    <w:p>
      <w:pPr>
        <w:pStyle w:val="12"/>
        <w:rPr>
          <w:rFonts w:ascii="宋体" w:hAnsi="宋体" w:cs="宋体"/>
          <w:sz w:val="24"/>
        </w:rPr>
      </w:pPr>
    </w:p>
    <w:p>
      <w:pPr>
        <w:rPr>
          <w:rFonts w:ascii="宋体" w:hAnsi="宋体" w:cs="宋体"/>
          <w:sz w:val="24"/>
        </w:rPr>
      </w:pPr>
    </w:p>
    <w:p>
      <w:pPr>
        <w:pStyle w:val="10"/>
        <w:rPr>
          <w:rFonts w:ascii="宋体" w:hAnsi="宋体" w:cs="宋体"/>
        </w:rPr>
      </w:pPr>
    </w:p>
    <w:p>
      <w:pPr>
        <w:pStyle w:val="11"/>
        <w:ind w:firstLine="480"/>
        <w:rPr>
          <w:rFonts w:ascii="宋体" w:hAnsi="宋体" w:cs="宋体"/>
        </w:rPr>
      </w:pPr>
    </w:p>
    <w:p>
      <w:pPr>
        <w:pStyle w:val="12"/>
        <w:rPr>
          <w:rFonts w:ascii="宋体" w:hAnsi="宋体" w:cs="宋体"/>
          <w:sz w:val="24"/>
        </w:rPr>
      </w:pPr>
    </w:p>
    <w:p>
      <w:pPr>
        <w:rPr>
          <w:rFonts w:ascii="宋体" w:hAnsi="宋体" w:cs="宋体"/>
          <w:sz w:val="24"/>
        </w:rPr>
      </w:pPr>
    </w:p>
    <w:p>
      <w:pPr>
        <w:pStyle w:val="10"/>
        <w:rPr>
          <w:rFonts w:ascii="宋体" w:hAnsi="宋体" w:cs="宋体"/>
        </w:rPr>
      </w:pPr>
    </w:p>
    <w:p>
      <w:pPr>
        <w:pStyle w:val="11"/>
        <w:ind w:firstLine="480"/>
        <w:rPr>
          <w:rFonts w:ascii="宋体" w:hAnsi="宋体" w:cs="宋体"/>
        </w:rPr>
      </w:pPr>
    </w:p>
    <w:p>
      <w:pPr>
        <w:pStyle w:val="12"/>
        <w:rPr>
          <w:rFonts w:ascii="宋体" w:hAnsi="宋体" w:cs="宋体"/>
          <w:sz w:val="24"/>
        </w:rPr>
      </w:pPr>
    </w:p>
    <w:p>
      <w:pPr>
        <w:rPr>
          <w:rFonts w:ascii="宋体" w:hAnsi="宋体" w:cs="宋体"/>
          <w:sz w:val="24"/>
        </w:rPr>
      </w:pPr>
    </w:p>
    <w:p>
      <w:pPr>
        <w:pStyle w:val="10"/>
        <w:rPr>
          <w:rFonts w:ascii="宋体" w:hAnsi="宋体" w:cs="宋体"/>
        </w:rPr>
      </w:pPr>
    </w:p>
    <w:p>
      <w:pPr>
        <w:pStyle w:val="11"/>
        <w:ind w:firstLine="480"/>
        <w:rPr>
          <w:rFonts w:ascii="宋体" w:hAnsi="宋体" w:cs="宋体"/>
        </w:rPr>
      </w:pPr>
    </w:p>
    <w:p>
      <w:pPr>
        <w:pStyle w:val="12"/>
        <w:rPr>
          <w:rFonts w:ascii="宋体" w:hAnsi="宋体" w:cs="宋体"/>
          <w:sz w:val="24"/>
        </w:rPr>
      </w:pPr>
    </w:p>
    <w:p>
      <w:pPr>
        <w:rPr>
          <w:rFonts w:ascii="宋体" w:hAnsi="宋体" w:cs="宋体"/>
          <w:sz w:val="24"/>
        </w:rPr>
      </w:pPr>
    </w:p>
    <w:p>
      <w:pPr>
        <w:pStyle w:val="10"/>
        <w:rPr>
          <w:rFonts w:ascii="宋体" w:hAnsi="宋体" w:cs="宋体"/>
        </w:rPr>
      </w:pPr>
    </w:p>
    <w:p>
      <w:pPr>
        <w:pStyle w:val="11"/>
        <w:ind w:firstLine="480"/>
        <w:rPr>
          <w:rFonts w:ascii="宋体" w:hAnsi="宋体" w:cs="宋体"/>
        </w:rPr>
      </w:pPr>
    </w:p>
    <w:p>
      <w:pPr>
        <w:pStyle w:val="12"/>
        <w:rPr>
          <w:rFonts w:ascii="宋体" w:hAnsi="宋体" w:cs="宋体"/>
          <w:sz w:val="24"/>
        </w:rPr>
      </w:pPr>
    </w:p>
    <w:p/>
    <w:p>
      <w:pPr>
        <w:numPr>
          <w:ilvl w:val="0"/>
          <w:numId w:val="4"/>
        </w:numPr>
        <w:spacing w:line="360" w:lineRule="auto"/>
        <w:jc w:val="center"/>
        <w:rPr>
          <w:rFonts w:ascii="宋体" w:hAnsi="宋体" w:cs="宋体"/>
          <w:b/>
          <w:sz w:val="32"/>
          <w:szCs w:val="32"/>
        </w:rPr>
      </w:pPr>
      <w:r>
        <w:rPr>
          <w:rFonts w:hint="eastAsia" w:ascii="宋体" w:hAnsi="宋体" w:cs="宋体"/>
          <w:b/>
          <w:sz w:val="32"/>
          <w:szCs w:val="32"/>
        </w:rPr>
        <w:t>评标</w:t>
      </w:r>
      <w:bookmarkEnd w:id="23"/>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rPr>
          <w:rFonts w:ascii="宋体" w:hAnsi="宋体" w:cs="宋体"/>
          <w:sz w:val="24"/>
        </w:rPr>
      </w:pPr>
      <w:r>
        <w:rPr>
          <w:rFonts w:hint="eastAsia" w:ascii="宋体" w:hAnsi="宋体" w:cs="宋体"/>
          <w:sz w:val="24"/>
        </w:rPr>
        <w:t>综合评分法,是指投标文件满足招标文件全部实质性要求，且按照评审因素的量化指标评审得分最高的投标人为中标候选人的评标方法。本次招标项目的评标方法为综合评分法，总计100分，其中资格及商务技术文件分值70分，投标报价分值30分。评标标准按评分细化条款及分值进行评审。</w:t>
      </w:r>
    </w:p>
    <w:p>
      <w:pPr>
        <w:spacing w:line="360" w:lineRule="auto"/>
        <w:ind w:firstLine="480" w:firstLineChars="200"/>
        <w:rPr>
          <w:rFonts w:ascii="宋体" w:hAnsi="宋体" w:cs="宋体"/>
          <w:sz w:val="24"/>
        </w:rPr>
      </w:pPr>
      <w:r>
        <w:rPr>
          <w:rFonts w:hint="eastAsia" w:ascii="宋体" w:hAnsi="宋体" w:cs="宋体"/>
          <w:sz w:val="24"/>
        </w:rPr>
        <w:t>（一）资格及商务技术文件中的客观分由评标委员会讨论后统一打分；其余在规定的分值内单独评定打分（小数点后保留1位）。</w:t>
      </w:r>
    </w:p>
    <w:p>
      <w:pPr>
        <w:spacing w:line="360" w:lineRule="auto"/>
        <w:ind w:firstLine="480" w:firstLineChars="200"/>
        <w:rPr>
          <w:rFonts w:ascii="宋体" w:hAnsi="宋体" w:cs="宋体"/>
          <w:sz w:val="24"/>
        </w:rPr>
      </w:pPr>
      <w:r>
        <w:rPr>
          <w:rFonts w:hint="eastAsia" w:ascii="宋体" w:hAnsi="宋体" w:cs="宋体"/>
          <w:sz w:val="24"/>
        </w:rPr>
        <w:t>（二）各投标人资格及商务技术文件得分按照评标委员会成员的独立评分结果汇总后的算术平均分计算（小数点后保留2位），计算公式为：</w:t>
      </w:r>
    </w:p>
    <w:p>
      <w:pPr>
        <w:spacing w:line="360" w:lineRule="auto"/>
        <w:ind w:firstLine="480" w:firstLineChars="200"/>
        <w:rPr>
          <w:rFonts w:ascii="宋体" w:hAnsi="宋体" w:cs="宋体"/>
          <w:sz w:val="24"/>
        </w:rPr>
      </w:pPr>
      <w:r>
        <w:rPr>
          <w:rFonts w:hint="eastAsia" w:ascii="宋体" w:hAnsi="宋体" w:cs="宋体"/>
          <w:sz w:val="24"/>
        </w:rPr>
        <w:t>资格及商务技术文件得分=评标委员会所有成员评分合计数/评标委员会组成人员数。</w:t>
      </w:r>
    </w:p>
    <w:p>
      <w:pPr>
        <w:spacing w:line="360" w:lineRule="auto"/>
        <w:ind w:firstLine="480" w:firstLineChars="200"/>
        <w:rPr>
          <w:rFonts w:ascii="宋体" w:hAnsi="宋体" w:cs="宋体"/>
          <w:sz w:val="24"/>
        </w:rPr>
      </w:pPr>
      <w:r>
        <w:rPr>
          <w:rFonts w:hint="eastAsia" w:ascii="宋体" w:hAnsi="宋体" w:cs="宋体"/>
          <w:sz w:val="24"/>
        </w:rPr>
        <w:t>（三）投标报价得分采用低价优先法计算（小数点后保留2位），即满足招标文件要求且投标价格最低的投标报价为评标基准价，其报价得满分。其他投标人的投标报价得分按下列公式计算：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sz w:val="24"/>
        </w:rPr>
      </w:pPr>
      <w:r>
        <w:rPr>
          <w:rFonts w:hint="eastAsia" w:ascii="宋体" w:hAnsi="宋体" w:cs="宋体"/>
          <w:sz w:val="24"/>
        </w:rPr>
        <w:t>投标报价得分=(评标基准价／投标报价)×30%×100 。</w:t>
      </w:r>
    </w:p>
    <w:p>
      <w:pPr>
        <w:spacing w:line="360" w:lineRule="auto"/>
        <w:ind w:firstLine="480" w:firstLineChars="200"/>
        <w:rPr>
          <w:rFonts w:ascii="宋体" w:hAnsi="宋体" w:cs="宋体"/>
          <w:sz w:val="24"/>
        </w:rPr>
      </w:pPr>
      <w:r>
        <w:rPr>
          <w:rFonts w:hint="eastAsia" w:ascii="宋体" w:hAnsi="宋体" w:cs="宋体"/>
          <w:sz w:val="24"/>
        </w:rPr>
        <w:t>（四）投标人综合得分＝资格及商务技术文件得分＋投标报价得分。</w:t>
      </w:r>
    </w:p>
    <w:p>
      <w:pPr>
        <w:pStyle w:val="22"/>
        <w:spacing w:after="0" w:line="360" w:lineRule="auto"/>
        <w:ind w:left="0" w:leftChars="0" w:firstLine="482" w:firstLineChars="200"/>
        <w:rPr>
          <w:rFonts w:ascii="宋体" w:hAnsi="宋体" w:cs="宋体"/>
          <w:b/>
          <w:sz w:val="24"/>
        </w:rPr>
      </w:pPr>
      <w:r>
        <w:rPr>
          <w:rFonts w:hint="eastAsia" w:ascii="宋体" w:hAnsi="宋体" w:cs="宋体"/>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（一）本项目评标委员会由政府采购评审专家和采购单位评审代表组成。成员人数为7人以上单数，其中评审专家不得少于成员总数的三分之二。</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1.参加采购活动前3年内与供应商存在劳动关系；</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2.参加采购活动前3年内担任供应商的董事、监事；</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3.参加采购活动前3年内是供应商的控股股东或者实际控制人；</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4.与供应商的法定代表人或者负责人有夫妻、直系血亲、三代以内旁系血亲或者近姻亲关系；</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5.与供应商有其他可能影响政府采购活动公平、公正进行的关系；</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6.法律法规规定的其他情形。</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（三）评标委员会负责具体评标事务，并独立履行下列职责：</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1.审查、评价投标文件是否符合招标文件的商务、技术等实质性要求；</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2.要求投标人对投标文件有关事项作出澄清或者说明；</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3.对投标文件进行比较和评价；</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4.确定中标候选人名单，以及根据采购人委托直接确定中标人；</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5.向采购人、采购组织机构或者有关部门报告评标中发现的违法行为；</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6.法律法规规定的其他职责。</w:t>
      </w:r>
    </w:p>
    <w:p>
      <w:pPr>
        <w:pStyle w:val="21"/>
        <w:spacing w:before="0" w:beforeAutospacing="0" w:after="0" w:afterAutospacing="0" w:line="360" w:lineRule="auto"/>
        <w:ind w:firstLine="482" w:firstLineChars="200"/>
        <w:jc w:val="both"/>
        <w:rPr>
          <w:rFonts w:hint="default" w:cs="宋体"/>
          <w:b/>
        </w:rPr>
      </w:pPr>
      <w:r>
        <w:rPr>
          <w:rFonts w:cs="宋体"/>
          <w:b/>
        </w:rPr>
        <w:t>四、无效标情形</w:t>
      </w:r>
    </w:p>
    <w:p>
      <w:pPr>
        <w:adjustRightInd w:val="0"/>
        <w:snapToGrid w:val="0"/>
        <w:spacing w:line="360" w:lineRule="auto"/>
        <w:ind w:firstLine="480" w:firstLineChars="200"/>
        <w:rPr>
          <w:rFonts w:ascii="宋体" w:hAnsi="宋体" w:cs="宋体"/>
          <w:b/>
          <w:bCs/>
          <w:sz w:val="24"/>
        </w:rPr>
      </w:pPr>
      <w:r>
        <w:rPr>
          <w:rFonts w:hint="eastAsia" w:ascii="宋体" w:hAnsi="宋体" w:cs="宋体"/>
          <w:kern w:val="0"/>
          <w:sz w:val="24"/>
        </w:rPr>
        <w:t>（一）在资格证明文件或商务与技术文件中出现投标报价的，或者报价文件中报价的服务跟商务与技术文件中的投标服务出现重大偏差的；</w:t>
      </w:r>
    </w:p>
    <w:p>
      <w:pPr>
        <w:pStyle w:val="21"/>
        <w:tabs>
          <w:tab w:val="left" w:pos="7380"/>
        </w:tabs>
        <w:adjustRightInd w:val="0"/>
        <w:snapToGrid w:val="0"/>
        <w:spacing w:before="0" w:beforeAutospacing="0" w:after="0" w:afterAutospacing="0" w:line="360" w:lineRule="auto"/>
        <w:ind w:firstLine="480" w:firstLineChars="200"/>
        <w:jc w:val="both"/>
        <w:rPr>
          <w:rFonts w:hint="default" w:cs="宋体"/>
        </w:rPr>
      </w:pPr>
      <w:r>
        <w:rPr>
          <w:rFonts w:cs="宋体"/>
        </w:rPr>
        <w:t>（二）不具备招标文件中规定的资格要求的；</w:t>
      </w:r>
      <w:r>
        <w:rPr>
          <w:rFonts w:cs="宋体"/>
        </w:rPr>
        <w:tab/>
      </w:r>
    </w:p>
    <w:p>
      <w:pPr>
        <w:pStyle w:val="21"/>
        <w:adjustRightInd w:val="0"/>
        <w:snapToGrid w:val="0"/>
        <w:spacing w:before="0" w:beforeAutospacing="0" w:after="0" w:afterAutospacing="0" w:line="360" w:lineRule="auto"/>
        <w:ind w:firstLine="480" w:firstLineChars="200"/>
        <w:jc w:val="both"/>
        <w:rPr>
          <w:rFonts w:hint="default" w:cs="宋体"/>
        </w:rPr>
      </w:pPr>
      <w:r>
        <w:rPr>
          <w:rFonts w:cs="宋体"/>
        </w:rPr>
        <w:t>（三）投标文件含有采购人不能接受的附加条件的；</w:t>
      </w:r>
    </w:p>
    <w:p>
      <w:pPr>
        <w:pStyle w:val="9"/>
        <w:spacing w:line="360" w:lineRule="auto"/>
        <w:ind w:firstLine="480" w:firstLineChars="200"/>
        <w:jc w:val="both"/>
        <w:rPr>
          <w:rFonts w:ascii="宋体" w:hAnsi="宋体" w:cs="宋体"/>
          <w:bCs/>
          <w:kern w:val="0"/>
          <w:sz w:val="24"/>
        </w:rPr>
      </w:pPr>
      <w:r>
        <w:rPr>
          <w:rFonts w:hint="eastAsia" w:ascii="宋体" w:hAnsi="宋体" w:cs="宋体"/>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1"/>
        <w:adjustRightInd w:val="0"/>
        <w:snapToGrid w:val="0"/>
        <w:spacing w:before="0" w:beforeAutospacing="0" w:after="0" w:afterAutospacing="0" w:line="360" w:lineRule="auto"/>
        <w:ind w:firstLine="480" w:firstLineChars="200"/>
        <w:jc w:val="both"/>
        <w:rPr>
          <w:rFonts w:hint="default" w:cs="宋体"/>
        </w:rPr>
      </w:pPr>
      <w:r>
        <w:rPr>
          <w:rFonts w:cs="宋体"/>
        </w:rPr>
        <w:t xml:space="preserve">（五）报价超过招标文件中规定的预算金额/最高限价或未填写投标报价的； </w:t>
      </w:r>
    </w:p>
    <w:p>
      <w:pPr>
        <w:pStyle w:val="9"/>
        <w:spacing w:line="360" w:lineRule="auto"/>
        <w:ind w:firstLine="480" w:firstLineChars="200"/>
        <w:rPr>
          <w:rFonts w:ascii="宋体" w:hAnsi="宋体" w:cs="宋体"/>
          <w:b/>
          <w:bCs/>
          <w:kern w:val="0"/>
          <w:sz w:val="24"/>
        </w:rPr>
      </w:pPr>
      <w:r>
        <w:rPr>
          <w:rFonts w:hint="eastAsia" w:ascii="宋体" w:hAnsi="宋体" w:cs="宋体"/>
          <w:kern w:val="0"/>
          <w:sz w:val="24"/>
        </w:rPr>
        <w:t>（六）主要性能参数指标负偏离</w:t>
      </w:r>
      <w:r>
        <w:rPr>
          <w:rFonts w:hint="eastAsia" w:ascii="宋体" w:hAnsi="宋体" w:cs="宋体"/>
          <w:kern w:val="0"/>
          <w:sz w:val="24"/>
          <w:u w:val="single"/>
        </w:rPr>
        <w:t xml:space="preserve"> 5 </w:t>
      </w:r>
      <w:r>
        <w:rPr>
          <w:rFonts w:hint="eastAsia" w:ascii="宋体" w:hAnsi="宋体" w:cs="宋体"/>
          <w:kern w:val="0"/>
          <w:sz w:val="24"/>
        </w:rPr>
        <w:t>项（含）以上的；</w:t>
      </w:r>
    </w:p>
    <w:p>
      <w:pPr>
        <w:tabs>
          <w:tab w:val="left" w:pos="1898"/>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（九）有中华人民共和国财政部令第87号《政府采购货物和服务招标投标管理办法》第三十七条情形之一的，视为投标人串通投标，其投标无效，并移送采购监管部门：</w:t>
      </w:r>
    </w:p>
    <w:p>
      <w:pPr>
        <w:tabs>
          <w:tab w:val="left" w:pos="189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1.不同投标人的投标文件由同一单位或者个人编制；</w:t>
      </w:r>
    </w:p>
    <w:p>
      <w:pPr>
        <w:pStyle w:val="21"/>
        <w:spacing w:before="0" w:beforeAutospacing="0" w:after="0" w:afterAutospacing="0" w:line="360" w:lineRule="auto"/>
        <w:ind w:firstLine="480" w:firstLineChars="200"/>
        <w:jc w:val="both"/>
        <w:rPr>
          <w:rFonts w:hint="default" w:cs="宋体"/>
        </w:rPr>
      </w:pPr>
      <w:r>
        <w:rPr>
          <w:rFonts w:cs="宋体"/>
        </w:rPr>
        <w:t>2.不同投标人委托同一单位或者个人办理投标事宜；</w:t>
      </w:r>
    </w:p>
    <w:p>
      <w:pPr>
        <w:pStyle w:val="21"/>
        <w:spacing w:before="0" w:beforeAutospacing="0" w:after="0" w:afterAutospacing="0" w:line="360" w:lineRule="auto"/>
        <w:ind w:firstLine="480" w:firstLineChars="200"/>
        <w:jc w:val="both"/>
        <w:rPr>
          <w:rFonts w:hint="default" w:cs="宋体"/>
        </w:rPr>
      </w:pPr>
      <w:r>
        <w:rPr>
          <w:rFonts w:cs="宋体"/>
        </w:rPr>
        <w:t>3.不同投标人的投标文件载明的项目管理成员或者联系人员为同一人；</w:t>
      </w:r>
    </w:p>
    <w:p>
      <w:pPr>
        <w:pStyle w:val="21"/>
        <w:spacing w:before="0" w:beforeAutospacing="0" w:after="0" w:afterAutospacing="0" w:line="360" w:lineRule="auto"/>
        <w:ind w:firstLine="480" w:firstLineChars="200"/>
        <w:jc w:val="both"/>
        <w:rPr>
          <w:rFonts w:hint="default" w:cs="宋体"/>
        </w:rPr>
      </w:pPr>
      <w:r>
        <w:rPr>
          <w:rFonts w:cs="宋体"/>
        </w:rPr>
        <w:t>4.不同投标人的投标文件异常一致或者投标报价呈规律性差异；</w:t>
      </w:r>
    </w:p>
    <w:p>
      <w:pPr>
        <w:pStyle w:val="21"/>
        <w:spacing w:before="0" w:beforeAutospacing="0" w:after="0" w:afterAutospacing="0" w:line="360" w:lineRule="auto"/>
        <w:ind w:firstLine="480" w:firstLineChars="200"/>
        <w:jc w:val="both"/>
        <w:rPr>
          <w:rFonts w:hint="default" w:cs="宋体"/>
        </w:rPr>
      </w:pPr>
      <w:r>
        <w:rPr>
          <w:rFonts w:cs="宋体"/>
        </w:rPr>
        <w:t>5.不同投标人的投标文件相互混装。</w:t>
      </w:r>
    </w:p>
    <w:p>
      <w:pPr>
        <w:pStyle w:val="21"/>
        <w:spacing w:before="0" w:beforeAutospacing="0" w:after="0" w:afterAutospacing="0" w:line="360" w:lineRule="auto"/>
        <w:ind w:firstLine="480" w:firstLineChars="200"/>
        <w:jc w:val="both"/>
        <w:rPr>
          <w:rFonts w:hint="default" w:cs="宋体"/>
        </w:rPr>
      </w:pPr>
      <w:r>
        <w:rPr>
          <w:rFonts w:cs="宋体"/>
        </w:rPr>
        <w:t>（十）实质性要求（招标文件中打“▲”内容）不响应的；</w:t>
      </w:r>
    </w:p>
    <w:p>
      <w:pPr>
        <w:pStyle w:val="8"/>
        <w:spacing w:line="360" w:lineRule="auto"/>
        <w:ind w:firstLine="480" w:firstLineChars="200"/>
        <w:rPr>
          <w:rFonts w:ascii="宋体" w:hAnsi="宋体" w:cs="宋体"/>
          <w:kern w:val="0"/>
          <w:sz w:val="24"/>
          <w:szCs w:val="24"/>
        </w:rPr>
      </w:pPr>
      <w:r>
        <w:rPr>
          <w:rFonts w:hint="eastAsia" w:ascii="宋体" w:hAnsi="宋体" w:cs="宋体"/>
          <w:kern w:val="0"/>
          <w:sz w:val="24"/>
          <w:szCs w:val="24"/>
        </w:rPr>
        <w:t>（十一）商务条款不响应的；</w:t>
      </w:r>
    </w:p>
    <w:p>
      <w:pPr>
        <w:pStyle w:val="8"/>
        <w:spacing w:line="360" w:lineRule="auto"/>
        <w:ind w:firstLine="480" w:firstLineChars="200"/>
        <w:rPr>
          <w:rFonts w:ascii="宋体" w:hAnsi="宋体" w:cs="宋体"/>
          <w:kern w:val="0"/>
          <w:sz w:val="24"/>
          <w:szCs w:val="24"/>
        </w:rPr>
      </w:pPr>
      <w:r>
        <w:rPr>
          <w:rFonts w:hint="eastAsia" w:ascii="宋体" w:hAnsi="宋体" w:cs="宋体"/>
          <w:kern w:val="0"/>
          <w:sz w:val="24"/>
          <w:szCs w:val="24"/>
        </w:rPr>
        <w:t>（十二）投标文件有效期不足的；</w:t>
      </w:r>
    </w:p>
    <w:p>
      <w:pPr>
        <w:pStyle w:val="8"/>
        <w:spacing w:line="360" w:lineRule="auto"/>
        <w:ind w:firstLine="480" w:firstLineChars="200"/>
        <w:rPr>
          <w:rFonts w:ascii="宋体" w:hAnsi="宋体" w:cs="宋体"/>
          <w:kern w:val="0"/>
          <w:sz w:val="24"/>
          <w:szCs w:val="24"/>
        </w:rPr>
      </w:pPr>
      <w:r>
        <w:rPr>
          <w:rFonts w:hint="eastAsia" w:ascii="宋体" w:hAnsi="宋体" w:cs="宋体"/>
          <w:kern w:val="0"/>
          <w:sz w:val="24"/>
          <w:szCs w:val="24"/>
        </w:rPr>
        <w:t>（十三）逾期或未按要求提交投标文件的；</w:t>
      </w:r>
    </w:p>
    <w:p>
      <w:pPr>
        <w:pStyle w:val="8"/>
        <w:spacing w:line="360" w:lineRule="auto"/>
        <w:ind w:firstLine="480" w:firstLineChars="200"/>
        <w:rPr>
          <w:rFonts w:ascii="宋体" w:hAnsi="宋体" w:cs="宋体"/>
          <w:kern w:val="0"/>
          <w:sz w:val="24"/>
          <w:szCs w:val="24"/>
        </w:rPr>
      </w:pPr>
      <w:r>
        <w:rPr>
          <w:rFonts w:hint="eastAsia" w:ascii="宋体" w:hAnsi="宋体" w:cs="宋体"/>
          <w:kern w:val="0"/>
          <w:sz w:val="24"/>
          <w:szCs w:val="24"/>
        </w:rPr>
        <w:t>（十四）其他</w:t>
      </w:r>
      <w:r>
        <w:rPr>
          <w:rFonts w:hint="eastAsia" w:ascii="宋体" w:hAnsi="宋体" w:cs="宋体"/>
          <w:sz w:val="24"/>
          <w:szCs w:val="24"/>
        </w:rPr>
        <w:t>不符合法律法规相关规定的。</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1"/>
        <w:spacing w:before="0" w:beforeAutospacing="0" w:after="0" w:afterAutospacing="0" w:line="360" w:lineRule="auto"/>
        <w:ind w:firstLine="480" w:firstLineChars="200"/>
        <w:jc w:val="both"/>
        <w:rPr>
          <w:rFonts w:hint="default" w:cs="宋体"/>
        </w:rPr>
      </w:pPr>
      <w:r>
        <w:rPr>
          <w:rFonts w:cs="宋体"/>
        </w:rPr>
        <w:t>（一）出现影响采购公正的违法、违规行为的；</w:t>
      </w:r>
    </w:p>
    <w:p>
      <w:pPr>
        <w:pStyle w:val="21"/>
        <w:spacing w:before="0" w:beforeAutospacing="0" w:after="0" w:afterAutospacing="0" w:line="360" w:lineRule="auto"/>
        <w:ind w:firstLine="480" w:firstLineChars="200"/>
        <w:jc w:val="both"/>
        <w:rPr>
          <w:rFonts w:hint="default" w:cs="宋体"/>
          <w:b/>
          <w:bCs/>
        </w:rPr>
      </w:pPr>
      <w:r>
        <w:rPr>
          <w:rFonts w:cs="宋体"/>
        </w:rPr>
        <w:t>（二）评标委员会发现招标文件存在歧义、重大缺陷导致评标工作无法进行，或者招标文件内容违反国家有关强制性规定的；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rPr>
      </w:pPr>
      <w:r>
        <w:rPr>
          <w:rFonts w:cs="宋体"/>
        </w:rPr>
        <w:t>（三）因重大变故，采购任务取消的；</w:t>
      </w:r>
    </w:p>
    <w:p>
      <w:pPr>
        <w:pStyle w:val="21"/>
        <w:spacing w:before="0" w:beforeAutospacing="0" w:after="0" w:afterAutospacing="0" w:line="360" w:lineRule="auto"/>
        <w:ind w:firstLine="480" w:firstLineChars="200"/>
        <w:jc w:val="both"/>
        <w:rPr>
          <w:rFonts w:hint="default" w:cs="宋体"/>
        </w:rPr>
      </w:pPr>
      <w:r>
        <w:rPr>
          <w:rFonts w:cs="宋体"/>
        </w:rPr>
        <w:t>（四）法律、法规和招标文件规定的其他导致评标结果无效的。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hAnsi="宋体" w:cs="宋体"/>
          <w:b/>
          <w:bCs/>
          <w:sz w:val="24"/>
          <w:lang w:val="zh-CN"/>
        </w:rPr>
      </w:pPr>
      <w:r>
        <w:rPr>
          <w:rFonts w:hint="eastAsia" w:ascii="宋体" w:hAnsi="宋体" w:cs="宋体"/>
          <w:b/>
          <w:bCs/>
          <w:sz w:val="24"/>
        </w:rPr>
        <w:t>（一）</w:t>
      </w:r>
      <w:r>
        <w:rPr>
          <w:rFonts w:hint="eastAsia" w:ascii="宋体" w:hAnsi="宋体" w:cs="宋体"/>
          <w:b/>
          <w:bCs/>
          <w:sz w:val="24"/>
          <w:lang w:val="zh-CN"/>
        </w:rPr>
        <w:t>政府采购政策：</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hAnsi="宋体" w:cs="宋体"/>
          <w:sz w:val="24"/>
        </w:rPr>
        <w:t>中</w:t>
      </w:r>
      <w:r>
        <w:rPr>
          <w:rFonts w:hint="eastAsia" w:ascii="宋体" w:hAnsi="宋体" w:cs="宋体"/>
          <w:sz w:val="24"/>
          <w:lang w:val="zh-CN"/>
        </w:rPr>
        <w:t>小企业声明函》（</w:t>
      </w:r>
      <w:r>
        <w:rPr>
          <w:rFonts w:hint="eastAsia" w:ascii="宋体" w:hAnsi="宋体" w:cs="宋体"/>
          <w:sz w:val="24"/>
        </w:rPr>
        <w:t>见附件18</w:t>
      </w:r>
      <w:r>
        <w:rPr>
          <w:rFonts w:hint="eastAsia" w:ascii="宋体" w:hAnsi="宋体" w:cs="宋体"/>
          <w:sz w:val="24"/>
          <w:lang w:val="zh-CN"/>
        </w:rPr>
        <w:t>），</w:t>
      </w:r>
      <w:r>
        <w:rPr>
          <w:rFonts w:hint="eastAsia" w:ascii="宋体" w:hAnsi="宋体" w:cs="宋体"/>
          <w:sz w:val="24"/>
        </w:rPr>
        <w:t>投标人未提供以上资料或者经</w:t>
      </w:r>
      <w:r>
        <w:rPr>
          <w:rFonts w:hint="eastAsia" w:ascii="宋体" w:hAnsi="宋体" w:cs="宋体"/>
          <w:sz w:val="24"/>
          <w:lang w:val="zh-CN"/>
        </w:rPr>
        <w:t>评标委员会核查不符的</w:t>
      </w:r>
      <w:r>
        <w:rPr>
          <w:rFonts w:hint="eastAsia" w:ascii="宋体" w:hAnsi="宋体" w:cs="宋体"/>
          <w:sz w:val="24"/>
        </w:rPr>
        <w:t>，将不能享受相应的小微企业优惠政策；</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残疾人福利性单位在参加政府采购活动时，应提供《残疾人福利性单位声明函》（见附件</w:t>
      </w:r>
      <w:r>
        <w:rPr>
          <w:rFonts w:hint="eastAsia" w:ascii="宋体" w:hAnsi="宋体" w:cs="宋体"/>
          <w:sz w:val="24"/>
        </w:rPr>
        <w:t>18</w:t>
      </w:r>
      <w:r>
        <w:rPr>
          <w:rFonts w:hint="eastAsia" w:ascii="宋体" w:hAnsi="宋体" w:cs="宋体"/>
          <w:sz w:val="24"/>
          <w:lang w:val="zh-CN"/>
        </w:rPr>
        <w:t>），视同小型、微型企业，享受小微企业政府采购优惠政策。</w:t>
      </w:r>
    </w:p>
    <w:p>
      <w:pPr>
        <w:autoSpaceDE w:val="0"/>
        <w:autoSpaceDN w:val="0"/>
        <w:adjustRightInd w:val="0"/>
        <w:spacing w:line="360" w:lineRule="auto"/>
        <w:ind w:firstLine="482" w:firstLineChars="200"/>
        <w:rPr>
          <w:rFonts w:ascii="宋体" w:hAnsi="宋体" w:cs="宋体"/>
          <w:b/>
          <w:bCs/>
          <w:sz w:val="24"/>
          <w:lang w:val="zh-CN"/>
        </w:rPr>
      </w:pPr>
      <w:r>
        <w:rPr>
          <w:rFonts w:hint="eastAsia" w:ascii="宋体" w:hAnsi="宋体" w:cs="宋体"/>
          <w:b/>
          <w:bCs/>
          <w:sz w:val="24"/>
        </w:rPr>
        <w:t>（二）政府采购政策优惠措施：</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color w:val="000000"/>
          <w:sz w:val="24"/>
          <w:lang w:val="zh-CN"/>
        </w:rPr>
        <w:t>经主管预算单位统筹后未预留份额专门面向中小企业采购的采购项目，以及预留份额项目中的非预留部分：</w:t>
      </w:r>
      <w:r>
        <w:rPr>
          <w:rFonts w:hint="eastAsia" w:ascii="宋体" w:hAnsi="宋体" w:cs="宋体"/>
          <w:color w:val="000000"/>
          <w:sz w:val="24"/>
        </w:rPr>
        <w:t>对</w:t>
      </w:r>
      <w:r>
        <w:rPr>
          <w:rFonts w:hint="eastAsia" w:ascii="宋体" w:hAnsi="宋体" w:cs="宋体"/>
          <w:color w:val="000000"/>
          <w:sz w:val="24"/>
          <w:lang w:val="zh-CN"/>
        </w:rPr>
        <w:t>小微企业</w:t>
      </w:r>
      <w:r>
        <w:rPr>
          <w:rFonts w:hint="eastAsia" w:ascii="宋体" w:hAnsi="宋体" w:cs="宋体"/>
          <w:color w:val="000000"/>
          <w:sz w:val="24"/>
        </w:rPr>
        <w:t>报价</w:t>
      </w:r>
      <w:r>
        <w:rPr>
          <w:rFonts w:hint="eastAsia" w:ascii="宋体" w:hAnsi="宋体" w:cs="宋体"/>
          <w:color w:val="000000"/>
          <w:sz w:val="24"/>
          <w:lang w:val="zh-CN"/>
        </w:rPr>
        <w:t>给予</w:t>
      </w:r>
      <w:r>
        <w:rPr>
          <w:rFonts w:hint="eastAsia" w:ascii="宋体" w:hAnsi="宋体" w:cs="宋体"/>
          <w:b/>
          <w:bCs/>
          <w:color w:val="000000"/>
          <w:sz w:val="24"/>
          <w:lang w:val="zh-CN"/>
        </w:rPr>
        <w:t xml:space="preserve"> 6 %-10%</w:t>
      </w:r>
      <w:r>
        <w:rPr>
          <w:rFonts w:hint="eastAsia" w:ascii="宋体" w:hAnsi="宋体" w:cs="宋体"/>
          <w:color w:val="000000"/>
          <w:sz w:val="24"/>
          <w:lang w:val="zh-CN"/>
        </w:rPr>
        <w:t>的扣除，用扣除后的价格计算评标基准价和投标报价。联合体各方均为小微企业的，联合体视同为小微企业，</w:t>
      </w:r>
      <w:r>
        <w:rPr>
          <w:rFonts w:hint="eastAsia" w:ascii="宋体" w:hAnsi="宋体" w:cs="宋体"/>
          <w:color w:val="000000"/>
          <w:sz w:val="24"/>
        </w:rPr>
        <w:t>对报价</w:t>
      </w:r>
      <w:r>
        <w:rPr>
          <w:rFonts w:hint="eastAsia" w:ascii="宋体" w:hAnsi="宋体" w:cs="宋体"/>
          <w:color w:val="000000"/>
          <w:sz w:val="24"/>
          <w:lang w:val="zh-CN"/>
        </w:rPr>
        <w:t>给予</w:t>
      </w:r>
      <w:r>
        <w:rPr>
          <w:rFonts w:hint="eastAsia" w:ascii="宋体" w:hAnsi="宋体" w:cs="宋体"/>
          <w:b/>
          <w:bCs/>
          <w:color w:val="000000"/>
          <w:sz w:val="24"/>
          <w:lang w:val="zh-CN"/>
        </w:rPr>
        <w:t xml:space="preserve"> 6 %-10%</w:t>
      </w:r>
      <w:r>
        <w:rPr>
          <w:rFonts w:hint="eastAsia" w:ascii="宋体" w:hAnsi="宋体" w:cs="宋体"/>
          <w:color w:val="000000"/>
          <w:sz w:val="24"/>
          <w:lang w:val="zh-CN"/>
        </w:rPr>
        <w:t>的扣除；联合协议或者分包意向协议约定小微企业的合同份额占到合同总金额 30%以</w:t>
      </w:r>
      <w:r>
        <w:rPr>
          <w:rFonts w:hint="eastAsia" w:ascii="宋体" w:hAnsi="宋体" w:cs="宋体"/>
          <w:sz w:val="24"/>
          <w:lang w:val="zh-CN"/>
        </w:rPr>
        <w:t>上的，</w:t>
      </w:r>
      <w:r>
        <w:rPr>
          <w:rFonts w:hint="eastAsia" w:ascii="宋体" w:hAnsi="宋体" w:cs="宋体"/>
          <w:sz w:val="24"/>
        </w:rPr>
        <w:t>对报价</w:t>
      </w:r>
      <w:r>
        <w:rPr>
          <w:rFonts w:hint="eastAsia" w:ascii="宋体" w:hAnsi="宋体" w:cs="宋体"/>
          <w:sz w:val="24"/>
          <w:lang w:val="zh-CN"/>
        </w:rPr>
        <w:t>给予</w:t>
      </w:r>
      <w:r>
        <w:rPr>
          <w:rFonts w:hint="eastAsia" w:ascii="宋体" w:hAnsi="宋体" w:cs="宋体"/>
          <w:b/>
          <w:bCs/>
          <w:sz w:val="24"/>
          <w:lang w:val="zh-CN"/>
        </w:rPr>
        <w:t>2%</w:t>
      </w:r>
      <w:r>
        <w:rPr>
          <w:rFonts w:hint="eastAsia" w:ascii="宋体" w:hAnsi="宋体" w:cs="宋体"/>
          <w:b/>
          <w:bCs/>
          <w:sz w:val="24"/>
        </w:rPr>
        <w:t>-3%</w:t>
      </w:r>
      <w:r>
        <w:rPr>
          <w:rFonts w:hint="eastAsia" w:ascii="宋体" w:hAnsi="宋体" w:cs="宋体"/>
          <w:sz w:val="24"/>
          <w:lang w:val="zh-CN"/>
        </w:rPr>
        <w:t>的价格扣除，用扣除后的价格计算评标基准价和响应报价。同一投标人（包括联合体），小微企业、监狱企业、残疾人福利性单位价格扣除优惠只享受一次，不得重复享受。</w:t>
      </w:r>
    </w:p>
    <w:p>
      <w:pPr>
        <w:spacing w:line="360" w:lineRule="auto"/>
        <w:ind w:firstLine="480" w:firstLineChars="200"/>
        <w:rPr>
          <w:rFonts w:ascii="宋体" w:hAnsi="宋体" w:cs="宋体"/>
          <w:sz w:val="24"/>
        </w:rPr>
      </w:pPr>
      <w:r>
        <w:rPr>
          <w:rFonts w:hint="eastAsia" w:ascii="宋体" w:hAnsi="宋体" w:cs="宋体"/>
          <w:sz w:val="24"/>
        </w:rPr>
        <w:t>本项目对符合规定的小微企业（含小型企业）报价给予6% 的扣除。</w:t>
      </w:r>
    </w:p>
    <w:p>
      <w:pPr>
        <w:pStyle w:val="14"/>
        <w:snapToGrid w:val="0"/>
        <w:spacing w:line="360" w:lineRule="auto"/>
        <w:ind w:firstLine="482" w:firstLineChars="200"/>
        <w:rPr>
          <w:rFonts w:hAnsi="宋体" w:cs="宋体"/>
          <w:b/>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（一）资格审查</w:t>
      </w:r>
    </w:p>
    <w:p>
      <w:pPr>
        <w:pStyle w:val="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hint="eastAsia" w:ascii="宋体" w:hAnsi="宋体" w:cs="宋体"/>
          <w:sz w:val="24"/>
        </w:rPr>
        <w:t>在政采云平台公布无效投标的投标人名单、投标无效的原因。</w:t>
      </w:r>
    </w:p>
    <w:tbl>
      <w:tblPr>
        <w:tblStyle w:val="2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50"/>
              <w:spacing w:before="1" w:line="360" w:lineRule="auto"/>
              <w:ind w:right="3" w:hanging="10"/>
              <w:jc w:val="center"/>
              <w:rPr>
                <w:sz w:val="24"/>
              </w:rPr>
            </w:pPr>
            <w:r>
              <w:rPr>
                <w:rFonts w:hint="eastAsia"/>
                <w:sz w:val="24"/>
              </w:rPr>
              <w:t>具有独立承担民事责任的能力</w:t>
            </w:r>
          </w:p>
        </w:tc>
        <w:tc>
          <w:tcPr>
            <w:tcW w:w="7092" w:type="dxa"/>
            <w:tcMar>
              <w:top w:w="57" w:type="dxa"/>
              <w:left w:w="108" w:type="dxa"/>
              <w:bottom w:w="0" w:type="dxa"/>
              <w:right w:w="108" w:type="dxa"/>
            </w:tcMar>
            <w:vAlign w:val="center"/>
          </w:tcPr>
          <w:p>
            <w:pPr>
              <w:pStyle w:val="50"/>
              <w:spacing w:line="360" w:lineRule="auto"/>
              <w:ind w:left="15" w:leftChars="7" w:right="-17" w:rightChars="-8" w:firstLine="460" w:firstLineChars="192"/>
              <w:rPr>
                <w:sz w:val="24"/>
              </w:rPr>
            </w:pPr>
            <w:r>
              <w:rPr>
                <w:rFonts w:hint="eastAsia"/>
                <w:sz w:val="24"/>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pPr>
              <w:pStyle w:val="50"/>
              <w:spacing w:before="1" w:line="360" w:lineRule="auto"/>
              <w:ind w:right="3" w:hanging="10"/>
              <w:jc w:val="center"/>
              <w:rPr>
                <w:sz w:val="24"/>
              </w:rPr>
            </w:pPr>
            <w:r>
              <w:rPr>
                <w:rFonts w:hint="eastAsia"/>
                <w:sz w:val="24"/>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0"/>
              <w:spacing w:line="360" w:lineRule="auto"/>
              <w:ind w:left="15" w:leftChars="7" w:right="-17" w:rightChars="-8" w:firstLine="460" w:firstLineChars="192"/>
              <w:rPr>
                <w:sz w:val="24"/>
              </w:rPr>
            </w:pPr>
            <w:r>
              <w:rPr>
                <w:rFonts w:hint="eastAsia"/>
                <w:sz w:val="24"/>
              </w:rPr>
              <w:t>提供投标截至日前6个月内任意1个月依法缴纳税收和社会保障资金的相关材料。如依法免税或不需要缴纳社会保障资金的，提供相应证明材料（以联合体形式投标时，联合体各方均须满足该条款）。（附件2.1）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50"/>
              <w:spacing w:before="1" w:line="360" w:lineRule="auto"/>
              <w:ind w:right="3" w:hanging="10"/>
              <w:jc w:val="center"/>
              <w:rPr>
                <w:sz w:val="24"/>
              </w:rPr>
            </w:pPr>
            <w:r>
              <w:rPr>
                <w:rFonts w:hint="eastAsia"/>
                <w:sz w:val="24"/>
              </w:rPr>
              <w:t>具有良好的商业信誉和健全的财务会计制度</w:t>
            </w:r>
          </w:p>
        </w:tc>
        <w:tc>
          <w:tcPr>
            <w:tcW w:w="7092" w:type="dxa"/>
            <w:tcMar>
              <w:top w:w="57" w:type="dxa"/>
              <w:left w:w="108" w:type="dxa"/>
              <w:bottom w:w="0" w:type="dxa"/>
              <w:right w:w="108" w:type="dxa"/>
            </w:tcMar>
            <w:vAlign w:val="center"/>
          </w:tcPr>
          <w:p>
            <w:pPr>
              <w:pStyle w:val="50"/>
              <w:spacing w:before="117" w:line="360" w:lineRule="auto"/>
              <w:ind w:left="15" w:leftChars="7" w:right="-17" w:rightChars="-8" w:firstLine="460" w:firstLineChars="192"/>
              <w:rPr>
                <w:sz w:val="24"/>
              </w:rPr>
            </w:pPr>
            <w:r>
              <w:rPr>
                <w:rFonts w:hint="eastAsia"/>
                <w:sz w:val="24"/>
              </w:rPr>
              <w:t>提供上一年度财务状况报告或基本开户行出具的资信证明（以联合体形式投标时，联合体各方均须满足该条款）。（附件2.1）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pPr>
              <w:pStyle w:val="50"/>
              <w:spacing w:before="1" w:line="360" w:lineRule="auto"/>
              <w:ind w:right="3" w:hanging="10"/>
              <w:jc w:val="center"/>
              <w:rPr>
                <w:sz w:val="24"/>
              </w:rPr>
            </w:pPr>
            <w:r>
              <w:rPr>
                <w:rFonts w:hint="eastAsia"/>
                <w:sz w:val="24"/>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0"/>
              <w:spacing w:before="1" w:line="360" w:lineRule="auto"/>
              <w:ind w:left="15" w:leftChars="7" w:right="-17" w:rightChars="-8" w:firstLine="460" w:firstLineChars="192"/>
              <w:rPr>
                <w:sz w:val="24"/>
              </w:rPr>
            </w:pPr>
            <w:r>
              <w:rPr>
                <w:rFonts w:hint="eastAsia"/>
                <w:sz w:val="24"/>
              </w:rPr>
              <w:t>按投标文件格式填报设备及专业技术能力情况（附件2.2）。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参加采购活动前3年内，在经营活动中没有重大违法记录</w:t>
            </w:r>
          </w:p>
        </w:tc>
        <w:tc>
          <w:tcPr>
            <w:tcW w:w="7092" w:type="dxa"/>
            <w:tcMar>
              <w:top w:w="57" w:type="dxa"/>
              <w:left w:w="108" w:type="dxa"/>
              <w:bottom w:w="0" w:type="dxa"/>
              <w:right w:w="108" w:type="dxa"/>
            </w:tcMar>
            <w:vAlign w:val="center"/>
          </w:tcPr>
          <w:p>
            <w:pPr>
              <w:pStyle w:val="50"/>
              <w:spacing w:before="48" w:line="360" w:lineRule="auto"/>
              <w:ind w:left="15" w:leftChars="7" w:right="-17" w:rightChars="-8" w:firstLine="460" w:firstLineChars="192"/>
              <w:rPr>
                <w:sz w:val="24"/>
              </w:rPr>
            </w:pPr>
            <w:r>
              <w:rPr>
                <w:rFonts w:hint="eastAsia"/>
                <w:sz w:val="24"/>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信用记录</w:t>
            </w:r>
          </w:p>
        </w:tc>
        <w:tc>
          <w:tcPr>
            <w:tcW w:w="7092" w:type="dxa"/>
            <w:shd w:val="clear" w:color="auto" w:fill="F6F6F6"/>
            <w:tcMar>
              <w:top w:w="57" w:type="dxa"/>
              <w:left w:w="108" w:type="dxa"/>
              <w:bottom w:w="0" w:type="dxa"/>
              <w:right w:w="108" w:type="dxa"/>
            </w:tcMar>
            <w:vAlign w:val="center"/>
          </w:tcPr>
          <w:p>
            <w:pPr>
              <w:spacing w:line="360" w:lineRule="auto"/>
              <w:ind w:left="15" w:leftChars="7" w:right="-17" w:rightChars="-8" w:firstLine="460" w:firstLineChars="192"/>
              <w:rPr>
                <w:rFonts w:ascii="宋体" w:hAnsi="宋体" w:cs="宋体"/>
                <w:sz w:val="24"/>
              </w:rPr>
            </w:pPr>
            <w:r>
              <w:rPr>
                <w:rFonts w:hint="eastAsia" w:ascii="宋体" w:hAnsi="宋体" w:cs="宋体"/>
                <w:sz w:val="24"/>
              </w:rPr>
              <w:t>1.截至时点：开标后评标前。</w:t>
            </w:r>
          </w:p>
          <w:p>
            <w:pPr>
              <w:spacing w:line="360" w:lineRule="auto"/>
              <w:ind w:left="15" w:leftChars="7" w:right="-17" w:rightChars="-8" w:firstLine="460" w:firstLineChars="192"/>
              <w:rPr>
                <w:rFonts w:ascii="宋体" w:hAnsi="宋体" w:cs="宋体"/>
                <w:sz w:val="24"/>
              </w:rPr>
            </w:pPr>
            <w:r>
              <w:rPr>
                <w:rFonts w:hint="eastAsia" w:ascii="宋体" w:hAnsi="宋体" w:cs="宋体"/>
                <w:sz w:val="24"/>
              </w:rPr>
              <w:t>2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必须符合法律、行政法规规定的其他条件</w:t>
            </w:r>
          </w:p>
        </w:tc>
        <w:tc>
          <w:tcPr>
            <w:tcW w:w="7092" w:type="dxa"/>
            <w:tcMar>
              <w:top w:w="57" w:type="dxa"/>
              <w:left w:w="108" w:type="dxa"/>
              <w:bottom w:w="0" w:type="dxa"/>
              <w:right w:w="108" w:type="dxa"/>
            </w:tcMar>
            <w:vAlign w:val="center"/>
          </w:tcPr>
          <w:p>
            <w:pPr>
              <w:pStyle w:val="50"/>
              <w:spacing w:before="48" w:line="360" w:lineRule="auto"/>
              <w:ind w:left="15" w:leftChars="7" w:right="-17" w:rightChars="-8" w:firstLine="460" w:firstLineChars="192"/>
              <w:rPr>
                <w:sz w:val="24"/>
              </w:rPr>
            </w:pPr>
            <w:r>
              <w:rPr>
                <w:rFonts w:hint="eastAsia"/>
                <w:sz w:val="24"/>
              </w:rPr>
              <w:t>1.单位负责人为同一人或者存在直接控股、管理关系的不同供应商，不得同时参加本项目投标。</w:t>
            </w:r>
          </w:p>
          <w:p>
            <w:pPr>
              <w:pStyle w:val="50"/>
              <w:spacing w:before="48" w:line="360" w:lineRule="auto"/>
              <w:ind w:left="15" w:leftChars="7" w:right="-17" w:rightChars="-8" w:firstLine="460" w:firstLineChars="192"/>
              <w:rPr>
                <w:sz w:val="24"/>
              </w:rPr>
            </w:pPr>
            <w:r>
              <w:rPr>
                <w:rFonts w:hint="eastAsia"/>
                <w:sz w:val="24"/>
              </w:rPr>
              <w:t>2.为本项目提供整体设计、规范编制或者项目管理、监理、检测等服务的供应商，不得再参与本项目投标。</w:t>
            </w:r>
          </w:p>
          <w:p>
            <w:pPr>
              <w:pStyle w:val="50"/>
              <w:spacing w:before="48" w:line="360" w:lineRule="auto"/>
              <w:ind w:left="15" w:leftChars="7" w:right="-17" w:rightChars="-8" w:firstLine="460" w:firstLineChars="192"/>
              <w:rPr>
                <w:sz w:val="24"/>
              </w:rPr>
            </w:pPr>
            <w:r>
              <w:rPr>
                <w:rFonts w:hint="eastAsia"/>
                <w:sz w:val="24"/>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pPr>
              <w:pStyle w:val="50"/>
              <w:spacing w:before="48" w:line="360" w:lineRule="auto"/>
              <w:ind w:right="3" w:hanging="10"/>
              <w:jc w:val="center"/>
              <w:rPr>
                <w:sz w:val="24"/>
              </w:rPr>
            </w:pPr>
            <w:r>
              <w:rPr>
                <w:rFonts w:hint="eastAsia"/>
                <w:sz w:val="24"/>
              </w:rPr>
              <w:t>联合体投标</w:t>
            </w:r>
          </w:p>
        </w:tc>
        <w:tc>
          <w:tcPr>
            <w:tcW w:w="7092" w:type="dxa"/>
            <w:shd w:val="clear" w:color="auto" w:fill="F6F6F6"/>
            <w:tcMar>
              <w:top w:w="57" w:type="dxa"/>
              <w:left w:w="108" w:type="dxa"/>
              <w:bottom w:w="0" w:type="dxa"/>
              <w:right w:w="108" w:type="dxa"/>
            </w:tcMar>
            <w:vAlign w:val="center"/>
          </w:tcPr>
          <w:p>
            <w:pPr>
              <w:pStyle w:val="50"/>
              <w:spacing w:before="48" w:line="360" w:lineRule="auto"/>
              <w:ind w:left="15" w:leftChars="7" w:right="-17" w:rightChars="-8" w:firstLine="460" w:firstLineChars="192"/>
              <w:rPr>
                <w:sz w:val="24"/>
              </w:rPr>
            </w:pPr>
            <w:r>
              <w:rPr>
                <w:rFonts w:hint="eastAsia"/>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资质</w:t>
            </w:r>
          </w:p>
        </w:tc>
        <w:tc>
          <w:tcPr>
            <w:tcW w:w="7092" w:type="dxa"/>
            <w:tcMar>
              <w:top w:w="57" w:type="dxa"/>
              <w:left w:w="108" w:type="dxa"/>
              <w:bottom w:w="0" w:type="dxa"/>
              <w:right w:w="108" w:type="dxa"/>
            </w:tcMar>
            <w:vAlign w:val="center"/>
          </w:tcPr>
          <w:p>
            <w:pPr>
              <w:pStyle w:val="50"/>
              <w:spacing w:before="48" w:line="360" w:lineRule="auto"/>
              <w:ind w:left="15" w:leftChars="7" w:right="-17" w:rightChars="-8" w:firstLine="460" w:firstLineChars="192"/>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1913" w:type="dxa"/>
            <w:shd w:val="clear" w:color="auto" w:fill="F6F6F6"/>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落实政府采购政策需满足的资格要求</w:t>
            </w:r>
          </w:p>
        </w:tc>
        <w:tc>
          <w:tcPr>
            <w:tcW w:w="7092" w:type="dxa"/>
            <w:shd w:val="clear" w:color="auto" w:fill="F6F6F6"/>
            <w:tcMar>
              <w:top w:w="57" w:type="dxa"/>
              <w:left w:w="108" w:type="dxa"/>
              <w:bottom w:w="0" w:type="dxa"/>
              <w:right w:w="108" w:type="dxa"/>
            </w:tcMar>
            <w:vAlign w:val="center"/>
          </w:tcPr>
          <w:p>
            <w:pPr>
              <w:pStyle w:val="9"/>
              <w:spacing w:line="360" w:lineRule="auto"/>
              <w:ind w:left="15" w:leftChars="7" w:right="-17" w:rightChars="-8" w:firstLine="460" w:firstLineChars="192"/>
              <w:jc w:val="both"/>
              <w:rPr>
                <w:rFonts w:ascii="宋体" w:hAnsi="宋体" w:cs="宋体"/>
                <w:sz w:val="24"/>
              </w:rPr>
            </w:pPr>
            <w:r>
              <w:rPr>
                <w:rFonts w:hint="eastAsia" w:ascii="宋体" w:hAnsi="宋体" w:cs="宋体"/>
                <w:sz w:val="24"/>
              </w:rPr>
              <w:t>无</w:t>
            </w:r>
          </w:p>
        </w:tc>
      </w:tr>
    </w:tbl>
    <w:p>
      <w:pPr>
        <w:pStyle w:val="9"/>
        <w:spacing w:line="360" w:lineRule="auto"/>
        <w:ind w:firstLine="482" w:firstLineChars="200"/>
        <w:rPr>
          <w:rFonts w:ascii="宋体" w:hAnsi="宋体" w:cs="宋体"/>
          <w:b/>
          <w:bCs/>
          <w:sz w:val="24"/>
        </w:rPr>
      </w:pPr>
      <w:r>
        <w:rPr>
          <w:rFonts w:hint="eastAsia" w:ascii="宋体" w:hAnsi="宋体" w:cs="宋体"/>
          <w:b/>
          <w:bCs/>
          <w:sz w:val="24"/>
        </w:rPr>
        <w:t>（二）符合性审查</w:t>
      </w:r>
    </w:p>
    <w:p>
      <w:pPr>
        <w:pStyle w:val="9"/>
        <w:spacing w:line="360" w:lineRule="auto"/>
        <w:ind w:firstLine="480" w:firstLineChars="200"/>
        <w:rPr>
          <w:rFonts w:ascii="宋体" w:hAnsi="宋体" w:cs="宋体"/>
          <w:sz w:val="24"/>
        </w:rPr>
      </w:pPr>
      <w:r>
        <w:rPr>
          <w:rFonts w:hint="eastAsia" w:ascii="宋体" w:hAnsi="宋体" w:cs="宋体"/>
          <w:sz w:val="24"/>
        </w:rPr>
        <w:t>评标委员会应当对符合资格的投标人的投标文件进行符合性审查，以确定其是否满足招标文件的实质性要求，对审查发现无效的进行必要的询问，在政采云平台公布无效投标的投标人名单、投标无效的原因。</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投标文件</w:t>
            </w:r>
          </w:p>
        </w:tc>
        <w:tc>
          <w:tcPr>
            <w:tcW w:w="7183" w:type="dxa"/>
            <w:tcMar>
              <w:top w:w="57" w:type="dxa"/>
              <w:left w:w="108" w:type="dxa"/>
              <w:bottom w:w="0" w:type="dxa"/>
              <w:right w:w="108" w:type="dxa"/>
            </w:tcMar>
            <w:vAlign w:val="center"/>
          </w:tcPr>
          <w:p>
            <w:pPr>
              <w:pStyle w:val="9"/>
              <w:spacing w:line="360" w:lineRule="auto"/>
              <w:ind w:left="15" w:leftChars="7" w:right="-17" w:rightChars="-8" w:firstLine="460" w:firstLineChars="192"/>
              <w:jc w:val="both"/>
              <w:rPr>
                <w:rFonts w:ascii="宋体" w:hAnsi="宋体" w:cs="宋体"/>
                <w:sz w:val="24"/>
              </w:rPr>
            </w:pPr>
            <w:r>
              <w:rPr>
                <w:rFonts w:hint="eastAsia" w:ascii="宋体" w:hAnsi="宋体" w:cs="宋体"/>
                <w:sz w:val="24"/>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60" w:lineRule="auto"/>
              <w:ind w:left="15" w:leftChars="7" w:right="-17" w:rightChars="-8" w:firstLine="460" w:firstLineChars="192"/>
              <w:jc w:val="both"/>
              <w:rPr>
                <w:rFonts w:ascii="宋体" w:hAnsi="宋体" w:cs="宋体"/>
                <w:sz w:val="24"/>
              </w:rPr>
            </w:pPr>
            <w:r>
              <w:rPr>
                <w:rFonts w:hint="eastAsia" w:ascii="宋体" w:hAnsi="宋体" w:cs="宋体"/>
                <w:sz w:val="24"/>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“▲”实质性条款</w:t>
            </w:r>
          </w:p>
        </w:tc>
        <w:tc>
          <w:tcPr>
            <w:tcW w:w="7183" w:type="dxa"/>
            <w:tcMar>
              <w:top w:w="57" w:type="dxa"/>
              <w:left w:w="108" w:type="dxa"/>
              <w:bottom w:w="0" w:type="dxa"/>
              <w:right w:w="108" w:type="dxa"/>
            </w:tcMar>
            <w:vAlign w:val="center"/>
          </w:tcPr>
          <w:p>
            <w:pPr>
              <w:pStyle w:val="9"/>
              <w:spacing w:line="360" w:lineRule="auto"/>
              <w:ind w:left="15" w:leftChars="7" w:right="-17" w:rightChars="-8" w:firstLine="460" w:firstLineChars="192"/>
              <w:jc w:val="both"/>
              <w:rPr>
                <w:rFonts w:ascii="宋体" w:hAnsi="宋体" w:cs="宋体"/>
                <w:sz w:val="24"/>
              </w:rPr>
            </w:pPr>
            <w:r>
              <w:rPr>
                <w:rFonts w:hint="eastAsia" w:ascii="宋体" w:hAnsi="宋体" w:cs="宋体"/>
                <w:sz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串通投标</w:t>
            </w:r>
          </w:p>
        </w:tc>
        <w:tc>
          <w:tcPr>
            <w:tcW w:w="7183" w:type="dxa"/>
            <w:shd w:val="clear" w:color="auto" w:fill="F6F6F6"/>
            <w:tcMar>
              <w:top w:w="57" w:type="dxa"/>
              <w:left w:w="108" w:type="dxa"/>
              <w:bottom w:w="0" w:type="dxa"/>
              <w:right w:w="108" w:type="dxa"/>
            </w:tcMar>
            <w:vAlign w:val="center"/>
          </w:tcPr>
          <w:p>
            <w:pPr>
              <w:pStyle w:val="9"/>
              <w:spacing w:line="360" w:lineRule="auto"/>
              <w:ind w:left="15" w:leftChars="7" w:right="-17" w:rightChars="-8" w:firstLine="460" w:firstLineChars="192"/>
              <w:jc w:val="both"/>
              <w:rPr>
                <w:rFonts w:ascii="宋体" w:hAnsi="宋体" w:cs="宋体"/>
                <w:sz w:val="24"/>
              </w:rPr>
            </w:pPr>
            <w:r>
              <w:rPr>
                <w:rFonts w:hint="eastAsia" w:ascii="宋体" w:hAnsi="宋体" w:cs="宋体"/>
                <w:sz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50"/>
              <w:spacing w:line="360" w:lineRule="auto"/>
              <w:ind w:right="3" w:hanging="10"/>
              <w:jc w:val="center"/>
              <w:rPr>
                <w:sz w:val="24"/>
              </w:rPr>
            </w:pPr>
            <w:r>
              <w:rPr>
                <w:rFonts w:hint="eastAsia"/>
                <w:sz w:val="24"/>
              </w:rPr>
              <w:t>附加条件</w:t>
            </w:r>
          </w:p>
        </w:tc>
        <w:tc>
          <w:tcPr>
            <w:tcW w:w="7183" w:type="dxa"/>
            <w:tcMar>
              <w:top w:w="57" w:type="dxa"/>
              <w:left w:w="108" w:type="dxa"/>
              <w:bottom w:w="0" w:type="dxa"/>
              <w:right w:w="108" w:type="dxa"/>
            </w:tcMar>
            <w:vAlign w:val="center"/>
          </w:tcPr>
          <w:p>
            <w:pPr>
              <w:pStyle w:val="9"/>
              <w:spacing w:line="360" w:lineRule="auto"/>
              <w:ind w:left="15" w:leftChars="7" w:right="-17" w:rightChars="-8" w:firstLine="460" w:firstLineChars="192"/>
              <w:jc w:val="both"/>
              <w:rPr>
                <w:rFonts w:ascii="宋体" w:hAnsi="宋体" w:cs="宋体"/>
                <w:sz w:val="24"/>
              </w:rPr>
            </w:pPr>
            <w:r>
              <w:rPr>
                <w:rFonts w:hint="eastAsia" w:ascii="宋体" w:hAnsi="宋体" w:cs="宋体"/>
                <w:sz w:val="24"/>
              </w:rPr>
              <w:t>投标文件未含有采购人不可接受的附加条件。</w:t>
            </w:r>
          </w:p>
        </w:tc>
      </w:tr>
    </w:tbl>
    <w:p>
      <w:pPr>
        <w:pStyle w:val="21"/>
        <w:spacing w:before="0" w:beforeAutospacing="0" w:after="0" w:afterAutospacing="0" w:line="360" w:lineRule="auto"/>
        <w:ind w:firstLine="482" w:firstLineChars="200"/>
        <w:jc w:val="both"/>
        <w:rPr>
          <w:rFonts w:hint="default" w:cs="宋体"/>
          <w:b/>
          <w:bCs/>
        </w:rPr>
      </w:pPr>
    </w:p>
    <w:p>
      <w:pPr>
        <w:pStyle w:val="21"/>
        <w:spacing w:before="0" w:beforeAutospacing="0" w:after="0" w:afterAutospacing="0" w:line="360" w:lineRule="auto"/>
        <w:ind w:firstLine="482" w:firstLineChars="200"/>
        <w:jc w:val="both"/>
        <w:rPr>
          <w:rFonts w:hint="default" w:cs="宋体"/>
        </w:rPr>
      </w:pPr>
      <w:r>
        <w:rPr>
          <w:rFonts w:cs="宋体"/>
          <w:b/>
          <w:bCs/>
        </w:rPr>
        <w:t>（三）商务技术及价格评审</w:t>
      </w:r>
    </w:p>
    <w:p>
      <w:pPr>
        <w:autoSpaceDE w:val="0"/>
        <w:autoSpaceDN w:val="0"/>
        <w:spacing w:line="360" w:lineRule="auto"/>
        <w:ind w:firstLine="480" w:firstLineChars="200"/>
        <w:rPr>
          <w:rFonts w:ascii="宋体" w:hAnsi="宋体" w:cs="宋体"/>
          <w:sz w:val="24"/>
        </w:rPr>
      </w:pPr>
      <w:r>
        <w:rPr>
          <w:rFonts w:hint="eastAsia" w:ascii="宋体" w:hAnsi="宋体" w:cs="宋体"/>
          <w:kern w:val="0"/>
          <w:sz w:val="24"/>
        </w:rPr>
        <w:t>项目评标方法为综合评分法，总计100分，评标按以下标准及要求进行：</w:t>
      </w:r>
    </w:p>
    <w:p>
      <w:pPr>
        <w:numPr>
          <w:ilvl w:val="0"/>
          <w:numId w:val="10"/>
        </w:numPr>
        <w:autoSpaceDE w:val="0"/>
        <w:autoSpaceDN w:val="0"/>
        <w:adjustRightInd w:val="0"/>
        <w:spacing w:line="360" w:lineRule="auto"/>
        <w:ind w:right="85" w:firstLine="482" w:firstLineChars="200"/>
        <w:rPr>
          <w:rFonts w:ascii="宋体" w:hAnsi="宋体" w:cs="宋体"/>
          <w:b/>
          <w:bCs/>
          <w:sz w:val="24"/>
        </w:rPr>
      </w:pPr>
      <w:r>
        <w:rPr>
          <w:rFonts w:hint="eastAsia" w:ascii="宋体" w:hAnsi="宋体" w:cs="宋体"/>
          <w:b/>
          <w:bCs/>
          <w:sz w:val="24"/>
        </w:rPr>
        <w:t>评分标准</w:t>
      </w:r>
    </w:p>
    <w:p>
      <w:pPr>
        <w:pStyle w:val="10"/>
        <w:spacing w:line="360" w:lineRule="auto"/>
        <w:rPr>
          <w:rFonts w:ascii="宋体" w:hAnsi="宋体" w:cs="宋体"/>
        </w:rPr>
      </w:pPr>
      <w:r>
        <w:rPr>
          <w:rFonts w:hint="eastAsia" w:ascii="宋体" w:hAnsi="宋体" w:cs="宋体"/>
        </w:rPr>
        <w:t>标段一：</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705"/>
        <w:gridCol w:w="704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29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项目内容</w:t>
            </w: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项目</w:t>
            </w:r>
          </w:p>
        </w:tc>
        <w:tc>
          <w:tcPr>
            <w:tcW w:w="3886"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评   分   标   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 w:type="pct"/>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公司综合情况(</w:t>
            </w:r>
            <w:r>
              <w:rPr>
                <w:rStyle w:val="73"/>
                <w:rFonts w:hint="default"/>
                <w:color w:val="auto"/>
                <w:lang w:bidi="ar"/>
              </w:rPr>
              <w:t>9</w:t>
            </w:r>
            <w:r>
              <w:rPr>
                <w:rStyle w:val="46"/>
                <w:rFonts w:hint="eastAsia" w:ascii="宋体" w:hAnsi="宋体" w:cs="宋体"/>
                <w:color w:val="auto"/>
                <w:sz w:val="24"/>
                <w:szCs w:val="24"/>
                <w:lang w:bidi="ar"/>
              </w:rPr>
              <w:t>分)</w:t>
            </w: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保险</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投诉</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根据投标人所属总公司2021年第二季度每万张保单投诉量进行评分，每万张保单投诉件数&lt;=0.1件的得3分，0.2件&gt;=每万张保单投诉件数&gt;0.1件的得2分，0.3件&gt;=每万张保单投诉件数&gt;0.2件的得1分，其他的不得分（投标人需提供中国银保监会网站公布的数据并加盖投标人公章。不提供不得分</w:t>
            </w:r>
            <w:r>
              <w:rPr>
                <w:rStyle w:val="73"/>
                <w:rFonts w:hint="default"/>
                <w:color w:val="auto"/>
                <w:lang w:bidi="ar"/>
              </w:rPr>
              <w:t>）</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297" w:type="pct"/>
            <w:vMerge w:val="continue"/>
            <w:shd w:val="clear" w:color="auto" w:fill="auto"/>
            <w:tcMar>
              <w:top w:w="12" w:type="dxa"/>
              <w:left w:w="12" w:type="dxa"/>
              <w:right w:w="12" w:type="dxa"/>
            </w:tcMar>
            <w:vAlign w:val="center"/>
          </w:tcPr>
          <w:p>
            <w:pPr>
              <w:spacing w:line="360" w:lineRule="auto"/>
              <w:jc w:val="center"/>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企业偿付能力情况</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投标人所属总公司2020年综合偿付能力，综合偿付能力充足率≥250%的，得4分；200%≤综合偿付能力充足率&lt;250%的，得2分；150%≤综合偿付能力充足率&lt;200%得1分；综合偿付能力充足率&lt;150%的不得分。（根据中国保险行业网站发布的2020年四季度保险公司偿付能力情况结果评比，加盖投标人公章，中国保险行业网站地址http://icid.iachina.cn/）</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3" w:hRule="atLeast"/>
        </w:trPr>
        <w:tc>
          <w:tcPr>
            <w:tcW w:w="297" w:type="pct"/>
            <w:vMerge w:val="continue"/>
            <w:shd w:val="clear" w:color="auto" w:fill="auto"/>
            <w:tcMar>
              <w:top w:w="12" w:type="dxa"/>
              <w:left w:w="12" w:type="dxa"/>
              <w:right w:w="12" w:type="dxa"/>
            </w:tcMar>
            <w:vAlign w:val="center"/>
          </w:tcPr>
          <w:p>
            <w:pPr>
              <w:spacing w:line="360" w:lineRule="auto"/>
              <w:jc w:val="center"/>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分支机构设立情况</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投标人</w:t>
            </w:r>
            <w:r>
              <w:rPr>
                <w:rStyle w:val="46"/>
                <w:rFonts w:hint="eastAsia" w:ascii="宋体" w:hAnsi="宋体" w:cs="宋体"/>
                <w:color w:val="auto"/>
                <w:sz w:val="24"/>
                <w:szCs w:val="24"/>
                <w:lang w:bidi="ar"/>
              </w:rPr>
              <w:t>已在用户所在地设立支公司及以上级别保险公司的分支机构得2分。</w:t>
            </w:r>
            <w:r>
              <w:rPr>
                <w:rFonts w:hint="eastAsia" w:ascii="宋体" w:hAnsi="宋体" w:cs="宋体"/>
                <w:kern w:val="0"/>
                <w:sz w:val="24"/>
                <w:lang w:bidi="ar"/>
              </w:rPr>
              <w:t>(已设立的提供营业执照复印件，保险业务许可证复印件，并加盖竞标保险公司公章）。</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297" w:type="pct"/>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公司服务能力</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w:t>
            </w:r>
            <w:r>
              <w:rPr>
                <w:rStyle w:val="73"/>
                <w:rFonts w:hint="default"/>
                <w:color w:val="auto"/>
                <w:lang w:bidi="ar"/>
              </w:rPr>
              <w:t>11</w:t>
            </w:r>
            <w:r>
              <w:rPr>
                <w:rStyle w:val="46"/>
                <w:rFonts w:hint="eastAsia" w:ascii="宋体" w:hAnsi="宋体" w:cs="宋体"/>
                <w:color w:val="auto"/>
                <w:sz w:val="24"/>
                <w:szCs w:val="24"/>
                <w:lang w:bidi="ar"/>
              </w:rPr>
              <w:t>分)</w:t>
            </w: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项目</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经验</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投标人及其下属公司自2019年1月1日以来在项目所在地具有与政府部门合作的医保项目，每满一年得1分，此项最高得3分。与所在地政府部门合作过“基本医疗意外伤害保险”项目的加1分。(注：1.满期年份计算至2021年12月31日，不同项目服务时间重叠部分不重复计算，不足一年的部分不计入;2.提供保险协议或相关证明材料复印件，开标时携带原件核查，否则不得分；3.如共同承保，则按照所占份额计算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97" w:type="pct"/>
            <w:vMerge w:val="continue"/>
            <w:shd w:val="clear" w:color="auto" w:fill="auto"/>
            <w:noWrap/>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服务评价等级</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根据投标人所属总公司最新年度服务等级评分，AA级及以上得5分，A级得3分，BBB级及以下或无评级得1分。（根据中国保信网站发布的2018年保险公司服务评价结果评，加盖投标人公章，中国保信网站地址：http://www.cbit.com.cn/zgbxgw/xwgg/tzgg/390057/index.html</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trPr>
        <w:tc>
          <w:tcPr>
            <w:tcW w:w="297" w:type="pct"/>
            <w:vMerge w:val="continue"/>
            <w:shd w:val="clear" w:color="auto" w:fill="auto"/>
            <w:noWrap/>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上级公司承担风险承诺</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参加投标的保险公司的上级公司承诺当参加投标的保险公司无能力支付赔偿金额时由上级公司承担赔偿责任的得</w:t>
            </w:r>
            <w:r>
              <w:rPr>
                <w:rStyle w:val="73"/>
                <w:rFonts w:hint="default"/>
                <w:color w:val="auto"/>
                <w:lang w:bidi="ar"/>
              </w:rPr>
              <w:t>2分</w:t>
            </w:r>
            <w:r>
              <w:rPr>
                <w:rStyle w:val="46"/>
                <w:rFonts w:hint="eastAsia" w:ascii="宋体" w:hAnsi="宋体" w:cs="宋体"/>
                <w:color w:val="auto"/>
                <w:sz w:val="24"/>
                <w:szCs w:val="24"/>
                <w:lang w:bidi="ar"/>
              </w:rPr>
              <w:t>，无承诺的不得分。（提供上级公司承诺文件）</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297" w:type="pct"/>
            <w:vMerge w:val="restar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实施方案(</w:t>
            </w:r>
            <w:r>
              <w:rPr>
                <w:rStyle w:val="73"/>
                <w:rFonts w:hint="default"/>
                <w:color w:val="auto"/>
                <w:lang w:bidi="ar"/>
              </w:rPr>
              <w:t>50</w:t>
            </w:r>
            <w:r>
              <w:rPr>
                <w:rStyle w:val="46"/>
                <w:rFonts w:hint="eastAsia" w:ascii="宋体" w:hAnsi="宋体" w:cs="宋体"/>
                <w:color w:val="auto"/>
                <w:sz w:val="24"/>
                <w:szCs w:val="24"/>
                <w:lang w:bidi="ar"/>
              </w:rPr>
              <w:t>分)</w:t>
            </w: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保险服务实施方案</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对投标人提出的服务方案进行整体评价，方案详实，各项工作计划安排专业、详细、可行，得4~5分；方案合理、可行的，满足服务需求的得2~3.9分；方案基本满足的得1~1.9分；没有项目实施方案的不得分。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调查</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方案</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承诺按照医保相关规定及时客观的调查参保人员外伤情况，并提供具体实施细化方案，由专家根据方案综合打分。方案完整、详细、科学、实用得4~5分，次之得2~3.9分，其余得1~1.9分，不提供不得分。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核查</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人数</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比例</w:t>
            </w:r>
          </w:p>
        </w:tc>
        <w:tc>
          <w:tcPr>
            <w:tcW w:w="3886" w:type="pct"/>
            <w:shd w:val="clear" w:color="auto" w:fill="auto"/>
            <w:tcMar>
              <w:top w:w="12" w:type="dxa"/>
              <w:left w:w="12" w:type="dxa"/>
              <w:right w:w="12"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lang w:bidi="ar"/>
              </w:rPr>
              <w:t>承诺承保期间核查赔付人数占当地意外伤害赔付总人数比例不低于20%，承诺承保期间核查赔付金额占当地意外伤害赔付总金额比例不低于20%得</w:t>
            </w:r>
            <w:r>
              <w:rPr>
                <w:rStyle w:val="73"/>
                <w:rFonts w:hint="default"/>
                <w:color w:val="auto"/>
                <w:lang w:bidi="ar"/>
              </w:rPr>
              <w:t>5</w:t>
            </w:r>
            <w:r>
              <w:rPr>
                <w:rStyle w:val="46"/>
                <w:rFonts w:hint="eastAsia" w:ascii="宋体" w:hAnsi="宋体" w:cs="宋体"/>
                <w:color w:val="auto"/>
                <w:sz w:val="24"/>
                <w:szCs w:val="24"/>
                <w:lang w:bidi="ar"/>
              </w:rPr>
              <w:t>分，没有不得分。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专业人员配备</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承诺承保期间配备到岗人员12人得</w:t>
            </w:r>
            <w:r>
              <w:rPr>
                <w:rStyle w:val="73"/>
                <w:rFonts w:hint="default"/>
                <w:color w:val="auto"/>
                <w:lang w:bidi="ar"/>
              </w:rPr>
              <w:t>3</w:t>
            </w:r>
            <w:r>
              <w:rPr>
                <w:rStyle w:val="46"/>
                <w:rFonts w:hint="eastAsia" w:ascii="宋体" w:hAnsi="宋体" w:cs="宋体"/>
                <w:color w:val="auto"/>
                <w:sz w:val="24"/>
                <w:szCs w:val="24"/>
                <w:lang w:bidi="ar"/>
              </w:rPr>
              <w:t>分，医学类专业4名及以上得1分，不承诺不得分。（须提供相关证明及相关人员的劳动合同、参保依据、毕业证书等证明材料复印件加盖公章，原件现场核查）。</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9"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设备</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保障</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配备理赔勘查、审核管控需要的自有车辆1辆和相应设备（提供车辆行驶证复印件加盖参加投标的保险公司公章，车辆行驶里程要求在10万公里以内），一档得2-3分，二档得1~1.9分，三档得0~0.9分，没有不得分。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控费方案</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sz w:val="24"/>
              </w:rPr>
              <w:t>针对“基本医疗意外伤害保险”项目提出有效实际的控费方案，根据控费方案切实科学性、合理性、可操作性，由评委根据方案横向比较后综合评定。一档得4~5分，二档得2~3.9分，三档得1~1.9分，没有不得分。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5分</w:t>
            </w:r>
          </w:p>
          <w:p>
            <w:pPr>
              <w:widowControl/>
              <w:spacing w:line="360" w:lineRule="auto"/>
              <w:jc w:val="center"/>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结报</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支付</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承诺按照医保相关规定准确、及时结报各项待遇得</w:t>
            </w:r>
            <w:r>
              <w:rPr>
                <w:rStyle w:val="73"/>
                <w:rFonts w:hint="default"/>
                <w:color w:val="auto"/>
                <w:lang w:bidi="ar"/>
              </w:rPr>
              <w:t>2</w:t>
            </w:r>
            <w:r>
              <w:rPr>
                <w:rStyle w:val="46"/>
                <w:rFonts w:hint="eastAsia" w:ascii="宋体" w:hAnsi="宋体" w:cs="宋体"/>
                <w:color w:val="auto"/>
                <w:sz w:val="24"/>
                <w:szCs w:val="24"/>
                <w:lang w:bidi="ar"/>
              </w:rPr>
              <w:t>分。</w:t>
            </w:r>
          </w:p>
        </w:tc>
        <w:tc>
          <w:tcPr>
            <w:tcW w:w="427" w:type="pct"/>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vMerge w:val="continue"/>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承诺规定时间内划拨医疗费用报销款，确保报销支出专户的金额安全充足得1分，没有不得分。</w:t>
            </w:r>
          </w:p>
        </w:tc>
        <w:tc>
          <w:tcPr>
            <w:tcW w:w="427" w:type="pct"/>
            <w:vMerge w:val="continue"/>
            <w:shd w:val="clear" w:color="auto" w:fill="auto"/>
            <w:tcMar>
              <w:top w:w="12" w:type="dxa"/>
              <w:left w:w="12" w:type="dxa"/>
              <w:right w:w="12" w:type="dxa"/>
            </w:tcMar>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绩效</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考评</w:t>
            </w:r>
          </w:p>
        </w:tc>
        <w:tc>
          <w:tcPr>
            <w:tcW w:w="3886" w:type="pct"/>
            <w:shd w:val="clear" w:color="auto" w:fill="auto"/>
            <w:tcMar>
              <w:top w:w="12" w:type="dxa"/>
              <w:left w:w="12" w:type="dxa"/>
              <w:right w:w="12"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lang w:bidi="ar"/>
              </w:rPr>
              <w:t>建立科学、先进的对经办专业人员进行系统绩效评价、作业管理、培训管理、薪酬管理系统，由专家根据方案综合评分：方案完整、详细、科学、实用得4~5分，次之得2~3.9分，其余得1~1.9分，不提供不得分。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纠纷</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调解</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制定意外伤害理赔规范和</w:t>
            </w:r>
            <w:r>
              <w:rPr>
                <w:rFonts w:hint="eastAsia" w:ascii="宋体" w:hAnsi="宋体" w:cs="宋体"/>
                <w:kern w:val="0"/>
                <w:sz w:val="24"/>
                <w:lang w:eastAsia="zh-CN" w:bidi="ar"/>
              </w:rPr>
              <w:t>纠纷调解</w:t>
            </w:r>
            <w:r>
              <w:rPr>
                <w:rFonts w:hint="eastAsia" w:ascii="宋体" w:hAnsi="宋体" w:cs="宋体"/>
                <w:kern w:val="0"/>
                <w:sz w:val="24"/>
                <w:lang w:bidi="ar"/>
              </w:rPr>
              <w:t>机制，有效控制投诉人员投诉率，视方案科学合理性、目标的控制率，由评委根据方案综合评分，一档得3~4分，二档得2~2.9分，三档得0~1.9分，没有不得分</w:t>
            </w:r>
            <w:r>
              <w:rPr>
                <w:rStyle w:val="46"/>
                <w:rFonts w:hint="eastAsia" w:ascii="宋体" w:hAnsi="宋体" w:cs="宋体"/>
                <w:color w:val="auto"/>
                <w:sz w:val="24"/>
                <w:szCs w:val="24"/>
                <w:lang w:bidi="ar"/>
              </w:rPr>
              <w:t>。</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报表</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测算</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承诺理赔结算准确及时，按时上报各类报表，每个季度做好基金收支预算、结算和测算工作得</w:t>
            </w:r>
            <w:r>
              <w:rPr>
                <w:rStyle w:val="73"/>
                <w:rFonts w:hint="default"/>
                <w:color w:val="auto"/>
                <w:lang w:bidi="ar"/>
              </w:rPr>
              <w:t>2</w:t>
            </w:r>
            <w:r>
              <w:rPr>
                <w:rStyle w:val="46"/>
                <w:rFonts w:hint="eastAsia" w:ascii="宋体" w:hAnsi="宋体" w:cs="宋体"/>
                <w:color w:val="auto"/>
                <w:sz w:val="24"/>
                <w:szCs w:val="24"/>
                <w:lang w:bidi="ar"/>
              </w:rPr>
              <w:t>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增值</w:t>
            </w:r>
            <w:r>
              <w:rPr>
                <w:rStyle w:val="46"/>
                <w:rFonts w:hint="eastAsia" w:ascii="宋体" w:hAnsi="宋体" w:cs="宋体"/>
                <w:color w:val="auto"/>
                <w:sz w:val="24"/>
                <w:szCs w:val="24"/>
                <w:lang w:bidi="ar"/>
              </w:rPr>
              <w:t xml:space="preserve"> 服务</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针对医保基金的大数据监管提供增值服务方案，根据增值服务方案全面性、切实科学性、合理性、可操作性，由评委根据方案横向比较后综合评定。一档得2-3分，二档得1~1.9分，三档得0~0.9分，没有不得分。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297" w:type="pct"/>
            <w:vMerge w:val="restart"/>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vMerge w:val="continue"/>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针对提升医保参保人员参保率及扩大医保政策宣传提供增值服务方案，根据增值服务方案全面性、切实科学性、合理性、可操作性，由评委根据方案横向比较后综合评定。一档得2-3分，二档得1~1.9分，三档得0~0.9分，没有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vMerge w:val="continue"/>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针对提升医保经办服务能力及其他提升医保参保人员满意度提供增值服务方案，根据增值服务方案全面性、切实科学性、合理性、可操作性，由评委根据方案横向比较后综合评定。一档得2-3分，二档得1~1.9分，三档得0~0.9分，没有不得分。</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297" w:type="pct"/>
            <w:shd w:val="clear" w:color="auto" w:fill="auto"/>
            <w:tcMar>
              <w:top w:w="12" w:type="dxa"/>
              <w:left w:w="12" w:type="dxa"/>
              <w:right w:w="12" w:type="dxa"/>
            </w:tcMar>
            <w:vAlign w:val="center"/>
          </w:tcPr>
          <w:p>
            <w:pPr>
              <w:spacing w:line="360" w:lineRule="auto"/>
              <w:rPr>
                <w:rFonts w:ascii="宋体" w:hAnsi="宋体" w:cs="宋体"/>
                <w:sz w:val="24"/>
              </w:rPr>
            </w:pPr>
            <w:r>
              <w:rPr>
                <w:rFonts w:hint="eastAsia" w:ascii="宋体" w:hAnsi="宋体" w:cs="宋体"/>
                <w:sz w:val="24"/>
              </w:rPr>
              <w:t>价格</w:t>
            </w:r>
          </w:p>
        </w:tc>
        <w:tc>
          <w:tcPr>
            <w:tcW w:w="389" w:type="pct"/>
            <w:shd w:val="clear" w:color="auto" w:fill="auto"/>
            <w:tcMar>
              <w:top w:w="12" w:type="dxa"/>
              <w:left w:w="12" w:type="dxa"/>
              <w:right w:w="12" w:type="dxa"/>
            </w:tcMar>
            <w:vAlign w:val="center"/>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 xml:space="preserve">价格分 </w:t>
            </w:r>
          </w:p>
        </w:tc>
        <w:tc>
          <w:tcPr>
            <w:tcW w:w="3886" w:type="pct"/>
            <w:shd w:val="clear" w:color="auto" w:fill="auto"/>
            <w:tcMar>
              <w:top w:w="12" w:type="dxa"/>
              <w:left w:w="12" w:type="dxa"/>
              <w:right w:w="12" w:type="dxa"/>
            </w:tcMar>
            <w:vAlign w:val="center"/>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以合格投标人有效投标总报价中的最低价为基准价，基准价为30分。投标报价得分＝（评标基准价/投标报价）×30%×100（小数点后保留2位小数）。</w:t>
            </w:r>
          </w:p>
        </w:tc>
        <w:tc>
          <w:tcPr>
            <w:tcW w:w="42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30分</w:t>
            </w:r>
          </w:p>
        </w:tc>
      </w:tr>
    </w:tbl>
    <w:p>
      <w:pPr>
        <w:pStyle w:val="10"/>
        <w:spacing w:line="360" w:lineRule="auto"/>
        <w:rPr>
          <w:rFonts w:ascii="宋体" w:hAnsi="宋体" w:cs="宋体"/>
        </w:rPr>
      </w:pPr>
    </w:p>
    <w:p>
      <w:pPr>
        <w:pStyle w:val="10"/>
        <w:spacing w:line="360" w:lineRule="auto"/>
        <w:rPr>
          <w:rFonts w:ascii="宋体" w:hAnsi="宋体" w:cs="宋体"/>
        </w:rPr>
      </w:pPr>
    </w:p>
    <w:p>
      <w:pPr>
        <w:pStyle w:val="10"/>
        <w:spacing w:line="360" w:lineRule="auto"/>
        <w:rPr>
          <w:rFonts w:ascii="宋体" w:hAnsi="宋体" w:cs="宋体"/>
        </w:rPr>
      </w:pPr>
      <w:r>
        <w:rPr>
          <w:rFonts w:hint="eastAsia" w:ascii="宋体" w:hAnsi="宋体" w:cs="宋体"/>
        </w:rPr>
        <w:t>标段二：</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705"/>
        <w:gridCol w:w="7019"/>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297"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项目内容</w:t>
            </w: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项目</w:t>
            </w:r>
          </w:p>
        </w:tc>
        <w:tc>
          <w:tcPr>
            <w:tcW w:w="3872"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评   分   标   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 w:type="pct"/>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公司综合情况(</w:t>
            </w:r>
            <w:r>
              <w:rPr>
                <w:rStyle w:val="73"/>
                <w:rFonts w:hint="default"/>
                <w:color w:val="auto"/>
                <w:lang w:bidi="ar"/>
              </w:rPr>
              <w:t>9</w:t>
            </w:r>
            <w:r>
              <w:rPr>
                <w:rStyle w:val="46"/>
                <w:rFonts w:hint="eastAsia" w:ascii="宋体" w:hAnsi="宋体" w:cs="宋体"/>
                <w:color w:val="auto"/>
                <w:sz w:val="24"/>
                <w:szCs w:val="24"/>
                <w:lang w:bidi="ar"/>
              </w:rPr>
              <w:t>分)</w:t>
            </w: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保险</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投诉</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根据投标人所属总公司2021年第二季度每万张保单投诉量进行评分，每万张保单投诉件数&lt;=0.1件的得3分，0.2件&gt;=每万张保单投诉件数&gt;0.1件的得2分，0.3件&gt;=每万张保单投诉件数&gt;0.2件的得1分，其他的不得分（投标人需提供中国银保监会网站公布的数据并加盖投标人公章。不提供不得分</w:t>
            </w:r>
            <w:r>
              <w:rPr>
                <w:rStyle w:val="73"/>
                <w:rFonts w:hint="default"/>
                <w:color w:val="auto"/>
                <w:lang w:bidi="ar"/>
              </w:rPr>
              <w:t>）</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297" w:type="pct"/>
            <w:vMerge w:val="continue"/>
            <w:shd w:val="clear" w:color="auto" w:fill="auto"/>
            <w:tcMar>
              <w:top w:w="12" w:type="dxa"/>
              <w:left w:w="12" w:type="dxa"/>
              <w:right w:w="12" w:type="dxa"/>
            </w:tcMar>
            <w:vAlign w:val="center"/>
          </w:tcPr>
          <w:p>
            <w:pPr>
              <w:spacing w:line="360" w:lineRule="auto"/>
              <w:jc w:val="center"/>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企业偿付能力情况</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投标人所属总公司2020年度综合偿付能力，综合偿付能力充足率≥250%的，得4分；200%≤综合偿付能力充足率&lt;250%的，得2分；150%≤综合偿付能力充足率&lt;200%得1分；综合偿付能力充足率&lt;150%的不得分。（根据中国保险行业网站发布的2020年四季度保险公司偿付能力情况结果评比，加盖投标人公章，中国保险行业网站地址http://icid.iachina.cn/）</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3" w:hRule="atLeast"/>
        </w:trPr>
        <w:tc>
          <w:tcPr>
            <w:tcW w:w="297" w:type="pct"/>
            <w:vMerge w:val="continue"/>
            <w:shd w:val="clear" w:color="auto" w:fill="auto"/>
            <w:tcMar>
              <w:top w:w="12" w:type="dxa"/>
              <w:left w:w="12" w:type="dxa"/>
              <w:right w:w="12" w:type="dxa"/>
            </w:tcMar>
            <w:vAlign w:val="center"/>
          </w:tcPr>
          <w:p>
            <w:pPr>
              <w:spacing w:line="360" w:lineRule="auto"/>
              <w:jc w:val="center"/>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分支机构设立情况</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投标人</w:t>
            </w:r>
            <w:r>
              <w:rPr>
                <w:rStyle w:val="46"/>
                <w:rFonts w:hint="eastAsia" w:ascii="宋体" w:hAnsi="宋体" w:cs="宋体"/>
                <w:color w:val="auto"/>
                <w:sz w:val="24"/>
                <w:szCs w:val="24"/>
                <w:lang w:bidi="ar"/>
              </w:rPr>
              <w:t>已在用户所在地设立支公司及以上级别保险公司的分支机构得2分。</w:t>
            </w:r>
            <w:r>
              <w:rPr>
                <w:rFonts w:hint="eastAsia" w:ascii="宋体" w:hAnsi="宋体" w:cs="宋体"/>
                <w:kern w:val="0"/>
                <w:sz w:val="24"/>
                <w:lang w:bidi="ar"/>
              </w:rPr>
              <w:t>(已设立的提供营业执照复印件，保险业务许可证复印件，并加盖竞标保险公司公章）。</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297" w:type="pct"/>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公司服务能力</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w:t>
            </w:r>
            <w:r>
              <w:rPr>
                <w:rStyle w:val="73"/>
                <w:rFonts w:hint="default"/>
                <w:color w:val="auto"/>
                <w:lang w:bidi="ar"/>
              </w:rPr>
              <w:t>11</w:t>
            </w:r>
            <w:r>
              <w:rPr>
                <w:rStyle w:val="46"/>
                <w:rFonts w:hint="eastAsia" w:ascii="宋体" w:hAnsi="宋体" w:cs="宋体"/>
                <w:color w:val="auto"/>
                <w:sz w:val="24"/>
                <w:szCs w:val="24"/>
                <w:lang w:bidi="ar"/>
              </w:rPr>
              <w:t>分)</w:t>
            </w: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项目</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经验</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投标人及其下属公司自2019年1月1日以来在项目所在地具有与政府部门合作的医保项目，每满一年得1分，此项最高得3分。与所在地政府部门合作过“基本医疗意外伤害保险”项目的加1分。(注：1.满期年份计算至2021年12月31日，不同项目服务时间重叠部分不重复计算，不足一年的部分不计入;2.提供保险协议或相关证明材料复印件，开标时携带原件核查，否则不得分；3.如共同承保，则按照所占份额计算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297" w:type="pct"/>
            <w:vMerge w:val="continue"/>
            <w:shd w:val="clear" w:color="auto" w:fill="auto"/>
            <w:noWrap/>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服务评价等级</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根据投标人所属总公司最新年度服务等级评分，AA级及以上得5分，A级得3分，BBB级及以下或无评级得1分。（根据中国保信网站发布的2018年保险公司服务评价结果评，加盖投标人公章，中国保信网站地址：http://www.cbit.com.cn/zgbxgw/xwgg/tzgg/390057/index.html</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trPr>
        <w:tc>
          <w:tcPr>
            <w:tcW w:w="297" w:type="pct"/>
            <w:vMerge w:val="continue"/>
            <w:shd w:val="clear" w:color="auto" w:fill="auto"/>
            <w:noWrap/>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上级公司承担风险承诺</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参加投标的保险公司的上级公司承诺当参加投标的保险公司无能力支付赔偿金额时由上级公司承担赔偿责任的得</w:t>
            </w:r>
            <w:r>
              <w:rPr>
                <w:rStyle w:val="73"/>
                <w:rFonts w:hint="default"/>
                <w:color w:val="auto"/>
                <w:lang w:bidi="ar"/>
              </w:rPr>
              <w:t>2分</w:t>
            </w:r>
            <w:r>
              <w:rPr>
                <w:rStyle w:val="46"/>
                <w:rFonts w:hint="eastAsia" w:ascii="宋体" w:hAnsi="宋体" w:cs="宋体"/>
                <w:color w:val="auto"/>
                <w:sz w:val="24"/>
                <w:szCs w:val="24"/>
                <w:lang w:bidi="ar"/>
              </w:rPr>
              <w:t>，无承诺的不得分。（提供上级公司承诺文件）</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297" w:type="pct"/>
            <w:vMerge w:val="restar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实施方案(</w:t>
            </w:r>
            <w:r>
              <w:rPr>
                <w:rStyle w:val="73"/>
                <w:rFonts w:hint="default"/>
                <w:color w:val="auto"/>
                <w:lang w:bidi="ar"/>
              </w:rPr>
              <w:t>50</w:t>
            </w:r>
            <w:r>
              <w:rPr>
                <w:rStyle w:val="46"/>
                <w:rFonts w:hint="eastAsia" w:ascii="宋体" w:hAnsi="宋体" w:cs="宋体"/>
                <w:color w:val="auto"/>
                <w:sz w:val="24"/>
                <w:szCs w:val="24"/>
                <w:lang w:bidi="ar"/>
              </w:rPr>
              <w:t>分)</w:t>
            </w: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保险服务实施方案</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对投标人提出的服务方案进行整体评价，方案详实，各项工作计划安排专业、详细、可行，得4~5分；方案合理、可行的，满足服务需求的得2~3.9分；方案基本满足的得1~1.9分；没有项目实施方案的不得分。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调查</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方案</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承诺按照医保相关规定及时客观的调查参保人员外伤情况，并提供具体实施细化方案，由专家根据方案综合打分。方案完整、详细、科学、实用得4~5分，次之得2~3.9分，其余得1~1.9分，不提供不得分。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核查</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人数</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比例</w:t>
            </w:r>
          </w:p>
        </w:tc>
        <w:tc>
          <w:tcPr>
            <w:tcW w:w="3872" w:type="pct"/>
            <w:shd w:val="clear" w:color="auto" w:fill="auto"/>
            <w:tcMar>
              <w:top w:w="12" w:type="dxa"/>
              <w:left w:w="12" w:type="dxa"/>
              <w:right w:w="12"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lang w:bidi="ar"/>
              </w:rPr>
              <w:t>承诺承保期间核查赔付人数占当地意外伤害赔付总人数比例不低于20%，承诺承保期间核查赔付金额占当地意外伤害赔付总金额比例不低于20%得</w:t>
            </w:r>
            <w:r>
              <w:rPr>
                <w:rStyle w:val="73"/>
                <w:rFonts w:hint="default"/>
                <w:color w:val="auto"/>
                <w:lang w:bidi="ar"/>
              </w:rPr>
              <w:t>5</w:t>
            </w:r>
            <w:r>
              <w:rPr>
                <w:rStyle w:val="46"/>
                <w:rFonts w:hint="eastAsia" w:ascii="宋体" w:hAnsi="宋体" w:cs="宋体"/>
                <w:color w:val="auto"/>
                <w:sz w:val="24"/>
                <w:szCs w:val="24"/>
                <w:lang w:bidi="ar"/>
              </w:rPr>
              <w:t>分，没有不得分。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控费方案</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sz w:val="24"/>
              </w:rPr>
              <w:t>针对“基本医疗意外伤害保险”项目提出有效实际的控费方案，根据控费方案切实科学性、合理性、可操作性，由评委根据方案横向比较后综合评定。一档得4~5分，二档得2~3.9分，三档得1~1.9分，没有不得分。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5分</w:t>
            </w:r>
          </w:p>
          <w:p>
            <w:pPr>
              <w:widowControl/>
              <w:spacing w:line="360" w:lineRule="auto"/>
              <w:jc w:val="center"/>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9"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结报</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支付</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承诺按照医保相关规定准确、及时结报各项待遇得</w:t>
            </w:r>
            <w:r>
              <w:rPr>
                <w:rStyle w:val="73"/>
                <w:rFonts w:hint="default"/>
                <w:color w:val="auto"/>
                <w:lang w:bidi="ar"/>
              </w:rPr>
              <w:t>2</w:t>
            </w:r>
            <w:r>
              <w:rPr>
                <w:rStyle w:val="46"/>
                <w:rFonts w:hint="eastAsia" w:ascii="宋体" w:hAnsi="宋体" w:cs="宋体"/>
                <w:color w:val="auto"/>
                <w:sz w:val="24"/>
                <w:szCs w:val="24"/>
                <w:lang w:bidi="ar"/>
              </w:rPr>
              <w:t>分。</w:t>
            </w:r>
            <w:r>
              <w:rPr>
                <w:rFonts w:hint="eastAsia" w:ascii="宋体" w:hAnsi="宋体" w:cs="宋体"/>
                <w:kern w:val="0"/>
                <w:sz w:val="24"/>
                <w:lang w:bidi="ar"/>
              </w:rPr>
              <w:t>承诺规定时间内划拨医疗费用报销款，确保报销支出专户的金额安全充足得1分，没有不得分。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3</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绩效</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考评</w:t>
            </w:r>
          </w:p>
        </w:tc>
        <w:tc>
          <w:tcPr>
            <w:tcW w:w="3872" w:type="pct"/>
            <w:shd w:val="clear" w:color="auto" w:fill="auto"/>
            <w:tcMar>
              <w:top w:w="12" w:type="dxa"/>
              <w:left w:w="12" w:type="dxa"/>
              <w:right w:w="12"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lang w:bidi="ar"/>
              </w:rPr>
              <w:t>建立科学、先进的对经办专业人员进行系统绩效评价、作业管理、培训管理、薪酬管理系统，由专家根据方案综合评分：方案完整、详细、科学、实用得4~5分，次之得2~3.9分，其余得1~1.9分，不提供不得分。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纠纷</w:t>
            </w:r>
          </w:p>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调解</w:t>
            </w:r>
          </w:p>
          <w:p>
            <w:pPr>
              <w:widowControl/>
              <w:spacing w:line="360" w:lineRule="auto"/>
              <w:jc w:val="center"/>
              <w:textAlignment w:val="center"/>
              <w:rPr>
                <w:rFonts w:ascii="宋体" w:hAnsi="宋体" w:cs="宋体"/>
                <w:sz w:val="24"/>
              </w:rPr>
            </w:pP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制定意外伤害理赔规范和</w:t>
            </w:r>
            <w:r>
              <w:rPr>
                <w:rFonts w:hint="eastAsia" w:ascii="宋体" w:hAnsi="宋体" w:cs="宋体"/>
                <w:kern w:val="0"/>
                <w:sz w:val="24"/>
                <w:lang w:eastAsia="zh-CN" w:bidi="ar"/>
              </w:rPr>
              <w:t>纠纷调解</w:t>
            </w:r>
            <w:r>
              <w:rPr>
                <w:rFonts w:hint="eastAsia" w:ascii="宋体" w:hAnsi="宋体" w:cs="宋体"/>
                <w:kern w:val="0"/>
                <w:sz w:val="24"/>
                <w:lang w:bidi="ar"/>
              </w:rPr>
              <w:t>机制，有效控制投诉人员投诉率，视方案科学合理性、目标的控制率，由评委根据方案综合评分，</w:t>
            </w:r>
            <w:r>
              <w:rPr>
                <w:rFonts w:hint="eastAsia" w:ascii="宋体" w:hAnsi="宋体" w:cs="宋体"/>
                <w:sz w:val="24"/>
              </w:rPr>
              <w:t>一档得4~5分，二档得2~3.9分，三档得1~1.9分，没有不得分。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报表</w:t>
            </w:r>
          </w:p>
          <w:p>
            <w:pPr>
              <w:widowControl/>
              <w:spacing w:line="360" w:lineRule="auto"/>
              <w:jc w:val="center"/>
              <w:textAlignment w:val="center"/>
              <w:rPr>
                <w:rFonts w:ascii="宋体" w:hAnsi="宋体" w:cs="宋体"/>
                <w:sz w:val="24"/>
              </w:rPr>
            </w:pPr>
            <w:r>
              <w:rPr>
                <w:rFonts w:hint="eastAsia" w:ascii="宋体" w:hAnsi="宋体" w:cs="宋体"/>
                <w:kern w:val="0"/>
                <w:sz w:val="24"/>
                <w:lang w:bidi="ar"/>
              </w:rPr>
              <w:t>测算</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承诺理赔结算准确及时，按时上报各类报表，每个季度做好基金收支预算、结算和测算工作得</w:t>
            </w:r>
            <w:r>
              <w:rPr>
                <w:rStyle w:val="73"/>
                <w:rFonts w:hint="default"/>
                <w:color w:val="auto"/>
                <w:lang w:bidi="ar"/>
              </w:rPr>
              <w:t>2</w:t>
            </w:r>
            <w:r>
              <w:rPr>
                <w:rStyle w:val="46"/>
                <w:rFonts w:hint="eastAsia" w:ascii="宋体" w:hAnsi="宋体" w:cs="宋体"/>
                <w:color w:val="auto"/>
                <w:sz w:val="24"/>
                <w:szCs w:val="24"/>
                <w:lang w:bidi="ar"/>
              </w:rPr>
              <w:t>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2</w:t>
            </w:r>
            <w:r>
              <w:rPr>
                <w:rStyle w:val="46"/>
                <w:rFonts w:hint="eastAsia" w:ascii="宋体" w:hAnsi="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vMerge w:val="restar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增值</w:t>
            </w:r>
            <w:r>
              <w:rPr>
                <w:rStyle w:val="46"/>
                <w:rFonts w:hint="eastAsia" w:ascii="宋体" w:hAnsi="宋体" w:cs="宋体"/>
                <w:color w:val="auto"/>
                <w:sz w:val="24"/>
                <w:szCs w:val="24"/>
                <w:lang w:bidi="ar"/>
              </w:rPr>
              <w:t xml:space="preserve"> 服务</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针对医保基金的大数据监管提供增值服务方案，根据增值服务方案全面性、切实科学性、合理性、可操作性，由评委根据方案横向比较后综合评定。</w:t>
            </w:r>
            <w:r>
              <w:rPr>
                <w:rFonts w:hint="eastAsia" w:ascii="宋体" w:hAnsi="宋体" w:cs="宋体"/>
                <w:sz w:val="24"/>
              </w:rPr>
              <w:t>一档得4~5分，二档得2~3.9分，三档得1~1.9分，没有不得分。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vMerge w:val="continue"/>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针对提升医保参保人员参保率及扩大医保政策宣传提供增值服务方案，根据增值服务方案全面性、切实科学性、合理性、可操作性，由评委根据方案横向比较后综合评定。</w:t>
            </w:r>
            <w:r>
              <w:rPr>
                <w:rFonts w:hint="eastAsia" w:ascii="宋体" w:hAnsi="宋体" w:cs="宋体"/>
                <w:sz w:val="24"/>
              </w:rPr>
              <w:t>一档得4~5分，二档得2~3.9分，三档得1~1.9分，没有不得分。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297" w:type="pct"/>
            <w:vMerge w:val="continue"/>
            <w:shd w:val="clear" w:color="auto" w:fill="auto"/>
            <w:tcMar>
              <w:top w:w="12" w:type="dxa"/>
              <w:left w:w="12" w:type="dxa"/>
              <w:right w:w="12" w:type="dxa"/>
            </w:tcMar>
            <w:vAlign w:val="center"/>
          </w:tcPr>
          <w:p>
            <w:pPr>
              <w:spacing w:line="360" w:lineRule="auto"/>
              <w:rPr>
                <w:rFonts w:ascii="宋体" w:hAnsi="宋体" w:cs="宋体"/>
                <w:sz w:val="24"/>
              </w:rPr>
            </w:pPr>
          </w:p>
        </w:tc>
        <w:tc>
          <w:tcPr>
            <w:tcW w:w="389" w:type="pct"/>
            <w:vMerge w:val="continue"/>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针对提升医保经办服务能力及其他提升医保参保人员满意度提供增值服务方案，根据增值服务方案全面性、切实科学性、合理性、可操作性，由评委根据方案横向比较后综合评定。</w:t>
            </w:r>
            <w:r>
              <w:rPr>
                <w:rFonts w:hint="eastAsia" w:ascii="宋体" w:hAnsi="宋体" w:cs="宋体"/>
                <w:sz w:val="24"/>
              </w:rPr>
              <w:t>一档得4~5分，二档得2~3.9分，三档得1~1.9分，没有不得分。</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trPr>
        <w:tc>
          <w:tcPr>
            <w:tcW w:w="297" w:type="pct"/>
            <w:shd w:val="clear" w:color="auto" w:fill="auto"/>
            <w:tcMar>
              <w:top w:w="12" w:type="dxa"/>
              <w:left w:w="12" w:type="dxa"/>
              <w:right w:w="12" w:type="dxa"/>
            </w:tcMar>
            <w:vAlign w:val="center"/>
          </w:tcPr>
          <w:p>
            <w:pPr>
              <w:spacing w:line="360" w:lineRule="auto"/>
              <w:rPr>
                <w:rFonts w:ascii="宋体" w:hAnsi="宋体" w:cs="宋体"/>
                <w:sz w:val="24"/>
              </w:rPr>
            </w:pPr>
            <w:r>
              <w:rPr>
                <w:rFonts w:hint="eastAsia" w:ascii="宋体" w:hAnsi="宋体" w:cs="宋体"/>
                <w:sz w:val="24"/>
              </w:rPr>
              <w:t>价格</w:t>
            </w:r>
          </w:p>
        </w:tc>
        <w:tc>
          <w:tcPr>
            <w:tcW w:w="389" w:type="pct"/>
            <w:shd w:val="clear" w:color="auto" w:fill="auto"/>
            <w:tcMar>
              <w:top w:w="12" w:type="dxa"/>
              <w:left w:w="12" w:type="dxa"/>
              <w:right w:w="12" w:type="dxa"/>
            </w:tcMar>
            <w:vAlign w:val="center"/>
          </w:tcPr>
          <w:p>
            <w:pPr>
              <w:widowControl/>
              <w:spacing w:line="360" w:lineRule="auto"/>
              <w:textAlignment w:val="center"/>
              <w:rPr>
                <w:rFonts w:ascii="宋体" w:hAnsi="宋体" w:cs="宋体"/>
                <w:sz w:val="24"/>
              </w:rPr>
            </w:pPr>
            <w:r>
              <w:rPr>
                <w:rFonts w:hint="eastAsia" w:ascii="宋体" w:hAnsi="宋体" w:cs="宋体"/>
                <w:kern w:val="0"/>
                <w:sz w:val="24"/>
                <w:lang w:bidi="ar"/>
              </w:rPr>
              <w:t xml:space="preserve">价格分 </w:t>
            </w:r>
          </w:p>
        </w:tc>
        <w:tc>
          <w:tcPr>
            <w:tcW w:w="3872" w:type="pct"/>
            <w:shd w:val="clear" w:color="auto" w:fill="auto"/>
            <w:tcMar>
              <w:top w:w="12" w:type="dxa"/>
              <w:left w:w="12" w:type="dxa"/>
              <w:right w:w="12" w:type="dxa"/>
            </w:tcMar>
            <w:vAlign w:val="center"/>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以合格投标人有效投标总报价中的最低价为基准价，基准价为30分。投标报价得分＝（评标基准价/投标报价）×30%×100（小数点后保留2位小数）。</w:t>
            </w:r>
          </w:p>
        </w:tc>
        <w:tc>
          <w:tcPr>
            <w:tcW w:w="440" w:type="pct"/>
            <w:shd w:val="clear" w:color="auto" w:fill="auto"/>
            <w:tcMar>
              <w:top w:w="12" w:type="dxa"/>
              <w:left w:w="12" w:type="dxa"/>
              <w:right w:w="12" w:type="dxa"/>
            </w:tcMar>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30分</w:t>
            </w:r>
          </w:p>
        </w:tc>
      </w:tr>
    </w:tbl>
    <w:p>
      <w:pPr>
        <w:spacing w:line="360" w:lineRule="auto"/>
        <w:rPr>
          <w:rFonts w:ascii="宋体" w:hAnsi="宋体" w:cs="宋体"/>
          <w:sz w:val="24"/>
        </w:rPr>
      </w:pPr>
      <w:r>
        <w:rPr>
          <w:rFonts w:hint="eastAsia" w:ascii="宋体" w:hAnsi="宋体" w:cs="宋体"/>
          <w:b/>
          <w:bCs/>
          <w:sz w:val="24"/>
        </w:rPr>
        <w:t>注</w:t>
      </w:r>
      <w:r>
        <w:rPr>
          <w:rFonts w:hint="eastAsia" w:ascii="宋体" w:hAnsi="宋体" w:cs="宋体"/>
          <w:sz w:val="24"/>
        </w:rPr>
        <w:t>：请扫描上传合同、证书、报告及其他相关证明材料的原件至投标文件，并加盖公章。</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（4）投标人的澄清、说明或者补正采用书面形式，并加盖公章或者由法定代表人（单位负责人）或授权代表签字，且不得超出投标文件的范围或者改变投标文件的实质性内容。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30"/>
      </w:pPr>
    </w:p>
    <w:p>
      <w:pPr>
        <w:pStyle w:val="30"/>
      </w:pPr>
    </w:p>
    <w:p>
      <w:pPr>
        <w:pStyle w:val="30"/>
      </w:pPr>
    </w:p>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24" w:name="_Toc27944_WPSOffice_Level1"/>
      <w:r>
        <w:rPr>
          <w:rFonts w:hint="eastAsia" w:asciiTheme="minorEastAsia" w:hAnsiTheme="minorEastAsia" w:eastAsiaTheme="minorEastAsia"/>
          <w:b/>
          <w:sz w:val="36"/>
          <w:szCs w:val="36"/>
        </w:rPr>
        <w:t xml:space="preserve">第五章 </w:t>
      </w:r>
      <w:bookmarkEnd w:id="24"/>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0"/>
        <w:spacing w:line="420" w:lineRule="exact"/>
        <w:rPr>
          <w:rFonts w:ascii="宋体" w:hAnsi="宋体" w:cs="宋体"/>
          <w:b/>
          <w:bCs/>
        </w:rPr>
      </w:pPr>
      <w:r>
        <w:rPr>
          <w:rFonts w:hint="eastAsia" w:ascii="宋体" w:hAnsi="宋体" w:cs="宋体"/>
          <w:b/>
          <w:bCs/>
        </w:rPr>
        <w:t>标段一：</w:t>
      </w:r>
    </w:p>
    <w:p>
      <w:pPr>
        <w:pStyle w:val="14"/>
        <w:snapToGrid w:val="0"/>
        <w:spacing w:before="120" w:after="120" w:line="420" w:lineRule="exact"/>
        <w:rPr>
          <w:rFonts w:hAnsi="宋体" w:cs="宋体"/>
          <w:sz w:val="24"/>
        </w:rPr>
      </w:pPr>
      <w:r>
        <w:rPr>
          <w:rFonts w:hint="eastAsia" w:hAnsi="宋体" w:cs="宋体"/>
          <w:sz w:val="24"/>
        </w:rPr>
        <w:t>项目名称：</w:t>
      </w:r>
      <w:r>
        <w:rPr>
          <w:rFonts w:hint="eastAsia" w:hAnsi="宋体" w:cs="宋体"/>
          <w:kern w:val="0"/>
          <w:sz w:val="24"/>
          <w:u w:val="single"/>
        </w:rPr>
        <w:t>2022-2023年度黄岩区城乡居民基本医疗保险意外伤害住院医疗费用再保险项目</w:t>
      </w:r>
    </w:p>
    <w:p>
      <w:pPr>
        <w:pStyle w:val="14"/>
        <w:snapToGrid w:val="0"/>
        <w:spacing w:before="120" w:after="120" w:line="420" w:lineRule="exact"/>
        <w:rPr>
          <w:rFonts w:hAnsi="宋体" w:cs="宋体"/>
          <w:sz w:val="24"/>
          <w:u w:val="single"/>
        </w:rPr>
      </w:pPr>
      <w:r>
        <w:rPr>
          <w:rFonts w:hint="eastAsia" w:hAnsi="宋体" w:cs="宋体"/>
          <w:sz w:val="24"/>
        </w:rPr>
        <w:t>项目编号：</w:t>
      </w:r>
      <w:r>
        <w:rPr>
          <w:rFonts w:hint="eastAsia" w:hAnsi="宋体" w:cs="宋体"/>
          <w:sz w:val="24"/>
          <w:u w:val="single"/>
        </w:rPr>
        <w:t xml:space="preserve">                         </w:t>
      </w:r>
    </w:p>
    <w:p>
      <w:pPr>
        <w:pStyle w:val="14"/>
        <w:snapToGrid w:val="0"/>
        <w:spacing w:before="120" w:after="120" w:line="420" w:lineRule="exact"/>
        <w:rPr>
          <w:rFonts w:hAnsi="宋体" w:cs="宋体"/>
          <w:sz w:val="24"/>
        </w:rPr>
      </w:pPr>
      <w:r>
        <w:rPr>
          <w:rFonts w:hint="eastAsia" w:hAnsi="宋体" w:cs="宋体"/>
          <w:sz w:val="24"/>
        </w:rPr>
        <w:t>甲方：</w:t>
      </w:r>
      <w:r>
        <w:rPr>
          <w:rFonts w:hint="eastAsia" w:hAnsi="宋体" w:cs="宋体"/>
          <w:sz w:val="24"/>
          <w:u w:val="single"/>
        </w:rPr>
        <w:t xml:space="preserve">台州市黄岩区医疗保障局 </w:t>
      </w:r>
    </w:p>
    <w:p>
      <w:pPr>
        <w:pStyle w:val="14"/>
        <w:snapToGrid w:val="0"/>
        <w:spacing w:before="120" w:after="120" w:line="420" w:lineRule="exact"/>
        <w:rPr>
          <w:rFonts w:hAnsi="宋体" w:cs="宋体"/>
          <w:sz w:val="24"/>
        </w:rPr>
      </w:pPr>
      <w:r>
        <w:rPr>
          <w:rFonts w:hint="eastAsia" w:hAnsi="宋体" w:cs="宋体"/>
          <w:sz w:val="24"/>
        </w:rPr>
        <w:t>乙方：</w:t>
      </w:r>
      <w:r>
        <w:rPr>
          <w:rFonts w:hint="eastAsia" w:hAnsi="宋体" w:cs="宋体"/>
          <w:sz w:val="24"/>
          <w:u w:val="single"/>
        </w:rPr>
        <w:t xml:space="preserve">                             </w:t>
      </w:r>
    </w:p>
    <w:p>
      <w:pPr>
        <w:pStyle w:val="14"/>
        <w:snapToGrid w:val="0"/>
        <w:spacing w:before="120" w:after="120" w:line="420" w:lineRule="exact"/>
        <w:ind w:firstLine="480" w:firstLineChars="200"/>
        <w:rPr>
          <w:rFonts w:hAnsi="宋体" w:cs="宋体"/>
          <w:b/>
          <w:sz w:val="24"/>
        </w:rPr>
      </w:pPr>
      <w:r>
        <w:rPr>
          <w:rFonts w:hint="eastAsia" w:hAnsi="宋体" w:cs="宋体"/>
          <w:sz w:val="24"/>
        </w:rPr>
        <w:t>甲、乙双方根据</w:t>
      </w:r>
      <w:r>
        <w:rPr>
          <w:rFonts w:hint="eastAsia" w:hAnsi="宋体" w:cs="宋体"/>
          <w:kern w:val="0"/>
          <w:sz w:val="24"/>
        </w:rPr>
        <w:t>黄岩区城乡居民基本医疗保险 意外伤害住院医疗费用再保险</w:t>
      </w:r>
      <w:r>
        <w:rPr>
          <w:rFonts w:hint="eastAsia" w:hAnsi="宋体" w:cs="宋体"/>
          <w:sz w:val="24"/>
        </w:rPr>
        <w:t>公开招标的结果，签署本合同。</w:t>
      </w:r>
    </w:p>
    <w:p>
      <w:pPr>
        <w:pStyle w:val="4"/>
        <w:autoSpaceDE/>
        <w:autoSpaceDN/>
        <w:adjustRightInd/>
        <w:spacing w:line="420" w:lineRule="exact"/>
        <w:ind w:right="210" w:rightChars="100"/>
        <w:rPr>
          <w:rFonts w:cs="宋体"/>
          <w:sz w:val="24"/>
          <w:szCs w:val="24"/>
          <w:lang w:val="zh-CN"/>
        </w:rPr>
      </w:pPr>
      <w:r>
        <w:rPr>
          <w:rFonts w:hint="eastAsia"/>
        </w:rPr>
        <w:t>一、</w:t>
      </w:r>
      <w:r>
        <w:rPr>
          <w:rFonts w:hint="eastAsia"/>
          <w:lang w:val="zh-CN"/>
        </w:rPr>
        <w:t>合同文件：</w:t>
      </w:r>
      <w:r>
        <w:rPr>
          <w:rFonts w:hint="eastAsia" w:cs="宋体"/>
          <w:sz w:val="24"/>
          <w:szCs w:val="24"/>
          <w:lang w:val="zh-CN"/>
        </w:rPr>
        <w:t xml:space="preserve"> </w:t>
      </w:r>
    </w:p>
    <w:p>
      <w:pPr>
        <w:spacing w:line="420" w:lineRule="exact"/>
        <w:ind w:firstLine="480" w:firstLineChars="200"/>
        <w:rPr>
          <w:rFonts w:ascii="宋体" w:hAnsi="宋体" w:cs="宋体"/>
          <w:sz w:val="24"/>
          <w:lang w:val="zh-CN"/>
        </w:rPr>
      </w:pPr>
      <w:r>
        <w:rPr>
          <w:rFonts w:hint="eastAsia" w:ascii="宋体" w:hAnsi="宋体" w:cs="宋体"/>
          <w:sz w:val="24"/>
          <w:lang w:val="zh-CN"/>
        </w:rPr>
        <w:t>1.合同条款。</w:t>
      </w:r>
    </w:p>
    <w:p>
      <w:pPr>
        <w:spacing w:line="420" w:lineRule="exact"/>
        <w:ind w:firstLine="480" w:firstLineChars="200"/>
        <w:rPr>
          <w:rFonts w:ascii="宋体" w:hAnsi="宋体" w:cs="宋体"/>
          <w:sz w:val="24"/>
          <w:lang w:val="zh-CN"/>
        </w:rPr>
      </w:pPr>
      <w:r>
        <w:rPr>
          <w:rFonts w:hint="eastAsia" w:ascii="宋体" w:hAnsi="宋体" w:cs="宋体"/>
          <w:sz w:val="24"/>
          <w:lang w:val="zh-CN"/>
        </w:rPr>
        <w:t>2.中标通知书。</w:t>
      </w:r>
    </w:p>
    <w:p>
      <w:pPr>
        <w:spacing w:line="420" w:lineRule="exact"/>
        <w:ind w:firstLine="480" w:firstLineChars="200"/>
        <w:rPr>
          <w:rFonts w:ascii="宋体" w:hAnsi="宋体" w:cs="宋体"/>
          <w:sz w:val="24"/>
          <w:lang w:val="zh-CN"/>
        </w:rPr>
      </w:pPr>
      <w:r>
        <w:rPr>
          <w:rFonts w:hint="eastAsia" w:ascii="宋体" w:hAnsi="宋体" w:cs="宋体"/>
          <w:sz w:val="24"/>
          <w:lang w:val="zh-CN"/>
        </w:rPr>
        <w:t>3.更正补充文件。</w:t>
      </w:r>
    </w:p>
    <w:p>
      <w:pPr>
        <w:spacing w:line="420" w:lineRule="exact"/>
        <w:ind w:firstLine="480" w:firstLineChars="200"/>
        <w:rPr>
          <w:rFonts w:ascii="宋体" w:hAnsi="宋体" w:cs="宋体"/>
          <w:sz w:val="24"/>
          <w:lang w:val="zh-CN"/>
        </w:rPr>
      </w:pPr>
      <w:r>
        <w:rPr>
          <w:rFonts w:hint="eastAsia" w:ascii="宋体" w:hAnsi="宋体" w:cs="宋体"/>
          <w:sz w:val="24"/>
          <w:lang w:val="zh-CN"/>
        </w:rPr>
        <w:t>4.招标文件。</w:t>
      </w:r>
    </w:p>
    <w:p>
      <w:pPr>
        <w:spacing w:line="420" w:lineRule="exact"/>
        <w:ind w:firstLine="480" w:firstLineChars="200"/>
        <w:rPr>
          <w:rFonts w:ascii="宋体" w:hAnsi="宋体" w:cs="宋体"/>
          <w:sz w:val="24"/>
          <w:lang w:val="zh-CN"/>
        </w:rPr>
      </w:pPr>
      <w:r>
        <w:rPr>
          <w:rFonts w:hint="eastAsia" w:ascii="宋体" w:hAnsi="宋体" w:cs="宋体"/>
          <w:sz w:val="24"/>
          <w:lang w:val="zh-CN"/>
        </w:rPr>
        <w:t>5.中标供应商投标文件。</w:t>
      </w:r>
    </w:p>
    <w:p>
      <w:pPr>
        <w:spacing w:line="420" w:lineRule="exact"/>
        <w:ind w:firstLine="480" w:firstLineChars="200"/>
        <w:rPr>
          <w:rFonts w:ascii="宋体" w:hAnsi="宋体" w:cs="宋体"/>
          <w:sz w:val="24"/>
          <w:lang w:val="zh-CN"/>
        </w:rPr>
      </w:pPr>
      <w:r>
        <w:rPr>
          <w:rFonts w:hint="eastAsia" w:ascii="宋体" w:hAnsi="宋体" w:cs="宋体"/>
          <w:sz w:val="24"/>
          <w:lang w:val="zh-CN"/>
        </w:rPr>
        <w:t>6.其他。</w:t>
      </w:r>
    </w:p>
    <w:p>
      <w:pPr>
        <w:pStyle w:val="14"/>
        <w:snapToGrid w:val="0"/>
        <w:spacing w:line="420" w:lineRule="exact"/>
        <w:ind w:firstLine="480" w:firstLineChars="200"/>
        <w:rPr>
          <w:rFonts w:hAnsi="宋体" w:cs="宋体"/>
          <w:sz w:val="24"/>
          <w:lang w:val="zh-CN"/>
        </w:rPr>
      </w:pPr>
      <w:r>
        <w:rPr>
          <w:rFonts w:hint="eastAsia" w:hAnsi="宋体" w:cs="宋体"/>
          <w:sz w:val="24"/>
          <w:lang w:val="zh-CN"/>
        </w:rPr>
        <w:t>上述所指合同文件应认为是互相补充和解释的，但是有模棱两可或互相矛盾之处，以其所列内容顺序为准。</w:t>
      </w:r>
    </w:p>
    <w:p>
      <w:pPr>
        <w:snapToGrid w:val="0"/>
        <w:spacing w:line="420" w:lineRule="exact"/>
        <w:rPr>
          <w:rFonts w:ascii="宋体" w:hAnsi="宋体" w:cs="宋体"/>
          <w:b/>
          <w:sz w:val="24"/>
        </w:rPr>
      </w:pPr>
      <w:r>
        <w:rPr>
          <w:rFonts w:hint="eastAsia" w:ascii="宋体" w:hAnsi="宋体" w:cs="宋体"/>
          <w:b/>
          <w:sz w:val="24"/>
        </w:rPr>
        <w:t>二、承包内容</w:t>
      </w:r>
    </w:p>
    <w:p>
      <w:pPr>
        <w:snapToGrid w:val="0"/>
        <w:spacing w:line="420" w:lineRule="exact"/>
        <w:ind w:firstLine="424" w:firstLineChars="177"/>
        <w:rPr>
          <w:rFonts w:ascii="宋体" w:hAnsi="宋体" w:cs="宋体"/>
          <w:b/>
          <w:sz w:val="24"/>
        </w:rPr>
      </w:pPr>
      <w:r>
        <w:rPr>
          <w:rFonts w:hint="eastAsia" w:ascii="宋体" w:hAnsi="宋体" w:cs="宋体"/>
          <w:kern w:val="0"/>
          <w:sz w:val="24"/>
        </w:rPr>
        <w:t>2022-2023年度黄岩区城乡居民基本医疗保险意外伤害住院医疗费用再保险项目</w:t>
      </w:r>
      <w:r>
        <w:rPr>
          <w:rFonts w:hint="eastAsia" w:ascii="宋体" w:hAnsi="宋体" w:cs="宋体"/>
          <w:sz w:val="24"/>
        </w:rPr>
        <w:t>结算时按照实际结算费用的65%结算。</w:t>
      </w:r>
    </w:p>
    <w:p>
      <w:pPr>
        <w:snapToGrid w:val="0"/>
        <w:spacing w:line="420" w:lineRule="exact"/>
        <w:rPr>
          <w:rFonts w:ascii="宋体" w:hAnsi="宋体" w:cs="宋体"/>
          <w:b/>
          <w:sz w:val="24"/>
        </w:rPr>
      </w:pPr>
      <w:r>
        <w:rPr>
          <w:rFonts w:hint="eastAsia" w:ascii="宋体" w:hAnsi="宋体" w:cs="宋体"/>
          <w:b/>
          <w:sz w:val="24"/>
        </w:rPr>
        <w:t>三、合同金额</w:t>
      </w:r>
    </w:p>
    <w:p>
      <w:pPr>
        <w:spacing w:line="420" w:lineRule="exact"/>
        <w:ind w:firstLine="480" w:firstLineChars="200"/>
        <w:rPr>
          <w:rFonts w:ascii="宋体" w:hAnsi="宋体" w:cs="宋体"/>
          <w:sz w:val="24"/>
        </w:rPr>
      </w:pPr>
      <w:r>
        <w:rPr>
          <w:rFonts w:hint="eastAsia" w:ascii="宋体" w:hAnsi="宋体" w:cs="宋体"/>
          <w:sz w:val="24"/>
        </w:rPr>
        <w:t>本合同金额为(大写):</w:t>
      </w:r>
      <w:r>
        <w:rPr>
          <w:rFonts w:hint="eastAsia" w:ascii="宋体" w:hAnsi="宋体" w:cs="宋体"/>
          <w:sz w:val="24"/>
          <w:u w:val="single"/>
        </w:rPr>
        <w:t xml:space="preserve">                 </w:t>
      </w:r>
      <w:r>
        <w:rPr>
          <w:rFonts w:hint="eastAsia" w:ascii="宋体" w:hAnsi="宋体" w:cs="宋体"/>
          <w:sz w:val="24"/>
        </w:rPr>
        <w:t>元 (￥:</w:t>
      </w:r>
      <w:r>
        <w:rPr>
          <w:rFonts w:hint="eastAsia" w:ascii="宋体" w:hAnsi="宋体" w:cs="宋体"/>
          <w:sz w:val="24"/>
          <w:u w:val="single"/>
        </w:rPr>
        <w:t xml:space="preserve">              </w:t>
      </w:r>
      <w:r>
        <w:rPr>
          <w:rFonts w:hint="eastAsia" w:ascii="宋体" w:hAnsi="宋体" w:cs="宋体"/>
          <w:sz w:val="24"/>
        </w:rPr>
        <w:t>元) 人民币。</w:t>
      </w:r>
    </w:p>
    <w:p>
      <w:pPr>
        <w:pStyle w:val="14"/>
        <w:snapToGrid w:val="0"/>
        <w:spacing w:before="120" w:after="120" w:line="420" w:lineRule="exact"/>
        <w:ind w:firstLine="720" w:firstLineChars="300"/>
        <w:rPr>
          <w:rFonts w:hAnsi="宋体" w:cs="宋体"/>
          <w:b/>
          <w:sz w:val="24"/>
        </w:rPr>
      </w:pPr>
      <w:r>
        <w:rPr>
          <w:rFonts w:hint="eastAsia" w:hAnsi="宋体" w:cs="宋体"/>
          <w:sz w:val="24"/>
        </w:rPr>
        <w:t>注：XXX元/人/年，结算时按照实际参保人数。</w:t>
      </w:r>
    </w:p>
    <w:p>
      <w:pPr>
        <w:spacing w:line="420" w:lineRule="exact"/>
        <w:ind w:right="-153" w:rightChars="-73"/>
        <w:rPr>
          <w:rFonts w:ascii="宋体" w:hAnsi="宋体" w:cs="宋体"/>
          <w:b/>
          <w:kern w:val="0"/>
          <w:sz w:val="24"/>
        </w:rPr>
      </w:pPr>
      <w:r>
        <w:rPr>
          <w:rFonts w:hint="eastAsia" w:ascii="宋体" w:hAnsi="宋体" w:cs="宋体"/>
          <w:b/>
          <w:kern w:val="0"/>
          <w:sz w:val="24"/>
        </w:rPr>
        <w:t xml:space="preserve">三、保险期限           </w:t>
      </w:r>
    </w:p>
    <w:p>
      <w:pPr>
        <w:pStyle w:val="14"/>
        <w:snapToGrid w:val="0"/>
        <w:spacing w:before="120" w:after="120" w:line="420" w:lineRule="exact"/>
        <w:ind w:firstLine="480" w:firstLineChars="200"/>
        <w:rPr>
          <w:rFonts w:hAnsi="宋体" w:cs="宋体"/>
          <w:b/>
          <w:bCs/>
          <w:sz w:val="24"/>
        </w:rPr>
      </w:pPr>
      <w:r>
        <w:rPr>
          <w:rFonts w:hint="eastAsia" w:hAnsi="宋体" w:cs="宋体"/>
          <w:sz w:val="24"/>
        </w:rPr>
        <w:t>本次招标合作期从2022年1月1日起至2023年12月31日止，共两年。责任期限时间与基本医疗保险年度一致，既发生的时间以出院结算日为准。待遇支付均不包括大病保险待遇支付部分。如项目终止未续保，承保方承担保单责任（2022年1月1日至2023年12月31出院结算）内后续的意外伤害相关费用，受理时间截至2024年12月31日。</w:t>
      </w:r>
    </w:p>
    <w:p>
      <w:pPr>
        <w:pStyle w:val="14"/>
        <w:snapToGrid w:val="0"/>
        <w:spacing w:before="120" w:after="120" w:line="420" w:lineRule="exact"/>
        <w:rPr>
          <w:rFonts w:hAnsi="宋体" w:cs="宋体"/>
          <w:b/>
          <w:bCs/>
          <w:sz w:val="24"/>
        </w:rPr>
      </w:pPr>
      <w:r>
        <w:rPr>
          <w:rFonts w:hint="eastAsia" w:hAnsi="宋体" w:cs="宋体"/>
          <w:b/>
          <w:bCs/>
          <w:sz w:val="24"/>
        </w:rPr>
        <w:t>四、保费支付</w:t>
      </w:r>
    </w:p>
    <w:p>
      <w:pPr>
        <w:pStyle w:val="14"/>
        <w:snapToGrid w:val="0"/>
        <w:spacing w:before="120" w:after="120" w:line="420" w:lineRule="exact"/>
        <w:ind w:firstLine="480" w:firstLineChars="200"/>
        <w:rPr>
          <w:rFonts w:hAnsi="宋体" w:cs="宋体"/>
          <w:sz w:val="24"/>
        </w:rPr>
      </w:pPr>
      <w:r>
        <w:rPr>
          <w:rFonts w:hint="eastAsia" w:hAnsi="宋体" w:cs="宋体"/>
          <w:kern w:val="0"/>
          <w:sz w:val="24"/>
        </w:rPr>
        <w:t>黄岩区城乡居民基本医疗保险服务中心</w:t>
      </w:r>
      <w:r>
        <w:rPr>
          <w:rFonts w:hint="eastAsia" w:hAnsi="宋体" w:cs="宋体"/>
          <w:sz w:val="24"/>
        </w:rPr>
        <w:t>将年初集体征缴保费的90%按季度划拨给中标人，剩余的10%作为后续拨付资金，用于支付被保险人在保险期内发生的未支付部分的保险费，具体支付时间按结算期确定。（年初保费的计算方式为年初参保人数*中标单价）</w:t>
      </w:r>
    </w:p>
    <w:p>
      <w:pPr>
        <w:pStyle w:val="14"/>
        <w:snapToGrid w:val="0"/>
        <w:spacing w:before="120" w:after="120" w:line="420" w:lineRule="exact"/>
        <w:ind w:firstLine="480" w:firstLineChars="200"/>
        <w:rPr>
          <w:rFonts w:hAnsi="宋体" w:cs="宋体"/>
          <w:sz w:val="24"/>
        </w:rPr>
      </w:pPr>
      <w:r>
        <w:rPr>
          <w:rFonts w:hint="eastAsia" w:hAnsi="宋体" w:cs="宋体"/>
          <w:sz w:val="24"/>
        </w:rPr>
        <w:t>中途参保征缴保费于每年7月底和次年1月底分两次审核汇总后交中标人，同时将再保险保费划入中标人财务账户。（中途保费的计算方式为中途参保人数*中标单价）</w:t>
      </w:r>
    </w:p>
    <w:p>
      <w:pPr>
        <w:pStyle w:val="14"/>
        <w:snapToGrid w:val="0"/>
        <w:spacing w:before="120" w:after="120" w:line="420" w:lineRule="exact"/>
        <w:rPr>
          <w:rFonts w:hAnsi="宋体" w:cs="宋体"/>
          <w:b/>
          <w:bCs/>
          <w:sz w:val="24"/>
        </w:rPr>
      </w:pPr>
      <w:r>
        <w:rPr>
          <w:rFonts w:hint="eastAsia" w:hAnsi="宋体" w:cs="宋体"/>
          <w:b/>
          <w:bCs/>
          <w:sz w:val="24"/>
        </w:rPr>
        <w:t>五、待遇支付</w:t>
      </w:r>
    </w:p>
    <w:p>
      <w:pPr>
        <w:pStyle w:val="14"/>
        <w:snapToGrid w:val="0"/>
        <w:spacing w:before="120" w:after="120" w:line="420" w:lineRule="exact"/>
        <w:ind w:firstLine="480" w:firstLineChars="200"/>
        <w:rPr>
          <w:rFonts w:hAnsi="宋体" w:cs="宋体"/>
          <w:sz w:val="24"/>
        </w:rPr>
      </w:pPr>
      <w:r>
        <w:rPr>
          <w:rFonts w:hint="eastAsia" w:hAnsi="宋体" w:cs="宋体"/>
          <w:sz w:val="24"/>
        </w:rPr>
        <w:t>被保险人发生的医保费用，</w:t>
      </w:r>
      <w:r>
        <w:rPr>
          <w:rFonts w:hint="eastAsia" w:hAnsi="宋体" w:cs="宋体"/>
          <w:kern w:val="0"/>
          <w:sz w:val="24"/>
        </w:rPr>
        <w:t>黄岩区城乡居民基本医疗保险服务中心</w:t>
      </w:r>
      <w:r>
        <w:rPr>
          <w:rFonts w:hint="eastAsia" w:hAnsi="宋体" w:cs="宋体"/>
          <w:sz w:val="24"/>
        </w:rPr>
        <w:t>先予以垫付，次月再向中标人结算，中标人在收到采购人结算清单后5个工作日内，将理赔款项支付给采购人。中标人承担实际赔付额的65%。</w:t>
      </w:r>
    </w:p>
    <w:p>
      <w:pPr>
        <w:pStyle w:val="14"/>
        <w:snapToGrid w:val="0"/>
        <w:spacing w:before="120" w:after="120" w:line="420" w:lineRule="exact"/>
        <w:rPr>
          <w:b/>
          <w:bCs/>
          <w:sz w:val="24"/>
        </w:rPr>
      </w:pPr>
      <w:r>
        <w:rPr>
          <w:rFonts w:hint="eastAsia" w:hAnsi="宋体" w:cs="宋体"/>
          <w:b/>
          <w:bCs/>
          <w:sz w:val="24"/>
        </w:rPr>
        <w:t xml:space="preserve">六、盈亏奖惩方式  </w:t>
      </w:r>
      <w:r>
        <w:rPr>
          <w:rFonts w:hint="eastAsia" w:hAnsi="宋体" w:cs="宋体"/>
          <w:sz w:val="24"/>
        </w:rPr>
        <w:t>意外伤害设置调剂金制度：</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703"/>
        <w:gridCol w:w="169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20" w:lineRule="exact"/>
              <w:jc w:val="center"/>
              <w:rPr>
                <w:rFonts w:ascii="宋体" w:hAnsi="宋体" w:cs="宋体"/>
                <w:sz w:val="24"/>
              </w:rPr>
            </w:pPr>
            <w:r>
              <w:rPr>
                <w:rFonts w:hint="eastAsia" w:ascii="宋体" w:hAnsi="宋体" w:cs="宋体"/>
                <w:sz w:val="24"/>
              </w:rPr>
              <w:t>序号</w:t>
            </w:r>
          </w:p>
        </w:tc>
        <w:tc>
          <w:tcPr>
            <w:tcW w:w="1440" w:type="dxa"/>
            <w:vAlign w:val="center"/>
          </w:tcPr>
          <w:p>
            <w:pPr>
              <w:spacing w:line="420" w:lineRule="exact"/>
              <w:jc w:val="center"/>
              <w:rPr>
                <w:rFonts w:ascii="宋体" w:hAnsi="宋体" w:cs="宋体"/>
                <w:sz w:val="24"/>
              </w:rPr>
            </w:pPr>
            <w:r>
              <w:rPr>
                <w:rFonts w:hint="eastAsia" w:ascii="宋体" w:hAnsi="宋体" w:cs="宋体"/>
                <w:sz w:val="24"/>
              </w:rPr>
              <w:t>节约和超支</w:t>
            </w:r>
          </w:p>
        </w:tc>
        <w:tc>
          <w:tcPr>
            <w:tcW w:w="2703" w:type="dxa"/>
            <w:vAlign w:val="center"/>
          </w:tcPr>
          <w:p>
            <w:pPr>
              <w:spacing w:line="420" w:lineRule="exact"/>
              <w:jc w:val="center"/>
              <w:rPr>
                <w:rFonts w:ascii="宋体" w:hAnsi="宋体" w:cs="宋体"/>
                <w:sz w:val="24"/>
              </w:rPr>
            </w:pPr>
            <w:r>
              <w:rPr>
                <w:rFonts w:hint="eastAsia" w:ascii="宋体" w:hAnsi="宋体" w:cs="宋体"/>
                <w:sz w:val="24"/>
              </w:rPr>
              <w:t>节约（超支）比例</w:t>
            </w:r>
          </w:p>
        </w:tc>
        <w:tc>
          <w:tcPr>
            <w:tcW w:w="1696" w:type="dxa"/>
            <w:vAlign w:val="center"/>
          </w:tcPr>
          <w:p>
            <w:pPr>
              <w:spacing w:line="420" w:lineRule="exact"/>
              <w:jc w:val="center"/>
              <w:rPr>
                <w:rFonts w:ascii="宋体" w:hAnsi="宋体" w:cs="宋体"/>
                <w:sz w:val="24"/>
              </w:rPr>
            </w:pPr>
            <w:r>
              <w:rPr>
                <w:rFonts w:hint="eastAsia" w:ascii="宋体" w:hAnsi="宋体" w:cs="宋体"/>
                <w:sz w:val="24"/>
              </w:rPr>
              <w:t>奖励和赔偿</w:t>
            </w:r>
          </w:p>
        </w:tc>
        <w:tc>
          <w:tcPr>
            <w:tcW w:w="2261" w:type="dxa"/>
            <w:vAlign w:val="center"/>
          </w:tcPr>
          <w:p>
            <w:pPr>
              <w:spacing w:line="42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20" w:lineRule="exact"/>
              <w:jc w:val="center"/>
              <w:rPr>
                <w:rFonts w:ascii="宋体" w:hAnsi="宋体" w:cs="宋体"/>
                <w:sz w:val="24"/>
              </w:rPr>
            </w:pPr>
            <w:r>
              <w:rPr>
                <w:rFonts w:hint="eastAsia" w:ascii="宋体" w:hAnsi="宋体" w:cs="宋体"/>
                <w:sz w:val="24"/>
              </w:rPr>
              <w:t>1</w:t>
            </w:r>
          </w:p>
        </w:tc>
        <w:tc>
          <w:tcPr>
            <w:tcW w:w="1440" w:type="dxa"/>
            <w:vMerge w:val="restart"/>
            <w:vAlign w:val="center"/>
          </w:tcPr>
          <w:p>
            <w:pPr>
              <w:spacing w:line="420" w:lineRule="exact"/>
              <w:jc w:val="center"/>
              <w:rPr>
                <w:rFonts w:ascii="宋体" w:hAnsi="宋体" w:cs="宋体"/>
                <w:sz w:val="24"/>
              </w:rPr>
            </w:pPr>
            <w:r>
              <w:rPr>
                <w:rFonts w:hint="eastAsia" w:ascii="宋体" w:hAnsi="宋体" w:cs="宋体"/>
                <w:sz w:val="24"/>
              </w:rPr>
              <w:t>保费节约部分（实际结余金额）=中标金额-当年赔付支出-当年营运成本</w:t>
            </w:r>
          </w:p>
        </w:tc>
        <w:tc>
          <w:tcPr>
            <w:tcW w:w="2703" w:type="dxa"/>
            <w:vAlign w:val="center"/>
          </w:tcPr>
          <w:p>
            <w:pPr>
              <w:spacing w:line="420" w:lineRule="exact"/>
              <w:jc w:val="center"/>
              <w:rPr>
                <w:rFonts w:ascii="宋体" w:hAnsi="宋体" w:cs="宋体"/>
                <w:sz w:val="24"/>
              </w:rPr>
            </w:pPr>
            <w:r>
              <w:rPr>
                <w:rFonts w:hint="eastAsia" w:ascii="宋体" w:hAnsi="宋体" w:cs="宋体"/>
                <w:sz w:val="24"/>
              </w:rPr>
              <w:t>结余金额在中标金额4%（含）以内部分的</w:t>
            </w:r>
          </w:p>
        </w:tc>
        <w:tc>
          <w:tcPr>
            <w:tcW w:w="1696" w:type="dxa"/>
            <w:vAlign w:val="center"/>
          </w:tcPr>
          <w:p>
            <w:pPr>
              <w:spacing w:line="420" w:lineRule="exact"/>
              <w:jc w:val="center"/>
              <w:rPr>
                <w:rFonts w:ascii="宋体" w:hAnsi="宋体" w:cs="宋体"/>
                <w:sz w:val="24"/>
              </w:rPr>
            </w:pPr>
            <w:r>
              <w:rPr>
                <w:rFonts w:hint="eastAsia" w:ascii="宋体" w:hAnsi="宋体" w:cs="宋体"/>
                <w:sz w:val="24"/>
              </w:rPr>
              <w:t>以实际结余金额的60%给予中标人奖励</w:t>
            </w:r>
          </w:p>
        </w:tc>
        <w:tc>
          <w:tcPr>
            <w:tcW w:w="2261" w:type="dxa"/>
            <w:vMerge w:val="restart"/>
            <w:vAlign w:val="center"/>
          </w:tcPr>
          <w:p>
            <w:pPr>
              <w:spacing w:line="420" w:lineRule="exact"/>
              <w:jc w:val="center"/>
              <w:rPr>
                <w:rFonts w:ascii="宋体" w:hAnsi="宋体" w:cs="宋体"/>
                <w:sz w:val="24"/>
              </w:rPr>
            </w:pPr>
            <w:r>
              <w:rPr>
                <w:rFonts w:hint="eastAsia" w:ascii="宋体" w:hAnsi="宋体" w:cs="宋体"/>
                <w:sz w:val="24"/>
              </w:rPr>
              <w:t>当年营运成本限12 名经办人员和1 辆车的费用（人员的薪酬按照上一年度省在岗职工平均工资水平加上单位缴纳的五险一金；车辆费用按每年每辆60000元计算）。此标段承担营运成本总费用的65%。（如遇重大会计制度调整，在不影响风调结果的情况下，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20" w:lineRule="exact"/>
              <w:jc w:val="center"/>
              <w:rPr>
                <w:rFonts w:ascii="宋体" w:hAnsi="宋体" w:cs="宋体"/>
                <w:sz w:val="24"/>
              </w:rPr>
            </w:pPr>
            <w:r>
              <w:rPr>
                <w:rFonts w:hint="eastAsia" w:ascii="宋体" w:hAnsi="宋体" w:cs="宋体"/>
                <w:sz w:val="24"/>
              </w:rPr>
              <w:t>2</w:t>
            </w:r>
          </w:p>
        </w:tc>
        <w:tc>
          <w:tcPr>
            <w:tcW w:w="1440" w:type="dxa"/>
            <w:vMerge w:val="continue"/>
            <w:vAlign w:val="center"/>
          </w:tcPr>
          <w:p>
            <w:pPr>
              <w:spacing w:line="420" w:lineRule="exact"/>
              <w:jc w:val="center"/>
              <w:rPr>
                <w:rFonts w:ascii="宋体" w:hAnsi="宋体" w:cs="宋体"/>
                <w:sz w:val="24"/>
              </w:rPr>
            </w:pPr>
          </w:p>
        </w:tc>
        <w:tc>
          <w:tcPr>
            <w:tcW w:w="2703" w:type="dxa"/>
            <w:vAlign w:val="center"/>
          </w:tcPr>
          <w:p>
            <w:pPr>
              <w:spacing w:line="420" w:lineRule="exact"/>
              <w:jc w:val="center"/>
              <w:rPr>
                <w:rFonts w:ascii="宋体" w:hAnsi="宋体" w:cs="宋体"/>
                <w:sz w:val="24"/>
              </w:rPr>
            </w:pPr>
            <w:r>
              <w:rPr>
                <w:rFonts w:hint="eastAsia" w:ascii="宋体" w:hAnsi="宋体" w:cs="宋体"/>
                <w:sz w:val="24"/>
              </w:rPr>
              <w:t>结余金额在中标金额4%-8%（含）部分的</w:t>
            </w:r>
          </w:p>
        </w:tc>
        <w:tc>
          <w:tcPr>
            <w:tcW w:w="1696" w:type="dxa"/>
            <w:vAlign w:val="center"/>
          </w:tcPr>
          <w:p>
            <w:pPr>
              <w:spacing w:line="420" w:lineRule="exact"/>
              <w:jc w:val="center"/>
              <w:rPr>
                <w:rFonts w:ascii="宋体" w:hAnsi="宋体" w:cs="宋体"/>
                <w:sz w:val="24"/>
              </w:rPr>
            </w:pPr>
            <w:r>
              <w:rPr>
                <w:rFonts w:hint="eastAsia" w:ascii="宋体" w:hAnsi="宋体" w:cs="宋体"/>
                <w:sz w:val="24"/>
              </w:rPr>
              <w:t>以实际结余金额的40%给予中标人奖励</w:t>
            </w:r>
          </w:p>
        </w:tc>
        <w:tc>
          <w:tcPr>
            <w:tcW w:w="2261" w:type="dxa"/>
            <w:vMerge w:val="continue"/>
          </w:tcPr>
          <w:p>
            <w:pPr>
              <w:spacing w:line="4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420" w:lineRule="exact"/>
              <w:jc w:val="center"/>
              <w:rPr>
                <w:rFonts w:ascii="宋体" w:hAnsi="宋体" w:cs="宋体"/>
                <w:sz w:val="24"/>
              </w:rPr>
            </w:pPr>
            <w:r>
              <w:rPr>
                <w:rFonts w:hint="eastAsia" w:ascii="宋体" w:hAnsi="宋体" w:cs="宋体"/>
                <w:sz w:val="24"/>
              </w:rPr>
              <w:t>3</w:t>
            </w:r>
          </w:p>
        </w:tc>
        <w:tc>
          <w:tcPr>
            <w:tcW w:w="1440" w:type="dxa"/>
            <w:vMerge w:val="continue"/>
            <w:vAlign w:val="center"/>
          </w:tcPr>
          <w:p>
            <w:pPr>
              <w:spacing w:line="420" w:lineRule="exact"/>
              <w:jc w:val="center"/>
              <w:rPr>
                <w:rFonts w:ascii="宋体" w:hAnsi="宋体" w:cs="宋体"/>
                <w:sz w:val="24"/>
              </w:rPr>
            </w:pPr>
          </w:p>
        </w:tc>
        <w:tc>
          <w:tcPr>
            <w:tcW w:w="2703" w:type="dxa"/>
            <w:vAlign w:val="center"/>
          </w:tcPr>
          <w:p>
            <w:pPr>
              <w:spacing w:line="420" w:lineRule="exact"/>
              <w:jc w:val="center"/>
              <w:rPr>
                <w:rFonts w:ascii="宋体" w:hAnsi="宋体" w:cs="宋体"/>
                <w:sz w:val="24"/>
              </w:rPr>
            </w:pPr>
            <w:r>
              <w:rPr>
                <w:rFonts w:hint="eastAsia" w:ascii="宋体" w:hAnsi="宋体" w:cs="宋体"/>
                <w:sz w:val="24"/>
              </w:rPr>
              <w:t>结余金额在中标金额8%以上部分</w:t>
            </w:r>
          </w:p>
        </w:tc>
        <w:tc>
          <w:tcPr>
            <w:tcW w:w="1696" w:type="dxa"/>
            <w:vAlign w:val="center"/>
          </w:tcPr>
          <w:p>
            <w:pPr>
              <w:spacing w:line="420" w:lineRule="exact"/>
              <w:jc w:val="center"/>
              <w:rPr>
                <w:rFonts w:ascii="宋体" w:hAnsi="宋体" w:cs="宋体"/>
                <w:sz w:val="24"/>
              </w:rPr>
            </w:pPr>
            <w:r>
              <w:rPr>
                <w:rFonts w:hint="eastAsia" w:ascii="宋体" w:hAnsi="宋体" w:cs="宋体"/>
                <w:sz w:val="24"/>
              </w:rPr>
              <w:t>以实际结余金额的20%给予中标人奖励</w:t>
            </w:r>
          </w:p>
        </w:tc>
        <w:tc>
          <w:tcPr>
            <w:tcW w:w="2261" w:type="dxa"/>
            <w:vMerge w:val="continue"/>
          </w:tcPr>
          <w:p>
            <w:pPr>
              <w:spacing w:line="4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20" w:lineRule="exact"/>
              <w:jc w:val="center"/>
              <w:rPr>
                <w:rFonts w:ascii="宋体" w:hAnsi="宋体" w:cs="宋体"/>
                <w:sz w:val="24"/>
              </w:rPr>
            </w:pPr>
            <w:r>
              <w:rPr>
                <w:rFonts w:hint="eastAsia" w:ascii="宋体" w:hAnsi="宋体" w:cs="宋体"/>
                <w:sz w:val="24"/>
              </w:rPr>
              <w:t>4</w:t>
            </w:r>
          </w:p>
        </w:tc>
        <w:tc>
          <w:tcPr>
            <w:tcW w:w="1440" w:type="dxa"/>
            <w:vMerge w:val="restart"/>
            <w:vAlign w:val="center"/>
          </w:tcPr>
          <w:p>
            <w:pPr>
              <w:spacing w:line="420" w:lineRule="exact"/>
              <w:jc w:val="center"/>
              <w:rPr>
                <w:rFonts w:ascii="宋体" w:hAnsi="宋体" w:cs="宋体"/>
                <w:sz w:val="24"/>
              </w:rPr>
            </w:pPr>
            <w:r>
              <w:rPr>
                <w:rFonts w:hint="eastAsia" w:ascii="宋体" w:hAnsi="宋体" w:cs="宋体"/>
                <w:sz w:val="24"/>
              </w:rPr>
              <w:t>保费超支部分（实际超支金额）=当年赔付支出+当年营运成本--中标金额</w:t>
            </w:r>
          </w:p>
        </w:tc>
        <w:tc>
          <w:tcPr>
            <w:tcW w:w="2703" w:type="dxa"/>
            <w:vAlign w:val="center"/>
          </w:tcPr>
          <w:p>
            <w:pPr>
              <w:spacing w:line="420" w:lineRule="exact"/>
              <w:jc w:val="center"/>
              <w:rPr>
                <w:rFonts w:ascii="宋体" w:hAnsi="宋体" w:cs="宋体"/>
                <w:sz w:val="24"/>
              </w:rPr>
            </w:pPr>
            <w:r>
              <w:rPr>
                <w:rFonts w:hint="eastAsia" w:ascii="宋体" w:hAnsi="宋体" w:cs="宋体"/>
                <w:sz w:val="24"/>
              </w:rPr>
              <w:t>超支金额在中标金额4%（含）以内部分的</w:t>
            </w:r>
          </w:p>
        </w:tc>
        <w:tc>
          <w:tcPr>
            <w:tcW w:w="1696" w:type="dxa"/>
            <w:vAlign w:val="center"/>
          </w:tcPr>
          <w:p>
            <w:pPr>
              <w:spacing w:line="420" w:lineRule="exact"/>
              <w:jc w:val="center"/>
              <w:rPr>
                <w:rFonts w:ascii="宋体" w:hAnsi="宋体" w:cs="宋体"/>
                <w:sz w:val="24"/>
              </w:rPr>
            </w:pPr>
            <w:r>
              <w:rPr>
                <w:rFonts w:hint="eastAsia" w:ascii="宋体" w:hAnsi="宋体" w:cs="宋体"/>
                <w:sz w:val="24"/>
              </w:rPr>
              <w:t>以实际超支金额的60%给予招标人赔付</w:t>
            </w:r>
          </w:p>
        </w:tc>
        <w:tc>
          <w:tcPr>
            <w:tcW w:w="2261" w:type="dxa"/>
            <w:vMerge w:val="continue"/>
          </w:tcPr>
          <w:p>
            <w:pPr>
              <w:spacing w:line="4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420" w:lineRule="exact"/>
              <w:jc w:val="center"/>
              <w:rPr>
                <w:rFonts w:ascii="宋体" w:hAnsi="宋体" w:cs="宋体"/>
                <w:sz w:val="24"/>
              </w:rPr>
            </w:pPr>
            <w:r>
              <w:rPr>
                <w:rFonts w:hint="eastAsia" w:ascii="宋体" w:hAnsi="宋体" w:cs="宋体"/>
                <w:sz w:val="24"/>
              </w:rPr>
              <w:t>5</w:t>
            </w:r>
          </w:p>
        </w:tc>
        <w:tc>
          <w:tcPr>
            <w:tcW w:w="1440" w:type="dxa"/>
            <w:vMerge w:val="continue"/>
            <w:vAlign w:val="center"/>
          </w:tcPr>
          <w:p>
            <w:pPr>
              <w:spacing w:line="420" w:lineRule="exact"/>
              <w:jc w:val="center"/>
              <w:rPr>
                <w:rFonts w:ascii="宋体" w:hAnsi="宋体" w:cs="宋体"/>
                <w:sz w:val="24"/>
              </w:rPr>
            </w:pPr>
          </w:p>
        </w:tc>
        <w:tc>
          <w:tcPr>
            <w:tcW w:w="2703" w:type="dxa"/>
            <w:vAlign w:val="center"/>
          </w:tcPr>
          <w:p>
            <w:pPr>
              <w:spacing w:line="420" w:lineRule="exact"/>
              <w:jc w:val="center"/>
              <w:rPr>
                <w:rFonts w:ascii="宋体" w:hAnsi="宋体" w:cs="宋体"/>
                <w:sz w:val="24"/>
              </w:rPr>
            </w:pPr>
            <w:r>
              <w:rPr>
                <w:rFonts w:hint="eastAsia" w:ascii="宋体" w:hAnsi="宋体" w:cs="宋体"/>
                <w:sz w:val="24"/>
              </w:rPr>
              <w:t>超支金额在中标金额4%-8%（含）部分的</w:t>
            </w:r>
          </w:p>
        </w:tc>
        <w:tc>
          <w:tcPr>
            <w:tcW w:w="1696" w:type="dxa"/>
            <w:vAlign w:val="center"/>
          </w:tcPr>
          <w:p>
            <w:pPr>
              <w:spacing w:line="420" w:lineRule="exact"/>
              <w:jc w:val="center"/>
              <w:rPr>
                <w:rFonts w:ascii="宋体" w:hAnsi="宋体" w:cs="宋体"/>
                <w:sz w:val="24"/>
              </w:rPr>
            </w:pPr>
            <w:r>
              <w:rPr>
                <w:rFonts w:hint="eastAsia" w:ascii="宋体" w:hAnsi="宋体" w:cs="宋体"/>
                <w:sz w:val="24"/>
              </w:rPr>
              <w:t>以实际超支金额的40%给予招标人赔付</w:t>
            </w:r>
          </w:p>
        </w:tc>
        <w:tc>
          <w:tcPr>
            <w:tcW w:w="2261" w:type="dxa"/>
            <w:vMerge w:val="continue"/>
          </w:tcPr>
          <w:p>
            <w:pPr>
              <w:spacing w:line="4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420" w:lineRule="exact"/>
              <w:jc w:val="center"/>
              <w:rPr>
                <w:rFonts w:ascii="宋体" w:hAnsi="宋体" w:cs="宋体"/>
                <w:sz w:val="24"/>
              </w:rPr>
            </w:pPr>
            <w:r>
              <w:rPr>
                <w:rFonts w:hint="eastAsia" w:ascii="宋体" w:hAnsi="宋体" w:cs="宋体"/>
                <w:sz w:val="24"/>
              </w:rPr>
              <w:t>6</w:t>
            </w:r>
          </w:p>
        </w:tc>
        <w:tc>
          <w:tcPr>
            <w:tcW w:w="1440" w:type="dxa"/>
            <w:vMerge w:val="continue"/>
            <w:vAlign w:val="center"/>
          </w:tcPr>
          <w:p>
            <w:pPr>
              <w:spacing w:line="420" w:lineRule="exact"/>
              <w:jc w:val="center"/>
              <w:rPr>
                <w:rFonts w:ascii="宋体" w:hAnsi="宋体" w:cs="宋体"/>
                <w:sz w:val="24"/>
              </w:rPr>
            </w:pPr>
          </w:p>
        </w:tc>
        <w:tc>
          <w:tcPr>
            <w:tcW w:w="2703" w:type="dxa"/>
            <w:vAlign w:val="center"/>
          </w:tcPr>
          <w:p>
            <w:pPr>
              <w:spacing w:line="420" w:lineRule="exact"/>
              <w:jc w:val="center"/>
              <w:rPr>
                <w:rFonts w:ascii="宋体" w:hAnsi="宋体" w:cs="宋体"/>
                <w:sz w:val="24"/>
              </w:rPr>
            </w:pPr>
            <w:r>
              <w:rPr>
                <w:rFonts w:hint="eastAsia" w:ascii="宋体" w:hAnsi="宋体" w:cs="宋体"/>
                <w:sz w:val="24"/>
              </w:rPr>
              <w:t>超支金额在中标金额8%以上部分</w:t>
            </w:r>
          </w:p>
        </w:tc>
        <w:tc>
          <w:tcPr>
            <w:tcW w:w="1696" w:type="dxa"/>
            <w:vAlign w:val="center"/>
          </w:tcPr>
          <w:p>
            <w:pPr>
              <w:spacing w:line="420" w:lineRule="exact"/>
              <w:jc w:val="center"/>
              <w:rPr>
                <w:rFonts w:ascii="宋体" w:hAnsi="宋体" w:cs="宋体"/>
                <w:sz w:val="24"/>
              </w:rPr>
            </w:pPr>
            <w:r>
              <w:rPr>
                <w:rFonts w:hint="eastAsia" w:ascii="宋体" w:hAnsi="宋体" w:cs="宋体"/>
                <w:sz w:val="24"/>
              </w:rPr>
              <w:t>以实际超支金额的20%给予招标人赔付</w:t>
            </w:r>
          </w:p>
        </w:tc>
        <w:tc>
          <w:tcPr>
            <w:tcW w:w="2261" w:type="dxa"/>
            <w:vMerge w:val="continue"/>
          </w:tcPr>
          <w:p>
            <w:pPr>
              <w:spacing w:line="420" w:lineRule="exact"/>
              <w:rPr>
                <w:rFonts w:ascii="宋体" w:hAnsi="宋体" w:cs="宋体"/>
                <w:sz w:val="24"/>
              </w:rPr>
            </w:pPr>
          </w:p>
        </w:tc>
      </w:tr>
    </w:tbl>
    <w:p>
      <w:pPr>
        <w:snapToGrid w:val="0"/>
        <w:spacing w:before="120" w:beforeLines="50" w:after="120" w:afterLines="50" w:line="420" w:lineRule="exact"/>
        <w:rPr>
          <w:rFonts w:ascii="宋体" w:hAnsi="宋体" w:cs="宋体"/>
          <w:b/>
          <w:sz w:val="24"/>
        </w:rPr>
      </w:pPr>
      <w:r>
        <w:rPr>
          <w:rFonts w:hint="eastAsia" w:ascii="宋体" w:hAnsi="宋体" w:cs="宋体"/>
          <w:b/>
          <w:sz w:val="24"/>
        </w:rPr>
        <w:t>七、税费</w:t>
      </w:r>
    </w:p>
    <w:p>
      <w:pPr>
        <w:snapToGrid w:val="0"/>
        <w:spacing w:before="120" w:beforeLines="50" w:after="120" w:afterLines="50" w:line="420" w:lineRule="exact"/>
        <w:ind w:firstLine="480" w:firstLineChars="200"/>
        <w:rPr>
          <w:rFonts w:ascii="宋体" w:hAnsi="宋体" w:cs="宋体"/>
          <w:sz w:val="24"/>
        </w:rPr>
      </w:pPr>
      <w:r>
        <w:rPr>
          <w:rFonts w:hint="eastAsia" w:ascii="宋体" w:hAnsi="宋体" w:cs="宋体"/>
          <w:sz w:val="24"/>
        </w:rPr>
        <w:t>本协议执行中相关的一切税费均由乙方负担。</w:t>
      </w:r>
    </w:p>
    <w:p>
      <w:pPr>
        <w:pStyle w:val="14"/>
        <w:snapToGrid w:val="0"/>
        <w:spacing w:before="120" w:after="120" w:line="420" w:lineRule="exact"/>
        <w:rPr>
          <w:rFonts w:hAnsi="宋体" w:cs="宋体"/>
          <w:b/>
          <w:sz w:val="24"/>
        </w:rPr>
      </w:pPr>
      <w:r>
        <w:rPr>
          <w:rFonts w:hint="eastAsia" w:hAnsi="宋体" w:cs="宋体"/>
          <w:b/>
          <w:sz w:val="24"/>
        </w:rPr>
        <w:t>八、履约保证金</w:t>
      </w:r>
    </w:p>
    <w:p>
      <w:pPr>
        <w:pStyle w:val="14"/>
        <w:snapToGrid w:val="0"/>
        <w:spacing w:before="120" w:after="120" w:line="420" w:lineRule="exact"/>
        <w:ind w:firstLine="480" w:firstLineChars="200"/>
        <w:rPr>
          <w:rFonts w:hAnsi="宋体" w:cs="宋体"/>
          <w:sz w:val="24"/>
        </w:rPr>
      </w:pPr>
      <w:r>
        <w:rPr>
          <w:rFonts w:hint="eastAsia" w:hAnsi="宋体" w:cs="宋体"/>
          <w:bCs/>
          <w:sz w:val="24"/>
        </w:rPr>
        <w:t>乙方在收到中标通知书后，合同签订前须向甲方交纳人民币叁拾贰万伍仟元作为本合同的履约保证金（交至甲方指定账户）。</w:t>
      </w:r>
      <w:r>
        <w:rPr>
          <w:rFonts w:hint="eastAsia" w:hAnsi="宋体" w:cs="宋体"/>
          <w:sz w:val="24"/>
        </w:rPr>
        <w:t>履约保证金在保险期限结束，年度结算后10个工作日内无息退还。</w:t>
      </w:r>
    </w:p>
    <w:p>
      <w:pPr>
        <w:pStyle w:val="14"/>
        <w:snapToGrid w:val="0"/>
        <w:spacing w:before="120" w:after="120" w:line="420" w:lineRule="exact"/>
        <w:rPr>
          <w:rFonts w:hAnsi="宋体" w:cs="宋体"/>
          <w:b/>
          <w:sz w:val="24"/>
        </w:rPr>
      </w:pPr>
      <w:r>
        <w:rPr>
          <w:rFonts w:hint="eastAsia" w:hAnsi="宋体" w:cs="宋体"/>
          <w:b/>
          <w:sz w:val="24"/>
        </w:rPr>
        <w:t>九、违约责任</w:t>
      </w:r>
    </w:p>
    <w:p>
      <w:pPr>
        <w:pStyle w:val="14"/>
        <w:snapToGrid w:val="0"/>
        <w:spacing w:before="120" w:after="120" w:line="420" w:lineRule="exact"/>
        <w:ind w:firstLine="480" w:firstLineChars="200"/>
        <w:rPr>
          <w:rFonts w:hAnsi="宋体" w:cs="宋体"/>
          <w:sz w:val="24"/>
        </w:rPr>
      </w:pPr>
      <w:r>
        <w:rPr>
          <w:rFonts w:hint="eastAsia" w:hAnsi="宋体" w:cs="宋体"/>
          <w:sz w:val="24"/>
        </w:rPr>
        <w:t>在本协议执行过程中，甲方在接到投诉或主动不定期对乙方执行合同的情况进行监督检查时，发现乙方有下列行为之一的，将根据考核办法进行处理，情节严重的甲方有权解除合同，并扣除乙方的所有履约保证金：</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（1）</w:t>
      </w:r>
      <w:r>
        <w:rPr>
          <w:rFonts w:hint="eastAsia" w:hAnsi="宋体" w:cs="宋体"/>
          <w:sz w:val="24"/>
        </w:rPr>
        <w:t>乙方在被保险人手续齐全的情况下，无故拖延赔偿或者拒绝支付赔偿的；</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（2）</w:t>
      </w:r>
      <w:r>
        <w:rPr>
          <w:rFonts w:hint="eastAsia" w:hAnsi="宋体" w:cs="宋体"/>
          <w:sz w:val="24"/>
        </w:rPr>
        <w:t>在理赔过程中擅自提高起付标准、降低赔付比例和缩小支付范围的；</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（3）</w:t>
      </w:r>
      <w:r>
        <w:rPr>
          <w:rFonts w:hint="eastAsia" w:hAnsi="宋体" w:cs="宋体"/>
          <w:sz w:val="24"/>
        </w:rPr>
        <w:t>未按标书上的承诺履行服务承诺的；</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（4）</w:t>
      </w:r>
      <w:r>
        <w:rPr>
          <w:rFonts w:hint="eastAsia" w:hAnsi="宋体" w:cs="宋体"/>
          <w:sz w:val="24"/>
        </w:rPr>
        <w:t>不能主动化解矛盾，使被保险人向甲方或者相关部门屡次信访、投诉的；</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（5）</w:t>
      </w:r>
      <w:r>
        <w:rPr>
          <w:rFonts w:hint="eastAsia" w:hAnsi="宋体" w:cs="宋体"/>
          <w:sz w:val="24"/>
        </w:rPr>
        <w:t>乙方工作人员违反甲方工作纪律、工作效能等给采购方造成不良影响的；</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（6）</w:t>
      </w:r>
      <w:r>
        <w:rPr>
          <w:rFonts w:hint="eastAsia" w:hAnsi="宋体" w:cs="宋体"/>
          <w:sz w:val="24"/>
        </w:rPr>
        <w:t>其他严重违反本协议条款的情况。</w:t>
      </w:r>
    </w:p>
    <w:p>
      <w:pPr>
        <w:pStyle w:val="14"/>
        <w:snapToGrid w:val="0"/>
        <w:spacing w:before="120" w:after="120" w:line="420" w:lineRule="exact"/>
        <w:rPr>
          <w:rFonts w:hAnsi="宋体" w:cs="宋体"/>
          <w:b/>
          <w:bCs/>
          <w:sz w:val="24"/>
        </w:rPr>
      </w:pPr>
      <w:r>
        <w:rPr>
          <w:rFonts w:hint="eastAsia" w:hAnsi="宋体" w:cs="宋体"/>
          <w:b/>
          <w:bCs/>
          <w:sz w:val="24"/>
        </w:rPr>
        <w:t>十、违约赔偿</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（1）</w:t>
      </w:r>
      <w:r>
        <w:rPr>
          <w:rFonts w:hint="eastAsia" w:hAnsi="宋体" w:cs="宋体"/>
          <w:sz w:val="24"/>
        </w:rPr>
        <w:t>除不可抗力外，应及时以书面形式通知对方。双方应本着友好的态度进行协商，妥善解决。如协商无效，按规定处以违约金。</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（2）</w:t>
      </w:r>
      <w:r>
        <w:rPr>
          <w:rFonts w:hint="eastAsia" w:hAnsi="宋体" w:cs="宋体"/>
          <w:sz w:val="24"/>
        </w:rPr>
        <w:t>双方在规定时间无正当理由拒签合同者，以招标违约处理，并赔偿对方由此造成的直接经济损失。</w:t>
      </w:r>
    </w:p>
    <w:p>
      <w:pPr>
        <w:pStyle w:val="14"/>
        <w:snapToGrid w:val="0"/>
        <w:spacing w:before="120" w:after="120" w:line="420" w:lineRule="exact"/>
        <w:rPr>
          <w:rFonts w:hAnsi="宋体" w:cs="宋体"/>
          <w:b/>
          <w:bCs/>
          <w:sz w:val="24"/>
        </w:rPr>
      </w:pPr>
      <w:r>
        <w:rPr>
          <w:rFonts w:hint="eastAsia" w:hAnsi="宋体" w:cs="宋体"/>
          <w:b/>
          <w:bCs/>
          <w:sz w:val="24"/>
          <w:shd w:val="clear" w:color="auto" w:fill="FFFFFF"/>
        </w:rPr>
        <w:t>十一、</w:t>
      </w:r>
      <w:r>
        <w:rPr>
          <w:rFonts w:hint="eastAsia" w:hAnsi="宋体" w:cs="宋体"/>
          <w:b/>
          <w:bCs/>
          <w:sz w:val="24"/>
        </w:rPr>
        <w:t>解决合同纠纷的方式</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（1）</w:t>
      </w:r>
      <w:r>
        <w:rPr>
          <w:rFonts w:hint="eastAsia" w:hAnsi="宋体" w:cs="宋体"/>
          <w:sz w:val="24"/>
        </w:rPr>
        <w:t>凡有关本合同或与本合同中发生的争端，双方应通过友好协商，妥善解决。如通过协商仍不能解决时，可向甲方当地的人民法院起诉。</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（2）</w:t>
      </w:r>
      <w:r>
        <w:rPr>
          <w:rFonts w:hint="eastAsia" w:hAnsi="宋体" w:cs="宋体"/>
          <w:sz w:val="24"/>
        </w:rPr>
        <w:t>诉讼费用除人民法院另有裁决外，由败诉方承担。</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（3）</w:t>
      </w:r>
      <w:r>
        <w:rPr>
          <w:rFonts w:hint="eastAsia" w:hAnsi="宋体" w:cs="宋体"/>
          <w:sz w:val="24"/>
        </w:rPr>
        <w:t>在诉讼期间，除正在进行裁定的部分外，本合同其他部分应继续执行。</w:t>
      </w:r>
    </w:p>
    <w:p>
      <w:pPr>
        <w:pStyle w:val="14"/>
        <w:snapToGrid w:val="0"/>
        <w:spacing w:before="120" w:after="120" w:line="420" w:lineRule="exact"/>
        <w:ind w:firstLine="480" w:firstLineChars="200"/>
        <w:rPr>
          <w:rFonts w:hAnsi="宋体" w:cs="宋体"/>
          <w:sz w:val="24"/>
        </w:rPr>
      </w:pPr>
      <w:r>
        <w:rPr>
          <w:rFonts w:hint="eastAsia" w:hAnsi="宋体" w:cs="宋体"/>
          <w:sz w:val="24"/>
          <w:shd w:val="clear" w:color="auto" w:fill="FFFFFF"/>
        </w:rPr>
        <w:t>（4）</w:t>
      </w:r>
      <w:r>
        <w:rPr>
          <w:rFonts w:hint="eastAsia" w:hAnsi="宋体" w:cs="宋体"/>
          <w:sz w:val="24"/>
        </w:rPr>
        <w:t>合同应在双方签字盖章，甲方收到乙方提供的履约保证金后开始生效。</w:t>
      </w:r>
    </w:p>
    <w:p>
      <w:pPr>
        <w:pStyle w:val="14"/>
        <w:snapToGrid w:val="0"/>
        <w:spacing w:before="120" w:after="120" w:line="420" w:lineRule="exact"/>
        <w:rPr>
          <w:rFonts w:hAnsi="宋体" w:cs="宋体"/>
          <w:b/>
          <w:bCs/>
          <w:sz w:val="24"/>
        </w:rPr>
      </w:pPr>
      <w:r>
        <w:rPr>
          <w:rFonts w:hint="eastAsia" w:hAnsi="宋体" w:cs="宋体"/>
          <w:b/>
          <w:bCs/>
          <w:sz w:val="24"/>
        </w:rPr>
        <w:t>十二、合同修改</w:t>
      </w:r>
    </w:p>
    <w:p>
      <w:pPr>
        <w:pStyle w:val="14"/>
        <w:snapToGrid w:val="0"/>
        <w:spacing w:before="120" w:after="120" w:line="420" w:lineRule="exact"/>
        <w:ind w:firstLine="480" w:firstLineChars="200"/>
        <w:rPr>
          <w:rFonts w:hAnsi="宋体" w:cs="宋体"/>
          <w:sz w:val="24"/>
        </w:rPr>
      </w:pPr>
      <w:r>
        <w:rPr>
          <w:rFonts w:hint="eastAsia" w:hAnsi="宋体" w:cs="宋体"/>
          <w:sz w:val="24"/>
        </w:rPr>
        <w:t>双方的任何一方对合同内容提出修改，均应以书面形式通知对方，并达成由双方签署的合同修改书，须报政府采购管理部门批准。</w:t>
      </w:r>
    </w:p>
    <w:p>
      <w:pPr>
        <w:spacing w:line="420" w:lineRule="exact"/>
        <w:ind w:right="-153" w:rightChars="-73"/>
        <w:rPr>
          <w:rFonts w:ascii="宋体" w:hAnsi="宋体" w:cs="宋体"/>
          <w:sz w:val="24"/>
          <w:lang w:val="zh-CN"/>
        </w:rPr>
      </w:pPr>
      <w:r>
        <w:rPr>
          <w:rFonts w:hint="eastAsia" w:ascii="宋体" w:hAnsi="宋体" w:cs="宋体"/>
          <w:b/>
          <w:kern w:val="0"/>
          <w:sz w:val="24"/>
        </w:rPr>
        <w:t>十三、不可抗力事件处理</w:t>
      </w:r>
    </w:p>
    <w:p>
      <w:pPr>
        <w:pStyle w:val="14"/>
        <w:snapToGrid w:val="0"/>
        <w:spacing w:before="120" w:after="120" w:line="420" w:lineRule="exact"/>
        <w:ind w:firstLine="240" w:firstLineChars="100"/>
        <w:rPr>
          <w:rFonts w:hAnsi="宋体" w:cs="宋体"/>
          <w:sz w:val="24"/>
        </w:rPr>
      </w:pPr>
      <w:r>
        <w:rPr>
          <w:rFonts w:hint="eastAsia" w:hAnsi="宋体" w:cs="宋体"/>
          <w:sz w:val="24"/>
        </w:rPr>
        <w:t>1. 在合同有效期内，任何一方因不可抗力事件导致不能履行合同，则合同履行期可延长，其延长期与不可抗力影响期相同。</w:t>
      </w:r>
    </w:p>
    <w:p>
      <w:pPr>
        <w:pStyle w:val="14"/>
        <w:snapToGrid w:val="0"/>
        <w:spacing w:before="120" w:after="120" w:line="420" w:lineRule="exact"/>
        <w:ind w:firstLine="240" w:firstLineChars="100"/>
        <w:rPr>
          <w:rFonts w:hAnsi="宋体" w:cs="宋体"/>
          <w:sz w:val="24"/>
        </w:rPr>
      </w:pPr>
      <w:r>
        <w:rPr>
          <w:rFonts w:hint="eastAsia" w:hAnsi="宋体" w:cs="宋体"/>
          <w:sz w:val="24"/>
        </w:rPr>
        <w:t>2. 不可抗力事件发生后，应立即通知对方，并寄送有关权威机构出具的证明。</w:t>
      </w:r>
    </w:p>
    <w:p>
      <w:pPr>
        <w:pStyle w:val="14"/>
        <w:snapToGrid w:val="0"/>
        <w:spacing w:before="120" w:after="120" w:line="420" w:lineRule="exact"/>
        <w:ind w:firstLine="240" w:firstLineChars="100"/>
        <w:rPr>
          <w:rFonts w:hAnsi="宋体" w:cs="宋体"/>
          <w:sz w:val="24"/>
        </w:rPr>
      </w:pPr>
      <w:r>
        <w:rPr>
          <w:rFonts w:hint="eastAsia" w:hAnsi="宋体" w:cs="宋体"/>
          <w:sz w:val="24"/>
        </w:rPr>
        <w:t>3. 不可抗力事件延续120天以上，双方应通过友好协商，确定是否继续履行合同。</w:t>
      </w:r>
    </w:p>
    <w:p>
      <w:pPr>
        <w:pStyle w:val="4"/>
        <w:autoSpaceDE/>
        <w:autoSpaceDN/>
        <w:adjustRightInd/>
        <w:spacing w:line="420" w:lineRule="exact"/>
        <w:ind w:right="210" w:rightChars="100"/>
        <w:rPr>
          <w:rFonts w:cs="宋体"/>
          <w:sz w:val="24"/>
          <w:szCs w:val="24"/>
        </w:rPr>
      </w:pPr>
      <w:r>
        <w:rPr>
          <w:rFonts w:hint="eastAsia" w:cs="宋体"/>
          <w:sz w:val="24"/>
          <w:szCs w:val="24"/>
        </w:rPr>
        <w:t>十四、</w:t>
      </w:r>
      <w:r>
        <w:rPr>
          <w:rFonts w:hint="eastAsia" w:cs="宋体"/>
          <w:sz w:val="24"/>
          <w:szCs w:val="24"/>
          <w:lang w:val="zh-CN"/>
        </w:rPr>
        <w:t>合同生效及其它</w:t>
      </w:r>
      <w:r>
        <w:rPr>
          <w:rFonts w:hint="eastAsia" w:cs="宋体"/>
          <w:sz w:val="24"/>
          <w:szCs w:val="24"/>
        </w:rPr>
        <w:tab/>
      </w:r>
    </w:p>
    <w:p>
      <w:pPr>
        <w:pStyle w:val="10"/>
        <w:widowControl/>
        <w:spacing w:line="420" w:lineRule="exact"/>
        <w:ind w:right="-88"/>
        <w:rPr>
          <w:rFonts w:ascii="宋体" w:hAnsi="宋体" w:cs="宋体"/>
        </w:rPr>
      </w:pPr>
      <w:r>
        <w:rPr>
          <w:rFonts w:hint="eastAsia" w:ascii="宋体" w:hAnsi="宋体" w:cs="宋体"/>
        </w:rPr>
        <w:t>1. 合同经双方法定代表人（单位负责人）或授权代表签字并加盖单位公章后生效。</w:t>
      </w:r>
    </w:p>
    <w:p>
      <w:pPr>
        <w:pStyle w:val="10"/>
        <w:widowControl/>
        <w:spacing w:line="420" w:lineRule="exact"/>
        <w:ind w:right="-88"/>
        <w:rPr>
          <w:rFonts w:ascii="宋体" w:hAnsi="宋体" w:cs="宋体"/>
        </w:rPr>
      </w:pPr>
      <w:r>
        <w:rPr>
          <w:rFonts w:hint="eastAsia" w:ascii="宋体" w:hAnsi="宋体" w:cs="宋体"/>
        </w:rPr>
        <w:t>2. 本合同未尽事宜，遵照《中华人民共和国民法典》有关条文执行。</w:t>
      </w:r>
    </w:p>
    <w:p>
      <w:pPr>
        <w:pStyle w:val="10"/>
        <w:widowControl/>
        <w:spacing w:line="420" w:lineRule="exact"/>
        <w:ind w:right="-88"/>
        <w:rPr>
          <w:rFonts w:ascii="宋体" w:hAnsi="宋体" w:cs="宋体"/>
        </w:rPr>
      </w:pPr>
      <w:r>
        <w:rPr>
          <w:rFonts w:hint="eastAsia" w:ascii="宋体" w:hAnsi="宋体" w:cs="宋体"/>
        </w:rPr>
        <w:t>3. 本合同一式六份。甲、乙双方各执两份，采购组织机构及同级人民政府财政采购监管部门各执一份。本项目未尽事宜以招标文件、投标文件及澄清文件等为准。</w:t>
      </w:r>
    </w:p>
    <w:p>
      <w:pPr>
        <w:widowControl/>
        <w:spacing w:line="420" w:lineRule="exact"/>
        <w:rPr>
          <w:rFonts w:ascii="宋体" w:hAnsi="宋体" w:cs="宋体"/>
          <w:b/>
          <w:sz w:val="24"/>
        </w:rPr>
      </w:pPr>
    </w:p>
    <w:p>
      <w:pPr>
        <w:pStyle w:val="10"/>
        <w:spacing w:line="420" w:lineRule="exact"/>
      </w:pPr>
    </w:p>
    <w:p>
      <w:pPr>
        <w:spacing w:line="420" w:lineRule="exact"/>
        <w:rPr>
          <w:rFonts w:ascii="宋体" w:hAnsi="宋体" w:cs="宋体"/>
          <w:sz w:val="24"/>
        </w:rPr>
      </w:pPr>
      <w:r>
        <w:rPr>
          <w:rFonts w:hint="eastAsia" w:ascii="宋体" w:hAnsi="宋体" w:cs="宋体"/>
          <w:sz w:val="24"/>
        </w:rPr>
        <w:t>甲方（公章）                               乙方（公章）</w:t>
      </w:r>
    </w:p>
    <w:p>
      <w:pPr>
        <w:spacing w:line="420" w:lineRule="exact"/>
        <w:rPr>
          <w:rFonts w:ascii="宋体" w:hAnsi="宋体" w:cs="宋体"/>
          <w:sz w:val="24"/>
        </w:rPr>
      </w:pPr>
      <w:r>
        <w:rPr>
          <w:rFonts w:hint="eastAsia" w:ascii="宋体" w:hAnsi="宋体" w:cs="宋体"/>
          <w:sz w:val="24"/>
        </w:rPr>
        <w:t>法定代表人：                               法定代表人（单位负责人）：</w:t>
      </w:r>
    </w:p>
    <w:p>
      <w:pPr>
        <w:spacing w:line="420" w:lineRule="exact"/>
        <w:rPr>
          <w:rFonts w:ascii="宋体" w:hAnsi="宋体" w:cs="宋体"/>
          <w:sz w:val="24"/>
        </w:rPr>
      </w:pPr>
      <w:r>
        <w:rPr>
          <w:rFonts w:hint="eastAsia" w:ascii="宋体" w:hAnsi="宋体" w:cs="宋体"/>
          <w:sz w:val="24"/>
        </w:rPr>
        <w:t>委托代理人：                               委托代理人：</w:t>
      </w:r>
    </w:p>
    <w:p>
      <w:pPr>
        <w:spacing w:line="420" w:lineRule="exact"/>
        <w:rPr>
          <w:rFonts w:ascii="宋体" w:hAnsi="宋体" w:cs="宋体"/>
          <w:sz w:val="24"/>
        </w:rPr>
      </w:pPr>
      <w:r>
        <w:rPr>
          <w:rFonts w:hint="eastAsia" w:ascii="宋体" w:hAnsi="宋体" w:cs="宋体"/>
          <w:sz w:val="24"/>
        </w:rPr>
        <w:t>联系电话：                                 联系电话：</w:t>
      </w:r>
    </w:p>
    <w:p>
      <w:pPr>
        <w:spacing w:line="420" w:lineRule="exact"/>
        <w:rPr>
          <w:rFonts w:ascii="宋体" w:hAnsi="宋体" w:cs="宋体"/>
          <w:sz w:val="24"/>
        </w:rPr>
      </w:pPr>
      <w:r>
        <w:rPr>
          <w:rFonts w:hint="eastAsia" w:ascii="宋体" w:hAnsi="宋体" w:cs="宋体"/>
          <w:sz w:val="24"/>
        </w:rPr>
        <w:t>开户银行：                                 开户银行：（必填）</w:t>
      </w:r>
    </w:p>
    <w:p>
      <w:pPr>
        <w:spacing w:line="420" w:lineRule="exact"/>
        <w:rPr>
          <w:rFonts w:ascii="宋体" w:hAnsi="宋体" w:cs="宋体"/>
          <w:b/>
          <w:bCs/>
          <w:sz w:val="24"/>
        </w:rPr>
      </w:pPr>
      <w:r>
        <w:rPr>
          <w:rFonts w:hint="eastAsia" w:ascii="宋体" w:hAnsi="宋体" w:cs="宋体"/>
          <w:sz w:val="24"/>
        </w:rPr>
        <w:t>帐号：                                     帐号：（必填）</w:t>
      </w:r>
    </w:p>
    <w:p>
      <w:pPr>
        <w:spacing w:line="420" w:lineRule="exact"/>
        <w:rPr>
          <w:rFonts w:ascii="宋体" w:hAnsi="宋体" w:cs="宋体"/>
          <w:sz w:val="24"/>
        </w:rPr>
      </w:pPr>
      <w:r>
        <w:rPr>
          <w:rFonts w:hint="eastAsia" w:ascii="宋体" w:hAnsi="宋体" w:cs="宋体"/>
          <w:sz w:val="24"/>
        </w:rPr>
        <w:t>地址及邮编：                               地址及邮编：</w:t>
      </w:r>
    </w:p>
    <w:p>
      <w:pPr>
        <w:spacing w:line="420" w:lineRule="exact"/>
        <w:rPr>
          <w:rFonts w:ascii="宋体" w:hAnsi="宋体" w:cs="宋体"/>
          <w:sz w:val="24"/>
        </w:rPr>
      </w:pPr>
      <w:r>
        <w:rPr>
          <w:rFonts w:hint="eastAsia" w:ascii="宋体" w:hAnsi="宋体" w:cs="宋体"/>
          <w:sz w:val="24"/>
        </w:rPr>
        <w:t>签订时间：    年   月    日                签订时间：    年   月    日</w:t>
      </w:r>
    </w:p>
    <w:p>
      <w:pPr>
        <w:pStyle w:val="10"/>
        <w:rPr>
          <w:rFonts w:ascii="宋体" w:hAnsi="宋体" w:cs="宋体"/>
          <w:b/>
          <w:bCs/>
        </w:rPr>
      </w:pPr>
    </w:p>
    <w:p>
      <w:pPr>
        <w:pStyle w:val="10"/>
        <w:spacing w:line="440" w:lineRule="exact"/>
        <w:rPr>
          <w:rFonts w:ascii="宋体" w:hAnsi="宋体" w:cs="宋体"/>
          <w:b/>
          <w:bCs/>
        </w:rPr>
      </w:pPr>
      <w:r>
        <w:rPr>
          <w:rFonts w:hint="eastAsia" w:ascii="宋体" w:hAnsi="宋体" w:cs="宋体"/>
          <w:b/>
          <w:bCs/>
        </w:rPr>
        <w:t>标段二：</w:t>
      </w:r>
    </w:p>
    <w:p>
      <w:pPr>
        <w:pStyle w:val="14"/>
        <w:snapToGrid w:val="0"/>
        <w:spacing w:before="120" w:after="120" w:line="440" w:lineRule="exact"/>
        <w:rPr>
          <w:rFonts w:hAnsi="宋体" w:cs="宋体"/>
          <w:sz w:val="24"/>
        </w:rPr>
      </w:pPr>
      <w:r>
        <w:rPr>
          <w:rFonts w:hint="eastAsia" w:hAnsi="宋体" w:cs="宋体"/>
          <w:sz w:val="24"/>
        </w:rPr>
        <w:t>项目名称：</w:t>
      </w:r>
      <w:r>
        <w:rPr>
          <w:rFonts w:hint="eastAsia" w:hAnsi="宋体" w:cs="宋体"/>
          <w:kern w:val="0"/>
          <w:sz w:val="24"/>
          <w:u w:val="single"/>
        </w:rPr>
        <w:t>2022-2023年度黄岩区城乡居民基本医疗保险意外伤害住院医疗费用再保险项目</w:t>
      </w:r>
    </w:p>
    <w:p>
      <w:pPr>
        <w:pStyle w:val="14"/>
        <w:snapToGrid w:val="0"/>
        <w:spacing w:before="120" w:after="120" w:line="440" w:lineRule="exact"/>
        <w:rPr>
          <w:rFonts w:hAnsi="宋体" w:cs="宋体"/>
          <w:sz w:val="24"/>
          <w:u w:val="single"/>
        </w:rPr>
      </w:pPr>
      <w:r>
        <w:rPr>
          <w:rFonts w:hint="eastAsia" w:hAnsi="宋体" w:cs="宋体"/>
          <w:sz w:val="24"/>
        </w:rPr>
        <w:t>项目编号：</w:t>
      </w:r>
      <w:r>
        <w:rPr>
          <w:rFonts w:hint="eastAsia" w:hAnsi="宋体" w:cs="宋体"/>
          <w:sz w:val="24"/>
          <w:u w:val="single"/>
        </w:rPr>
        <w:t xml:space="preserve">                        </w:t>
      </w:r>
    </w:p>
    <w:p>
      <w:pPr>
        <w:pStyle w:val="14"/>
        <w:snapToGrid w:val="0"/>
        <w:spacing w:before="120" w:after="120" w:line="440" w:lineRule="exact"/>
        <w:rPr>
          <w:rFonts w:hAnsi="宋体" w:cs="宋体"/>
          <w:sz w:val="24"/>
        </w:rPr>
      </w:pPr>
      <w:r>
        <w:rPr>
          <w:rFonts w:hint="eastAsia" w:hAnsi="宋体" w:cs="宋体"/>
          <w:sz w:val="24"/>
        </w:rPr>
        <w:t>甲方：</w:t>
      </w:r>
      <w:r>
        <w:rPr>
          <w:rFonts w:hint="eastAsia" w:hAnsi="宋体" w:cs="宋体"/>
          <w:sz w:val="24"/>
          <w:u w:val="single"/>
        </w:rPr>
        <w:t xml:space="preserve">台州市黄岩区医疗保障局 </w:t>
      </w:r>
    </w:p>
    <w:p>
      <w:pPr>
        <w:pStyle w:val="14"/>
        <w:snapToGrid w:val="0"/>
        <w:spacing w:before="120" w:after="120" w:line="440" w:lineRule="exact"/>
        <w:rPr>
          <w:rFonts w:hAnsi="宋体" w:cs="宋体"/>
          <w:sz w:val="24"/>
        </w:rPr>
      </w:pPr>
      <w:r>
        <w:rPr>
          <w:rFonts w:hint="eastAsia" w:hAnsi="宋体" w:cs="宋体"/>
          <w:sz w:val="24"/>
        </w:rPr>
        <w:t>乙方：</w:t>
      </w:r>
      <w:r>
        <w:rPr>
          <w:rFonts w:hint="eastAsia" w:hAnsi="宋体" w:cs="宋体"/>
          <w:sz w:val="24"/>
          <w:u w:val="single"/>
        </w:rPr>
        <w:t xml:space="preserve">                             </w:t>
      </w:r>
    </w:p>
    <w:p>
      <w:pPr>
        <w:pStyle w:val="14"/>
        <w:snapToGrid w:val="0"/>
        <w:spacing w:before="120" w:after="120" w:line="440" w:lineRule="exact"/>
        <w:ind w:firstLine="480" w:firstLineChars="200"/>
        <w:rPr>
          <w:rFonts w:hAnsi="宋体" w:cs="宋体"/>
          <w:b/>
          <w:sz w:val="24"/>
        </w:rPr>
      </w:pPr>
      <w:r>
        <w:rPr>
          <w:rFonts w:hint="eastAsia" w:hAnsi="宋体" w:cs="宋体"/>
          <w:sz w:val="24"/>
        </w:rPr>
        <w:t>甲、乙双方根据</w:t>
      </w:r>
      <w:r>
        <w:rPr>
          <w:rFonts w:hint="eastAsia" w:hAnsi="宋体" w:cs="宋体"/>
          <w:kern w:val="0"/>
          <w:sz w:val="24"/>
        </w:rPr>
        <w:t>2022-2023年度黄岩区城乡居民基本医疗保险意外伤害住院医疗费用再保险项目</w:t>
      </w:r>
      <w:r>
        <w:rPr>
          <w:rFonts w:hint="eastAsia" w:hAnsi="宋体" w:cs="宋体"/>
          <w:sz w:val="24"/>
        </w:rPr>
        <w:t>公开招标的结果，签署本合同。</w:t>
      </w:r>
    </w:p>
    <w:p>
      <w:pPr>
        <w:pStyle w:val="4"/>
        <w:autoSpaceDE/>
        <w:autoSpaceDN/>
        <w:adjustRightInd/>
        <w:spacing w:line="440" w:lineRule="exact"/>
        <w:ind w:right="210" w:rightChars="100"/>
        <w:rPr>
          <w:rFonts w:cs="宋体"/>
          <w:sz w:val="24"/>
          <w:szCs w:val="24"/>
          <w:lang w:val="zh-CN"/>
        </w:rPr>
      </w:pPr>
      <w:r>
        <w:rPr>
          <w:rFonts w:hint="eastAsia"/>
        </w:rPr>
        <w:t>一、</w:t>
      </w:r>
      <w:r>
        <w:rPr>
          <w:rFonts w:hint="eastAsia"/>
          <w:lang w:val="zh-CN"/>
        </w:rPr>
        <w:t>合同文件：</w:t>
      </w:r>
      <w:r>
        <w:rPr>
          <w:rFonts w:hint="eastAsia" w:cs="宋体"/>
          <w:sz w:val="24"/>
          <w:szCs w:val="24"/>
          <w:lang w:val="zh-CN"/>
        </w:rPr>
        <w:t xml:space="preserve"> </w:t>
      </w:r>
    </w:p>
    <w:p>
      <w:pPr>
        <w:spacing w:line="440" w:lineRule="exact"/>
        <w:ind w:firstLine="480" w:firstLineChars="200"/>
        <w:rPr>
          <w:rFonts w:ascii="宋体" w:hAnsi="宋体" w:cs="宋体"/>
          <w:sz w:val="24"/>
          <w:lang w:val="zh-CN"/>
        </w:rPr>
      </w:pPr>
      <w:r>
        <w:rPr>
          <w:rFonts w:hint="eastAsia" w:ascii="宋体" w:hAnsi="宋体" w:cs="宋体"/>
          <w:sz w:val="24"/>
          <w:lang w:val="zh-CN"/>
        </w:rPr>
        <w:t>1.合同条款。</w:t>
      </w:r>
    </w:p>
    <w:p>
      <w:pPr>
        <w:spacing w:line="440" w:lineRule="exact"/>
        <w:ind w:firstLine="480" w:firstLineChars="200"/>
        <w:rPr>
          <w:rFonts w:ascii="宋体" w:hAnsi="宋体" w:cs="宋体"/>
          <w:sz w:val="24"/>
          <w:lang w:val="zh-CN"/>
        </w:rPr>
      </w:pPr>
      <w:r>
        <w:rPr>
          <w:rFonts w:hint="eastAsia" w:ascii="宋体" w:hAnsi="宋体" w:cs="宋体"/>
          <w:sz w:val="24"/>
          <w:lang w:val="zh-CN"/>
        </w:rPr>
        <w:t>2.中标通知书。</w:t>
      </w:r>
    </w:p>
    <w:p>
      <w:pPr>
        <w:spacing w:line="440" w:lineRule="exact"/>
        <w:ind w:firstLine="480" w:firstLineChars="200"/>
        <w:rPr>
          <w:rFonts w:ascii="宋体" w:hAnsi="宋体" w:cs="宋体"/>
          <w:sz w:val="24"/>
          <w:lang w:val="zh-CN"/>
        </w:rPr>
      </w:pPr>
      <w:r>
        <w:rPr>
          <w:rFonts w:hint="eastAsia" w:ascii="宋体" w:hAnsi="宋体" w:cs="宋体"/>
          <w:sz w:val="24"/>
          <w:lang w:val="zh-CN"/>
        </w:rPr>
        <w:t>3.更正补充文件。</w:t>
      </w:r>
    </w:p>
    <w:p>
      <w:pPr>
        <w:spacing w:line="440" w:lineRule="exact"/>
        <w:ind w:firstLine="480" w:firstLineChars="200"/>
        <w:rPr>
          <w:rFonts w:ascii="宋体" w:hAnsi="宋体" w:cs="宋体"/>
          <w:sz w:val="24"/>
          <w:lang w:val="zh-CN"/>
        </w:rPr>
      </w:pPr>
      <w:r>
        <w:rPr>
          <w:rFonts w:hint="eastAsia" w:ascii="宋体" w:hAnsi="宋体" w:cs="宋体"/>
          <w:sz w:val="24"/>
          <w:lang w:val="zh-CN"/>
        </w:rPr>
        <w:t>4.招标文件。</w:t>
      </w:r>
    </w:p>
    <w:p>
      <w:pPr>
        <w:spacing w:line="440" w:lineRule="exact"/>
        <w:ind w:firstLine="480" w:firstLineChars="200"/>
        <w:rPr>
          <w:rFonts w:ascii="宋体" w:hAnsi="宋体" w:cs="宋体"/>
          <w:sz w:val="24"/>
          <w:lang w:val="zh-CN"/>
        </w:rPr>
      </w:pPr>
      <w:r>
        <w:rPr>
          <w:rFonts w:hint="eastAsia" w:ascii="宋体" w:hAnsi="宋体" w:cs="宋体"/>
          <w:sz w:val="24"/>
          <w:lang w:val="zh-CN"/>
        </w:rPr>
        <w:t>5.中标供应商投标文件。</w:t>
      </w:r>
    </w:p>
    <w:p>
      <w:pPr>
        <w:spacing w:line="440" w:lineRule="exact"/>
        <w:ind w:firstLine="480" w:firstLineChars="200"/>
        <w:rPr>
          <w:rFonts w:ascii="宋体" w:hAnsi="宋体" w:cs="宋体"/>
          <w:sz w:val="24"/>
          <w:lang w:val="zh-CN"/>
        </w:rPr>
      </w:pPr>
      <w:r>
        <w:rPr>
          <w:rFonts w:hint="eastAsia" w:ascii="宋体" w:hAnsi="宋体" w:cs="宋体"/>
          <w:sz w:val="24"/>
          <w:lang w:val="zh-CN"/>
        </w:rPr>
        <w:t>6.其他。</w:t>
      </w:r>
    </w:p>
    <w:p>
      <w:pPr>
        <w:pStyle w:val="14"/>
        <w:snapToGrid w:val="0"/>
        <w:spacing w:line="440" w:lineRule="exact"/>
        <w:ind w:firstLine="480" w:firstLineChars="200"/>
        <w:rPr>
          <w:rFonts w:hAnsi="宋体" w:cs="宋体"/>
          <w:sz w:val="24"/>
          <w:lang w:val="zh-CN"/>
        </w:rPr>
      </w:pPr>
      <w:r>
        <w:rPr>
          <w:rFonts w:hint="eastAsia" w:hAnsi="宋体" w:cs="宋体"/>
          <w:sz w:val="24"/>
          <w:lang w:val="zh-CN"/>
        </w:rPr>
        <w:t>上述所指合同文件应认为是互相补充和解释的，但是有模棱两可或互相矛盾之处，以其所列内容顺序为准。</w:t>
      </w:r>
    </w:p>
    <w:p>
      <w:pPr>
        <w:snapToGrid w:val="0"/>
        <w:spacing w:line="440" w:lineRule="exact"/>
        <w:rPr>
          <w:rFonts w:ascii="宋体" w:hAnsi="宋体" w:cs="宋体"/>
          <w:b/>
          <w:sz w:val="24"/>
        </w:rPr>
      </w:pPr>
      <w:r>
        <w:rPr>
          <w:rFonts w:hint="eastAsia" w:ascii="宋体" w:hAnsi="宋体" w:cs="宋体"/>
          <w:b/>
          <w:sz w:val="24"/>
        </w:rPr>
        <w:t>二、承包内容</w:t>
      </w:r>
    </w:p>
    <w:p>
      <w:pPr>
        <w:snapToGrid w:val="0"/>
        <w:spacing w:line="440" w:lineRule="exact"/>
        <w:ind w:firstLine="424" w:firstLineChars="177"/>
        <w:rPr>
          <w:rFonts w:ascii="宋体" w:hAnsi="宋体" w:cs="宋体"/>
          <w:b/>
          <w:sz w:val="24"/>
        </w:rPr>
      </w:pPr>
      <w:r>
        <w:rPr>
          <w:rFonts w:hint="eastAsia" w:ascii="宋体" w:hAnsi="宋体" w:cs="宋体"/>
          <w:kern w:val="0"/>
          <w:sz w:val="24"/>
        </w:rPr>
        <w:t>2022-2023年度黄岩区城乡居民基本医疗保险意外伤害住院医疗费用再保险项目</w:t>
      </w:r>
      <w:r>
        <w:rPr>
          <w:rFonts w:hint="eastAsia" w:ascii="宋体" w:hAnsi="宋体" w:cs="宋体"/>
          <w:sz w:val="24"/>
        </w:rPr>
        <w:t>结算时按照实际参保人数结算。</w:t>
      </w:r>
    </w:p>
    <w:p>
      <w:pPr>
        <w:snapToGrid w:val="0"/>
        <w:spacing w:line="440" w:lineRule="exact"/>
        <w:rPr>
          <w:rFonts w:ascii="宋体" w:hAnsi="宋体" w:cs="宋体"/>
          <w:b/>
          <w:sz w:val="24"/>
        </w:rPr>
      </w:pPr>
      <w:r>
        <w:rPr>
          <w:rFonts w:hint="eastAsia" w:ascii="宋体" w:hAnsi="宋体" w:cs="宋体"/>
          <w:b/>
          <w:sz w:val="24"/>
        </w:rPr>
        <w:t>三、合同金额</w:t>
      </w:r>
    </w:p>
    <w:p>
      <w:pPr>
        <w:spacing w:line="440" w:lineRule="exact"/>
        <w:ind w:firstLine="480" w:firstLineChars="200"/>
        <w:rPr>
          <w:rFonts w:ascii="宋体" w:hAnsi="宋体" w:cs="宋体"/>
          <w:sz w:val="24"/>
        </w:rPr>
      </w:pPr>
      <w:r>
        <w:rPr>
          <w:rFonts w:hint="eastAsia" w:ascii="宋体" w:hAnsi="宋体" w:cs="宋体"/>
          <w:sz w:val="24"/>
        </w:rPr>
        <w:t>本合同金额为(大写):</w:t>
      </w:r>
      <w:r>
        <w:rPr>
          <w:rFonts w:hint="eastAsia" w:ascii="宋体" w:hAnsi="宋体" w:cs="宋体"/>
          <w:sz w:val="24"/>
          <w:u w:val="single"/>
        </w:rPr>
        <w:t xml:space="preserve">                 </w:t>
      </w:r>
      <w:r>
        <w:rPr>
          <w:rFonts w:hint="eastAsia" w:ascii="宋体" w:hAnsi="宋体" w:cs="宋体"/>
          <w:sz w:val="24"/>
        </w:rPr>
        <w:t>元 (￥:</w:t>
      </w:r>
      <w:r>
        <w:rPr>
          <w:rFonts w:hint="eastAsia" w:ascii="宋体" w:hAnsi="宋体" w:cs="宋体"/>
          <w:sz w:val="24"/>
          <w:u w:val="single"/>
        </w:rPr>
        <w:t xml:space="preserve">              </w:t>
      </w:r>
      <w:r>
        <w:rPr>
          <w:rFonts w:hint="eastAsia" w:ascii="宋体" w:hAnsi="宋体" w:cs="宋体"/>
          <w:sz w:val="24"/>
        </w:rPr>
        <w:t>元) 人民币。</w:t>
      </w:r>
    </w:p>
    <w:p>
      <w:pPr>
        <w:pStyle w:val="14"/>
        <w:snapToGrid w:val="0"/>
        <w:spacing w:before="120" w:after="120" w:line="440" w:lineRule="exact"/>
        <w:ind w:firstLine="720" w:firstLineChars="300"/>
        <w:rPr>
          <w:rFonts w:hAnsi="宋体" w:cs="宋体"/>
          <w:b/>
          <w:sz w:val="24"/>
        </w:rPr>
      </w:pPr>
      <w:r>
        <w:rPr>
          <w:rFonts w:hint="eastAsia" w:hAnsi="宋体" w:cs="宋体"/>
          <w:sz w:val="24"/>
        </w:rPr>
        <w:t>注：XXX元/人/年，结算时按照实际参保人数结算。</w:t>
      </w:r>
    </w:p>
    <w:p>
      <w:pPr>
        <w:spacing w:line="440" w:lineRule="exact"/>
        <w:ind w:right="-153" w:rightChars="-73"/>
        <w:rPr>
          <w:rFonts w:ascii="宋体" w:hAnsi="宋体" w:cs="宋体"/>
          <w:b/>
          <w:kern w:val="0"/>
          <w:sz w:val="24"/>
        </w:rPr>
      </w:pPr>
      <w:r>
        <w:rPr>
          <w:rFonts w:hint="eastAsia" w:ascii="宋体" w:hAnsi="宋体" w:cs="宋体"/>
          <w:b/>
          <w:kern w:val="0"/>
          <w:sz w:val="24"/>
        </w:rPr>
        <w:t xml:space="preserve">三、保险期限           </w:t>
      </w:r>
    </w:p>
    <w:p>
      <w:pPr>
        <w:pStyle w:val="14"/>
        <w:snapToGrid w:val="0"/>
        <w:spacing w:before="120" w:after="120" w:line="440" w:lineRule="exact"/>
        <w:ind w:firstLine="480" w:firstLineChars="200"/>
        <w:rPr>
          <w:rFonts w:hAnsi="宋体" w:cs="宋体"/>
          <w:b/>
          <w:bCs/>
          <w:sz w:val="24"/>
        </w:rPr>
      </w:pPr>
      <w:r>
        <w:rPr>
          <w:rFonts w:hint="eastAsia" w:hAnsi="宋体" w:cs="宋体"/>
          <w:sz w:val="24"/>
        </w:rPr>
        <w:t>本次招标合作期从2022年1月1日起至2023年12月31日止，共两年。责任期限时间与基本医疗保险年度一致，既发生的时间以出院结算日为准。待遇支付均不包括大病保险待遇支付部分。如项目终止未续保，承保方承担保单责任（2022年1月1日至2023年12月31出院结算）内后续的意外伤害相关费用，受理时间截至2024年12月31日。</w:t>
      </w:r>
    </w:p>
    <w:p>
      <w:pPr>
        <w:pStyle w:val="14"/>
        <w:snapToGrid w:val="0"/>
        <w:spacing w:before="120" w:after="120" w:line="440" w:lineRule="exact"/>
        <w:rPr>
          <w:rFonts w:hAnsi="宋体" w:cs="宋体"/>
          <w:b/>
          <w:bCs/>
          <w:sz w:val="24"/>
        </w:rPr>
      </w:pPr>
      <w:r>
        <w:rPr>
          <w:rFonts w:hint="eastAsia" w:hAnsi="宋体" w:cs="宋体"/>
          <w:b/>
          <w:bCs/>
          <w:sz w:val="24"/>
        </w:rPr>
        <w:t>四、保费支付</w:t>
      </w:r>
    </w:p>
    <w:p>
      <w:pPr>
        <w:pStyle w:val="14"/>
        <w:snapToGrid w:val="0"/>
        <w:spacing w:before="120" w:after="120" w:line="440" w:lineRule="exact"/>
        <w:ind w:firstLine="480" w:firstLineChars="200"/>
        <w:rPr>
          <w:rFonts w:hAnsi="宋体" w:cs="宋体"/>
          <w:sz w:val="24"/>
        </w:rPr>
      </w:pPr>
      <w:r>
        <w:rPr>
          <w:rFonts w:hint="eastAsia" w:hAnsi="宋体" w:cs="宋体"/>
          <w:kern w:val="0"/>
          <w:sz w:val="24"/>
        </w:rPr>
        <w:t>黄岩区城乡居民基本医疗保险服务中心</w:t>
      </w:r>
      <w:r>
        <w:rPr>
          <w:rFonts w:hint="eastAsia" w:hAnsi="宋体" w:cs="宋体"/>
          <w:sz w:val="24"/>
        </w:rPr>
        <w:t>将年初集体征缴保费的90%按季度划拨给中标人，剩余的10%作为后续拨付资金，用于支付被保险人在保险期内发生的未支付部分的保险费，具体支付时间按结算期确定。（年初保费的计算方式为年初参保人数*中标单价）</w:t>
      </w:r>
    </w:p>
    <w:p>
      <w:pPr>
        <w:pStyle w:val="14"/>
        <w:snapToGrid w:val="0"/>
        <w:spacing w:before="120" w:after="120" w:line="440" w:lineRule="exact"/>
        <w:ind w:firstLine="480" w:firstLineChars="200"/>
        <w:rPr>
          <w:rFonts w:hAnsi="宋体" w:cs="宋体"/>
          <w:sz w:val="24"/>
        </w:rPr>
      </w:pPr>
      <w:r>
        <w:rPr>
          <w:rFonts w:hint="eastAsia" w:hAnsi="宋体" w:cs="宋体"/>
          <w:sz w:val="24"/>
        </w:rPr>
        <w:t>中途参保征缴保费于每年7月底和次年1月底分两次审核汇总后交中标人，同时将再保险保费划入中标人财务账户。（中途保费的计算方式为中途参保人数*中标单价）</w:t>
      </w:r>
    </w:p>
    <w:p>
      <w:pPr>
        <w:pStyle w:val="14"/>
        <w:snapToGrid w:val="0"/>
        <w:spacing w:before="120" w:after="120" w:line="440" w:lineRule="exact"/>
        <w:rPr>
          <w:rFonts w:hAnsi="宋体" w:cs="宋体"/>
          <w:b/>
          <w:bCs/>
          <w:sz w:val="24"/>
        </w:rPr>
      </w:pPr>
      <w:r>
        <w:rPr>
          <w:rFonts w:hint="eastAsia" w:hAnsi="宋体" w:cs="宋体"/>
          <w:b/>
          <w:bCs/>
          <w:sz w:val="24"/>
        </w:rPr>
        <w:t>五、待遇支付</w:t>
      </w:r>
    </w:p>
    <w:p>
      <w:pPr>
        <w:pStyle w:val="14"/>
        <w:snapToGrid w:val="0"/>
        <w:spacing w:before="120" w:after="120" w:line="440" w:lineRule="exact"/>
        <w:ind w:firstLine="480" w:firstLineChars="200"/>
        <w:rPr>
          <w:rFonts w:hAnsi="宋体" w:cs="宋体"/>
          <w:b/>
          <w:bCs/>
          <w:sz w:val="24"/>
        </w:rPr>
      </w:pPr>
      <w:r>
        <w:rPr>
          <w:rFonts w:hint="eastAsia" w:hAnsi="宋体" w:cs="宋体"/>
          <w:sz w:val="24"/>
        </w:rPr>
        <w:t>被保险人发生的医保费用，</w:t>
      </w:r>
      <w:r>
        <w:rPr>
          <w:rFonts w:hint="eastAsia" w:hAnsi="宋体" w:cs="宋体"/>
          <w:kern w:val="0"/>
          <w:sz w:val="24"/>
        </w:rPr>
        <w:t>黄岩区城乡居民基本医疗保险服务中心</w:t>
      </w:r>
      <w:r>
        <w:rPr>
          <w:rFonts w:hint="eastAsia" w:hAnsi="宋体" w:cs="宋体"/>
          <w:sz w:val="24"/>
        </w:rPr>
        <w:t>先予以垫付，次月再向乙方结算，乙方在收到甲方结算清单后5个工作日内，将理赔款项支付给甲方。中标人承担实际赔付额的35%。</w:t>
      </w:r>
    </w:p>
    <w:p>
      <w:pPr>
        <w:pStyle w:val="14"/>
        <w:snapToGrid w:val="0"/>
        <w:spacing w:before="120" w:after="120" w:line="440" w:lineRule="exact"/>
        <w:rPr>
          <w:rFonts w:hAnsi="宋体" w:cs="宋体"/>
          <w:b/>
          <w:sz w:val="24"/>
        </w:rPr>
      </w:pPr>
      <w:r>
        <w:rPr>
          <w:rFonts w:hint="eastAsia" w:hAnsi="宋体" w:cs="宋体"/>
          <w:b/>
          <w:bCs/>
          <w:sz w:val="24"/>
        </w:rPr>
        <w:t xml:space="preserve">六、盈亏奖惩方式  </w:t>
      </w:r>
      <w:r>
        <w:rPr>
          <w:rFonts w:hint="eastAsia" w:hAnsi="宋体" w:cs="宋体"/>
          <w:sz w:val="24"/>
        </w:rPr>
        <w:t>意外伤害设置调剂金制度：</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703"/>
        <w:gridCol w:w="169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40" w:lineRule="exact"/>
              <w:jc w:val="center"/>
              <w:rPr>
                <w:rFonts w:ascii="宋体" w:hAnsi="宋体" w:cs="宋体"/>
                <w:sz w:val="24"/>
              </w:rPr>
            </w:pPr>
            <w:r>
              <w:rPr>
                <w:rFonts w:hint="eastAsia" w:ascii="宋体" w:hAnsi="宋体" w:cs="宋体"/>
                <w:sz w:val="24"/>
              </w:rPr>
              <w:t>序号</w:t>
            </w:r>
          </w:p>
        </w:tc>
        <w:tc>
          <w:tcPr>
            <w:tcW w:w="1440" w:type="dxa"/>
            <w:vAlign w:val="center"/>
          </w:tcPr>
          <w:p>
            <w:pPr>
              <w:spacing w:line="440" w:lineRule="exact"/>
              <w:jc w:val="center"/>
              <w:rPr>
                <w:rFonts w:ascii="宋体" w:hAnsi="宋体" w:cs="宋体"/>
                <w:sz w:val="24"/>
              </w:rPr>
            </w:pPr>
            <w:r>
              <w:rPr>
                <w:rFonts w:hint="eastAsia" w:ascii="宋体" w:hAnsi="宋体" w:cs="宋体"/>
                <w:sz w:val="24"/>
              </w:rPr>
              <w:t>节约和超支</w:t>
            </w:r>
          </w:p>
        </w:tc>
        <w:tc>
          <w:tcPr>
            <w:tcW w:w="2703" w:type="dxa"/>
            <w:vAlign w:val="center"/>
          </w:tcPr>
          <w:p>
            <w:pPr>
              <w:spacing w:line="440" w:lineRule="exact"/>
              <w:jc w:val="center"/>
              <w:rPr>
                <w:rFonts w:ascii="宋体" w:hAnsi="宋体" w:cs="宋体"/>
                <w:sz w:val="24"/>
              </w:rPr>
            </w:pPr>
            <w:r>
              <w:rPr>
                <w:rFonts w:hint="eastAsia" w:ascii="宋体" w:hAnsi="宋体" w:cs="宋体"/>
                <w:sz w:val="24"/>
              </w:rPr>
              <w:t>节约（超支）比例</w:t>
            </w:r>
          </w:p>
        </w:tc>
        <w:tc>
          <w:tcPr>
            <w:tcW w:w="1696" w:type="dxa"/>
            <w:vAlign w:val="center"/>
          </w:tcPr>
          <w:p>
            <w:pPr>
              <w:spacing w:line="440" w:lineRule="exact"/>
              <w:jc w:val="center"/>
              <w:rPr>
                <w:rFonts w:ascii="宋体" w:hAnsi="宋体" w:cs="宋体"/>
                <w:sz w:val="24"/>
              </w:rPr>
            </w:pPr>
            <w:r>
              <w:rPr>
                <w:rFonts w:hint="eastAsia" w:ascii="宋体" w:hAnsi="宋体" w:cs="宋体"/>
                <w:sz w:val="24"/>
              </w:rPr>
              <w:t>奖励和赔偿</w:t>
            </w:r>
          </w:p>
        </w:tc>
        <w:tc>
          <w:tcPr>
            <w:tcW w:w="2261" w:type="dxa"/>
            <w:vAlign w:val="center"/>
          </w:tcPr>
          <w:p>
            <w:pPr>
              <w:spacing w:line="4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40" w:lineRule="exact"/>
              <w:jc w:val="center"/>
              <w:rPr>
                <w:rFonts w:ascii="宋体" w:hAnsi="宋体" w:cs="宋体"/>
                <w:sz w:val="24"/>
              </w:rPr>
            </w:pPr>
            <w:r>
              <w:rPr>
                <w:rFonts w:hint="eastAsia" w:ascii="宋体" w:hAnsi="宋体" w:cs="宋体"/>
                <w:sz w:val="24"/>
              </w:rPr>
              <w:t>1</w:t>
            </w:r>
          </w:p>
        </w:tc>
        <w:tc>
          <w:tcPr>
            <w:tcW w:w="1440" w:type="dxa"/>
            <w:vMerge w:val="restart"/>
            <w:vAlign w:val="center"/>
          </w:tcPr>
          <w:p>
            <w:pPr>
              <w:spacing w:line="440" w:lineRule="exact"/>
              <w:jc w:val="center"/>
              <w:rPr>
                <w:rFonts w:ascii="宋体" w:hAnsi="宋体" w:cs="宋体"/>
                <w:sz w:val="24"/>
              </w:rPr>
            </w:pPr>
            <w:r>
              <w:rPr>
                <w:rFonts w:hint="eastAsia" w:ascii="宋体" w:hAnsi="宋体" w:cs="宋体"/>
                <w:sz w:val="24"/>
              </w:rPr>
              <w:t>保费节约部分（实际结余金额）=中标金额-当年赔付支出-当年营运成本</w:t>
            </w:r>
          </w:p>
        </w:tc>
        <w:tc>
          <w:tcPr>
            <w:tcW w:w="2703" w:type="dxa"/>
            <w:vAlign w:val="center"/>
          </w:tcPr>
          <w:p>
            <w:pPr>
              <w:spacing w:line="440" w:lineRule="exact"/>
              <w:jc w:val="center"/>
              <w:rPr>
                <w:rFonts w:ascii="宋体" w:hAnsi="宋体" w:cs="宋体"/>
                <w:sz w:val="24"/>
              </w:rPr>
            </w:pPr>
            <w:r>
              <w:rPr>
                <w:rFonts w:hint="eastAsia" w:ascii="宋体" w:hAnsi="宋体" w:cs="宋体"/>
                <w:sz w:val="24"/>
              </w:rPr>
              <w:t>结余金额在中标金额4%（含）以内部分的</w:t>
            </w:r>
          </w:p>
        </w:tc>
        <w:tc>
          <w:tcPr>
            <w:tcW w:w="1696" w:type="dxa"/>
            <w:vAlign w:val="center"/>
          </w:tcPr>
          <w:p>
            <w:pPr>
              <w:spacing w:line="440" w:lineRule="exact"/>
              <w:jc w:val="center"/>
              <w:rPr>
                <w:rFonts w:ascii="宋体" w:hAnsi="宋体" w:cs="宋体"/>
                <w:sz w:val="24"/>
              </w:rPr>
            </w:pPr>
            <w:r>
              <w:rPr>
                <w:rFonts w:hint="eastAsia" w:ascii="宋体" w:hAnsi="宋体" w:cs="宋体"/>
                <w:sz w:val="24"/>
              </w:rPr>
              <w:t>以实际结余金额的60%给予中标人奖励</w:t>
            </w:r>
          </w:p>
        </w:tc>
        <w:tc>
          <w:tcPr>
            <w:tcW w:w="2261" w:type="dxa"/>
            <w:vMerge w:val="restart"/>
            <w:vAlign w:val="center"/>
          </w:tcPr>
          <w:p>
            <w:pPr>
              <w:spacing w:line="440" w:lineRule="exact"/>
              <w:jc w:val="center"/>
              <w:rPr>
                <w:rFonts w:ascii="宋体" w:hAnsi="宋体" w:cs="宋体"/>
                <w:sz w:val="24"/>
              </w:rPr>
            </w:pPr>
            <w:r>
              <w:rPr>
                <w:rFonts w:hint="eastAsia" w:ascii="宋体" w:hAnsi="宋体" w:cs="宋体"/>
                <w:sz w:val="24"/>
              </w:rPr>
              <w:t>当年营运成本限12 名经办人员和1 辆车的费用（人员的薪酬按照上一年度省在岗职工平均工资水平加上单位缴纳的五险一金；车辆费用按每年每辆60000元计算）。此标段承担营运成本总费用的35%。（如遇重大会计制度调整，在不影响风调结果的情况下，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40" w:lineRule="exact"/>
              <w:jc w:val="center"/>
              <w:rPr>
                <w:rFonts w:ascii="宋体" w:hAnsi="宋体" w:cs="宋体"/>
                <w:sz w:val="24"/>
              </w:rPr>
            </w:pPr>
            <w:r>
              <w:rPr>
                <w:rFonts w:hint="eastAsia" w:ascii="宋体" w:hAnsi="宋体" w:cs="宋体"/>
                <w:sz w:val="24"/>
              </w:rPr>
              <w:t>2</w:t>
            </w:r>
          </w:p>
        </w:tc>
        <w:tc>
          <w:tcPr>
            <w:tcW w:w="1440" w:type="dxa"/>
            <w:vMerge w:val="continue"/>
            <w:vAlign w:val="center"/>
          </w:tcPr>
          <w:p>
            <w:pPr>
              <w:spacing w:line="440" w:lineRule="exact"/>
              <w:jc w:val="center"/>
              <w:rPr>
                <w:rFonts w:ascii="宋体" w:hAnsi="宋体" w:cs="宋体"/>
                <w:sz w:val="24"/>
              </w:rPr>
            </w:pPr>
          </w:p>
        </w:tc>
        <w:tc>
          <w:tcPr>
            <w:tcW w:w="2703" w:type="dxa"/>
            <w:vAlign w:val="center"/>
          </w:tcPr>
          <w:p>
            <w:pPr>
              <w:spacing w:line="440" w:lineRule="exact"/>
              <w:jc w:val="center"/>
              <w:rPr>
                <w:rFonts w:ascii="宋体" w:hAnsi="宋体" w:cs="宋体"/>
                <w:sz w:val="24"/>
              </w:rPr>
            </w:pPr>
            <w:r>
              <w:rPr>
                <w:rFonts w:hint="eastAsia" w:ascii="宋体" w:hAnsi="宋体" w:cs="宋体"/>
                <w:sz w:val="24"/>
              </w:rPr>
              <w:t>结余金额在中标金额4%-8%（含）部分的</w:t>
            </w:r>
          </w:p>
        </w:tc>
        <w:tc>
          <w:tcPr>
            <w:tcW w:w="1696" w:type="dxa"/>
            <w:vAlign w:val="center"/>
          </w:tcPr>
          <w:p>
            <w:pPr>
              <w:spacing w:line="440" w:lineRule="exact"/>
              <w:jc w:val="center"/>
              <w:rPr>
                <w:rFonts w:ascii="宋体" w:hAnsi="宋体" w:cs="宋体"/>
                <w:sz w:val="24"/>
              </w:rPr>
            </w:pPr>
            <w:r>
              <w:rPr>
                <w:rFonts w:hint="eastAsia" w:ascii="宋体" w:hAnsi="宋体" w:cs="宋体"/>
                <w:sz w:val="24"/>
              </w:rPr>
              <w:t>以实际结余金额的40%给予中标人奖励</w:t>
            </w:r>
          </w:p>
        </w:tc>
        <w:tc>
          <w:tcPr>
            <w:tcW w:w="2261" w:type="dxa"/>
            <w:vMerge w:val="continue"/>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440" w:lineRule="exact"/>
              <w:jc w:val="center"/>
              <w:rPr>
                <w:rFonts w:ascii="宋体" w:hAnsi="宋体" w:cs="宋体"/>
                <w:sz w:val="24"/>
              </w:rPr>
            </w:pPr>
            <w:r>
              <w:rPr>
                <w:rFonts w:hint="eastAsia" w:ascii="宋体" w:hAnsi="宋体" w:cs="宋体"/>
                <w:sz w:val="24"/>
              </w:rPr>
              <w:t>3</w:t>
            </w:r>
          </w:p>
        </w:tc>
        <w:tc>
          <w:tcPr>
            <w:tcW w:w="1440" w:type="dxa"/>
            <w:vMerge w:val="continue"/>
            <w:vAlign w:val="center"/>
          </w:tcPr>
          <w:p>
            <w:pPr>
              <w:spacing w:line="440" w:lineRule="exact"/>
              <w:jc w:val="center"/>
              <w:rPr>
                <w:rFonts w:ascii="宋体" w:hAnsi="宋体" w:cs="宋体"/>
                <w:sz w:val="24"/>
              </w:rPr>
            </w:pPr>
          </w:p>
        </w:tc>
        <w:tc>
          <w:tcPr>
            <w:tcW w:w="2703" w:type="dxa"/>
            <w:vAlign w:val="center"/>
          </w:tcPr>
          <w:p>
            <w:pPr>
              <w:spacing w:line="440" w:lineRule="exact"/>
              <w:jc w:val="center"/>
              <w:rPr>
                <w:rFonts w:ascii="宋体" w:hAnsi="宋体" w:cs="宋体"/>
                <w:sz w:val="24"/>
              </w:rPr>
            </w:pPr>
            <w:r>
              <w:rPr>
                <w:rFonts w:hint="eastAsia" w:ascii="宋体" w:hAnsi="宋体" w:cs="宋体"/>
                <w:sz w:val="24"/>
              </w:rPr>
              <w:t>结余金额在中标金额8%以上部分</w:t>
            </w:r>
          </w:p>
        </w:tc>
        <w:tc>
          <w:tcPr>
            <w:tcW w:w="1696" w:type="dxa"/>
            <w:vAlign w:val="center"/>
          </w:tcPr>
          <w:p>
            <w:pPr>
              <w:spacing w:line="440" w:lineRule="exact"/>
              <w:jc w:val="center"/>
              <w:rPr>
                <w:rFonts w:ascii="宋体" w:hAnsi="宋体" w:cs="宋体"/>
                <w:sz w:val="24"/>
              </w:rPr>
            </w:pPr>
            <w:r>
              <w:rPr>
                <w:rFonts w:hint="eastAsia" w:ascii="宋体" w:hAnsi="宋体" w:cs="宋体"/>
                <w:sz w:val="24"/>
              </w:rPr>
              <w:t>以实际结余金额的20%给予中标人奖励</w:t>
            </w:r>
          </w:p>
        </w:tc>
        <w:tc>
          <w:tcPr>
            <w:tcW w:w="2261" w:type="dxa"/>
            <w:vMerge w:val="continue"/>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40" w:lineRule="exact"/>
              <w:jc w:val="center"/>
              <w:rPr>
                <w:rFonts w:ascii="宋体" w:hAnsi="宋体" w:cs="宋体"/>
                <w:sz w:val="24"/>
              </w:rPr>
            </w:pPr>
            <w:r>
              <w:rPr>
                <w:rFonts w:hint="eastAsia" w:ascii="宋体" w:hAnsi="宋体" w:cs="宋体"/>
                <w:sz w:val="24"/>
              </w:rPr>
              <w:t>4</w:t>
            </w:r>
          </w:p>
        </w:tc>
        <w:tc>
          <w:tcPr>
            <w:tcW w:w="1440" w:type="dxa"/>
            <w:vMerge w:val="restart"/>
            <w:vAlign w:val="center"/>
          </w:tcPr>
          <w:p>
            <w:pPr>
              <w:spacing w:line="440" w:lineRule="exact"/>
              <w:jc w:val="center"/>
              <w:rPr>
                <w:rFonts w:ascii="宋体" w:hAnsi="宋体" w:cs="宋体"/>
                <w:sz w:val="24"/>
              </w:rPr>
            </w:pPr>
            <w:r>
              <w:rPr>
                <w:rFonts w:hint="eastAsia" w:ascii="宋体" w:hAnsi="宋体" w:cs="宋体"/>
                <w:sz w:val="24"/>
              </w:rPr>
              <w:t>保费超支部分（实际超支金额）=当年赔付支出+当年营运成本--中标金额</w:t>
            </w:r>
          </w:p>
        </w:tc>
        <w:tc>
          <w:tcPr>
            <w:tcW w:w="2703" w:type="dxa"/>
            <w:vAlign w:val="center"/>
          </w:tcPr>
          <w:p>
            <w:pPr>
              <w:spacing w:line="440" w:lineRule="exact"/>
              <w:jc w:val="center"/>
              <w:rPr>
                <w:rFonts w:ascii="宋体" w:hAnsi="宋体" w:cs="宋体"/>
                <w:sz w:val="24"/>
              </w:rPr>
            </w:pPr>
            <w:r>
              <w:rPr>
                <w:rFonts w:hint="eastAsia" w:ascii="宋体" w:hAnsi="宋体" w:cs="宋体"/>
                <w:sz w:val="24"/>
              </w:rPr>
              <w:t>超支金额在中标金额4%（含）以内部分的</w:t>
            </w:r>
          </w:p>
        </w:tc>
        <w:tc>
          <w:tcPr>
            <w:tcW w:w="1696" w:type="dxa"/>
            <w:vAlign w:val="center"/>
          </w:tcPr>
          <w:p>
            <w:pPr>
              <w:spacing w:line="440" w:lineRule="exact"/>
              <w:jc w:val="center"/>
              <w:rPr>
                <w:rFonts w:ascii="宋体" w:hAnsi="宋体" w:cs="宋体"/>
                <w:sz w:val="24"/>
              </w:rPr>
            </w:pPr>
            <w:r>
              <w:rPr>
                <w:rFonts w:hint="eastAsia" w:ascii="宋体" w:hAnsi="宋体" w:cs="宋体"/>
                <w:sz w:val="24"/>
              </w:rPr>
              <w:t>以实际超支金额的60%给予招标人赔付</w:t>
            </w:r>
          </w:p>
        </w:tc>
        <w:tc>
          <w:tcPr>
            <w:tcW w:w="2261" w:type="dxa"/>
            <w:vMerge w:val="continue"/>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440" w:lineRule="exact"/>
              <w:jc w:val="center"/>
              <w:rPr>
                <w:rFonts w:ascii="宋体" w:hAnsi="宋体" w:cs="宋体"/>
                <w:sz w:val="24"/>
              </w:rPr>
            </w:pPr>
            <w:r>
              <w:rPr>
                <w:rFonts w:hint="eastAsia" w:ascii="宋体" w:hAnsi="宋体" w:cs="宋体"/>
                <w:sz w:val="24"/>
              </w:rPr>
              <w:t>5</w:t>
            </w:r>
          </w:p>
        </w:tc>
        <w:tc>
          <w:tcPr>
            <w:tcW w:w="1440" w:type="dxa"/>
            <w:vMerge w:val="continue"/>
            <w:vAlign w:val="center"/>
          </w:tcPr>
          <w:p>
            <w:pPr>
              <w:spacing w:line="440" w:lineRule="exact"/>
              <w:jc w:val="center"/>
              <w:rPr>
                <w:rFonts w:ascii="宋体" w:hAnsi="宋体" w:cs="宋体"/>
                <w:sz w:val="24"/>
              </w:rPr>
            </w:pPr>
          </w:p>
        </w:tc>
        <w:tc>
          <w:tcPr>
            <w:tcW w:w="2703" w:type="dxa"/>
            <w:vAlign w:val="center"/>
          </w:tcPr>
          <w:p>
            <w:pPr>
              <w:spacing w:line="440" w:lineRule="exact"/>
              <w:jc w:val="center"/>
              <w:rPr>
                <w:rFonts w:ascii="宋体" w:hAnsi="宋体" w:cs="宋体"/>
                <w:sz w:val="24"/>
              </w:rPr>
            </w:pPr>
            <w:r>
              <w:rPr>
                <w:rFonts w:hint="eastAsia" w:ascii="宋体" w:hAnsi="宋体" w:cs="宋体"/>
                <w:sz w:val="24"/>
              </w:rPr>
              <w:t>超支金额在中标金额4%-8%（含）部分的</w:t>
            </w:r>
          </w:p>
        </w:tc>
        <w:tc>
          <w:tcPr>
            <w:tcW w:w="1696" w:type="dxa"/>
            <w:vAlign w:val="center"/>
          </w:tcPr>
          <w:p>
            <w:pPr>
              <w:spacing w:line="440" w:lineRule="exact"/>
              <w:jc w:val="center"/>
              <w:rPr>
                <w:rFonts w:ascii="宋体" w:hAnsi="宋体" w:cs="宋体"/>
                <w:sz w:val="24"/>
              </w:rPr>
            </w:pPr>
            <w:r>
              <w:rPr>
                <w:rFonts w:hint="eastAsia" w:ascii="宋体" w:hAnsi="宋体" w:cs="宋体"/>
                <w:sz w:val="24"/>
              </w:rPr>
              <w:t>以实际超支金额的40%给予招标人赔付</w:t>
            </w:r>
          </w:p>
        </w:tc>
        <w:tc>
          <w:tcPr>
            <w:tcW w:w="2261" w:type="dxa"/>
            <w:vMerge w:val="continue"/>
          </w:tcPr>
          <w:p>
            <w:pPr>
              <w:spacing w:line="4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440" w:lineRule="exact"/>
              <w:jc w:val="center"/>
              <w:rPr>
                <w:rFonts w:ascii="宋体" w:hAnsi="宋体" w:cs="宋体"/>
                <w:sz w:val="24"/>
              </w:rPr>
            </w:pPr>
            <w:r>
              <w:rPr>
                <w:rFonts w:hint="eastAsia" w:ascii="宋体" w:hAnsi="宋体" w:cs="宋体"/>
                <w:sz w:val="24"/>
              </w:rPr>
              <w:t>6</w:t>
            </w:r>
          </w:p>
        </w:tc>
        <w:tc>
          <w:tcPr>
            <w:tcW w:w="1440" w:type="dxa"/>
            <w:vMerge w:val="continue"/>
            <w:vAlign w:val="center"/>
          </w:tcPr>
          <w:p>
            <w:pPr>
              <w:spacing w:line="440" w:lineRule="exact"/>
              <w:jc w:val="center"/>
              <w:rPr>
                <w:rFonts w:ascii="宋体" w:hAnsi="宋体" w:cs="宋体"/>
                <w:sz w:val="24"/>
              </w:rPr>
            </w:pPr>
          </w:p>
        </w:tc>
        <w:tc>
          <w:tcPr>
            <w:tcW w:w="2703" w:type="dxa"/>
            <w:vAlign w:val="center"/>
          </w:tcPr>
          <w:p>
            <w:pPr>
              <w:spacing w:line="440" w:lineRule="exact"/>
              <w:jc w:val="center"/>
              <w:rPr>
                <w:rFonts w:ascii="宋体" w:hAnsi="宋体" w:cs="宋体"/>
                <w:sz w:val="24"/>
              </w:rPr>
            </w:pPr>
            <w:r>
              <w:rPr>
                <w:rFonts w:hint="eastAsia" w:ascii="宋体" w:hAnsi="宋体" w:cs="宋体"/>
                <w:sz w:val="24"/>
              </w:rPr>
              <w:t>超支金额在中标金额8%以上部分</w:t>
            </w:r>
          </w:p>
        </w:tc>
        <w:tc>
          <w:tcPr>
            <w:tcW w:w="1696" w:type="dxa"/>
            <w:vAlign w:val="center"/>
          </w:tcPr>
          <w:p>
            <w:pPr>
              <w:spacing w:line="440" w:lineRule="exact"/>
              <w:jc w:val="center"/>
              <w:rPr>
                <w:rFonts w:ascii="宋体" w:hAnsi="宋体" w:cs="宋体"/>
                <w:sz w:val="24"/>
              </w:rPr>
            </w:pPr>
            <w:r>
              <w:rPr>
                <w:rFonts w:hint="eastAsia" w:ascii="宋体" w:hAnsi="宋体" w:cs="宋体"/>
                <w:sz w:val="24"/>
              </w:rPr>
              <w:t>以实际超支金额的20%给予招标人赔付</w:t>
            </w:r>
          </w:p>
        </w:tc>
        <w:tc>
          <w:tcPr>
            <w:tcW w:w="2261" w:type="dxa"/>
            <w:vMerge w:val="continue"/>
          </w:tcPr>
          <w:p>
            <w:pPr>
              <w:spacing w:line="440" w:lineRule="exact"/>
              <w:rPr>
                <w:rFonts w:ascii="宋体" w:hAnsi="宋体" w:cs="宋体"/>
                <w:sz w:val="24"/>
              </w:rPr>
            </w:pPr>
          </w:p>
        </w:tc>
      </w:tr>
    </w:tbl>
    <w:p>
      <w:pPr>
        <w:snapToGrid w:val="0"/>
        <w:spacing w:before="120" w:beforeLines="50" w:after="120" w:afterLines="50" w:line="440" w:lineRule="exact"/>
        <w:rPr>
          <w:rFonts w:ascii="宋体" w:hAnsi="宋体" w:cs="宋体"/>
          <w:b/>
          <w:sz w:val="24"/>
        </w:rPr>
      </w:pPr>
      <w:r>
        <w:rPr>
          <w:rFonts w:hint="eastAsia" w:ascii="宋体" w:hAnsi="宋体" w:cs="宋体"/>
          <w:b/>
          <w:sz w:val="24"/>
        </w:rPr>
        <w:t>七、税费</w:t>
      </w:r>
    </w:p>
    <w:p>
      <w:pPr>
        <w:snapToGrid w:val="0"/>
        <w:spacing w:before="120" w:beforeLines="50" w:after="120" w:afterLines="50" w:line="440" w:lineRule="exact"/>
        <w:ind w:firstLine="480" w:firstLineChars="200"/>
        <w:rPr>
          <w:rFonts w:ascii="宋体" w:hAnsi="宋体" w:cs="宋体"/>
          <w:sz w:val="24"/>
        </w:rPr>
      </w:pPr>
      <w:r>
        <w:rPr>
          <w:rFonts w:hint="eastAsia" w:ascii="宋体" w:hAnsi="宋体" w:cs="宋体"/>
          <w:sz w:val="24"/>
        </w:rPr>
        <w:t>本协议执行中相关的一切税费均由乙方负担。</w:t>
      </w:r>
    </w:p>
    <w:p>
      <w:pPr>
        <w:pStyle w:val="14"/>
        <w:snapToGrid w:val="0"/>
        <w:spacing w:before="120" w:after="120" w:line="440" w:lineRule="exact"/>
        <w:rPr>
          <w:rFonts w:hAnsi="宋体" w:cs="宋体"/>
          <w:b/>
          <w:sz w:val="24"/>
        </w:rPr>
      </w:pPr>
      <w:r>
        <w:rPr>
          <w:rFonts w:hint="eastAsia" w:hAnsi="宋体" w:cs="宋体"/>
          <w:b/>
          <w:sz w:val="24"/>
        </w:rPr>
        <w:t>八、履约保证金</w:t>
      </w:r>
    </w:p>
    <w:p>
      <w:pPr>
        <w:pStyle w:val="14"/>
        <w:snapToGrid w:val="0"/>
        <w:spacing w:before="120" w:after="120" w:line="440" w:lineRule="exact"/>
        <w:ind w:firstLine="480" w:firstLineChars="200"/>
        <w:rPr>
          <w:rFonts w:hAnsi="宋体" w:cs="宋体"/>
          <w:sz w:val="24"/>
        </w:rPr>
      </w:pPr>
      <w:r>
        <w:rPr>
          <w:rFonts w:hint="eastAsia" w:hAnsi="宋体" w:cs="宋体"/>
          <w:bCs/>
          <w:sz w:val="24"/>
        </w:rPr>
        <w:t>乙方在收到中标通知书后，合同签订前须向甲方交纳人民币壹拾柒万伍仟元作为本合同的履约保证金（交至甲方指定账户）。</w:t>
      </w:r>
      <w:r>
        <w:rPr>
          <w:rFonts w:hint="eastAsia" w:hAnsi="宋体" w:cs="宋体"/>
          <w:sz w:val="24"/>
        </w:rPr>
        <w:t>履约保证金在保险期限结束，年度结算后10个工作日内无息退还。</w:t>
      </w:r>
    </w:p>
    <w:p>
      <w:pPr>
        <w:pStyle w:val="14"/>
        <w:snapToGrid w:val="0"/>
        <w:spacing w:before="120" w:after="120" w:line="440" w:lineRule="exact"/>
        <w:rPr>
          <w:rFonts w:hAnsi="宋体" w:cs="宋体"/>
          <w:b/>
          <w:sz w:val="24"/>
        </w:rPr>
      </w:pPr>
      <w:r>
        <w:rPr>
          <w:rFonts w:hint="eastAsia" w:hAnsi="宋体" w:cs="宋体"/>
          <w:b/>
          <w:sz w:val="24"/>
        </w:rPr>
        <w:t>九、违约责任</w:t>
      </w:r>
    </w:p>
    <w:p>
      <w:pPr>
        <w:pStyle w:val="14"/>
        <w:snapToGrid w:val="0"/>
        <w:spacing w:before="120" w:after="120" w:line="440" w:lineRule="exact"/>
        <w:ind w:firstLine="480" w:firstLineChars="200"/>
        <w:rPr>
          <w:rFonts w:hAnsi="宋体" w:cs="宋体"/>
          <w:sz w:val="24"/>
        </w:rPr>
      </w:pPr>
      <w:r>
        <w:rPr>
          <w:rFonts w:hint="eastAsia" w:hAnsi="宋体" w:cs="宋体"/>
          <w:sz w:val="24"/>
        </w:rPr>
        <w:t>在本协议执行过程中，甲方在接到投诉或主动不定期对乙方执行合同的情况进行监督检查时，发现乙方有下列行为之一的，将根据考核办法进行处理，情节严重的甲方有权解除合同，并扣除乙方的所有履约保证金：</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（1）</w:t>
      </w:r>
      <w:r>
        <w:rPr>
          <w:rFonts w:hint="eastAsia" w:hAnsi="宋体" w:cs="宋体"/>
          <w:sz w:val="24"/>
        </w:rPr>
        <w:t>乙方在被保险人手续齐全的情况下，无故拖延赔偿或者拒绝支付赔偿的；</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（2）</w:t>
      </w:r>
      <w:r>
        <w:rPr>
          <w:rFonts w:hint="eastAsia" w:hAnsi="宋体" w:cs="宋体"/>
          <w:sz w:val="24"/>
        </w:rPr>
        <w:t>在理赔过程中擅自提高起付标准、降低赔付比例和缩小支付范围的；</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（3）</w:t>
      </w:r>
      <w:r>
        <w:rPr>
          <w:rFonts w:hint="eastAsia" w:hAnsi="宋体" w:cs="宋体"/>
          <w:sz w:val="24"/>
        </w:rPr>
        <w:t>未按标书上的承诺履行服务承诺的；</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（4）</w:t>
      </w:r>
      <w:r>
        <w:rPr>
          <w:rFonts w:hint="eastAsia" w:hAnsi="宋体" w:cs="宋体"/>
          <w:sz w:val="24"/>
        </w:rPr>
        <w:t>不能主动化解矛盾，使被保险人向甲方或者相关部门屡次信访、投诉的；</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（5）</w:t>
      </w:r>
      <w:r>
        <w:rPr>
          <w:rFonts w:hint="eastAsia" w:hAnsi="宋体" w:cs="宋体"/>
          <w:sz w:val="24"/>
        </w:rPr>
        <w:t>乙方工作人员违反甲方工作纪律、工作效能等给采购方造成不良影响的；</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（6）</w:t>
      </w:r>
      <w:r>
        <w:rPr>
          <w:rFonts w:hint="eastAsia" w:hAnsi="宋体" w:cs="宋体"/>
          <w:sz w:val="24"/>
        </w:rPr>
        <w:t>其他严重违反本协议条款的情况。</w:t>
      </w:r>
    </w:p>
    <w:p>
      <w:pPr>
        <w:pStyle w:val="14"/>
        <w:snapToGrid w:val="0"/>
        <w:spacing w:before="120" w:after="120" w:line="440" w:lineRule="exact"/>
        <w:rPr>
          <w:rFonts w:hAnsi="宋体" w:cs="宋体"/>
          <w:b/>
          <w:bCs/>
          <w:sz w:val="24"/>
        </w:rPr>
      </w:pPr>
      <w:r>
        <w:rPr>
          <w:rFonts w:hint="eastAsia" w:hAnsi="宋体" w:cs="宋体"/>
          <w:b/>
          <w:bCs/>
          <w:sz w:val="24"/>
        </w:rPr>
        <w:t>十、违约赔偿</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（1）</w:t>
      </w:r>
      <w:r>
        <w:rPr>
          <w:rFonts w:hint="eastAsia" w:hAnsi="宋体" w:cs="宋体"/>
          <w:sz w:val="24"/>
        </w:rPr>
        <w:t>除不可抗力外，应及时以书面形式通知对方。双方应本着友好的态度进行协商，妥善解决。如协商无效，按规定处以违约金。</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（2）</w:t>
      </w:r>
      <w:r>
        <w:rPr>
          <w:rFonts w:hint="eastAsia" w:hAnsi="宋体" w:cs="宋体"/>
          <w:sz w:val="24"/>
        </w:rPr>
        <w:t>双方在规定时间无正当理由拒签合同者，以招标违约处理，并赔偿对方由此造成的直接经济损失。</w:t>
      </w:r>
    </w:p>
    <w:p>
      <w:pPr>
        <w:pStyle w:val="14"/>
        <w:snapToGrid w:val="0"/>
        <w:spacing w:before="120" w:after="120" w:line="440" w:lineRule="exact"/>
        <w:rPr>
          <w:rFonts w:hAnsi="宋体" w:cs="宋体"/>
          <w:b/>
          <w:bCs/>
          <w:sz w:val="24"/>
        </w:rPr>
      </w:pPr>
      <w:r>
        <w:rPr>
          <w:rFonts w:hint="eastAsia" w:hAnsi="宋体" w:cs="宋体"/>
          <w:b/>
          <w:bCs/>
          <w:sz w:val="24"/>
          <w:shd w:val="clear" w:color="auto" w:fill="FFFFFF"/>
        </w:rPr>
        <w:t>十一、</w:t>
      </w:r>
      <w:r>
        <w:rPr>
          <w:rFonts w:hint="eastAsia" w:hAnsi="宋体" w:cs="宋体"/>
          <w:b/>
          <w:bCs/>
          <w:sz w:val="24"/>
        </w:rPr>
        <w:t>解决合同纠纷的方式</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（1）</w:t>
      </w:r>
      <w:r>
        <w:rPr>
          <w:rFonts w:hint="eastAsia" w:hAnsi="宋体" w:cs="宋体"/>
          <w:sz w:val="24"/>
        </w:rPr>
        <w:t>凡有关本合同或与本合同中发生的争端，双方应通过友好协商，妥善解决。如通过协商仍不能解决时，可向甲方当地的人民法院起诉。</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（2）</w:t>
      </w:r>
      <w:r>
        <w:rPr>
          <w:rFonts w:hint="eastAsia" w:hAnsi="宋体" w:cs="宋体"/>
          <w:sz w:val="24"/>
        </w:rPr>
        <w:t>诉讼费用除人民法院另有裁决外，由败诉方承担。</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（3）</w:t>
      </w:r>
      <w:r>
        <w:rPr>
          <w:rFonts w:hint="eastAsia" w:hAnsi="宋体" w:cs="宋体"/>
          <w:sz w:val="24"/>
        </w:rPr>
        <w:t>在诉讼期间，除正在进行裁定的部分外，本合同其他部分应继续执行。</w:t>
      </w:r>
    </w:p>
    <w:p>
      <w:pPr>
        <w:pStyle w:val="14"/>
        <w:snapToGrid w:val="0"/>
        <w:spacing w:before="120" w:after="120" w:line="440" w:lineRule="exact"/>
        <w:ind w:firstLine="480" w:firstLineChars="200"/>
        <w:rPr>
          <w:rFonts w:hAnsi="宋体" w:cs="宋体"/>
          <w:sz w:val="24"/>
        </w:rPr>
      </w:pPr>
      <w:r>
        <w:rPr>
          <w:rFonts w:hint="eastAsia" w:hAnsi="宋体" w:cs="宋体"/>
          <w:sz w:val="24"/>
          <w:shd w:val="clear" w:color="auto" w:fill="FFFFFF"/>
        </w:rPr>
        <w:t>（4）</w:t>
      </w:r>
      <w:r>
        <w:rPr>
          <w:rFonts w:hint="eastAsia" w:hAnsi="宋体" w:cs="宋体"/>
          <w:sz w:val="24"/>
        </w:rPr>
        <w:t>合同应在双方签字盖章，甲方收到乙方提供的履约保证金后开始生效。</w:t>
      </w:r>
    </w:p>
    <w:p>
      <w:pPr>
        <w:pStyle w:val="14"/>
        <w:snapToGrid w:val="0"/>
        <w:spacing w:before="120" w:after="120" w:line="440" w:lineRule="exact"/>
        <w:rPr>
          <w:rFonts w:hAnsi="宋体" w:cs="宋体"/>
          <w:b/>
          <w:bCs/>
          <w:sz w:val="24"/>
        </w:rPr>
      </w:pPr>
      <w:r>
        <w:rPr>
          <w:rFonts w:hint="eastAsia" w:hAnsi="宋体" w:cs="宋体"/>
          <w:b/>
          <w:bCs/>
          <w:sz w:val="24"/>
        </w:rPr>
        <w:t>十二、合同修改</w:t>
      </w:r>
    </w:p>
    <w:p>
      <w:pPr>
        <w:pStyle w:val="14"/>
        <w:snapToGrid w:val="0"/>
        <w:spacing w:before="120" w:after="120" w:line="440" w:lineRule="exact"/>
        <w:ind w:firstLine="480" w:firstLineChars="200"/>
        <w:rPr>
          <w:rFonts w:hAnsi="宋体" w:cs="宋体"/>
          <w:sz w:val="24"/>
        </w:rPr>
      </w:pPr>
      <w:r>
        <w:rPr>
          <w:rFonts w:hint="eastAsia" w:hAnsi="宋体" w:cs="宋体"/>
          <w:sz w:val="24"/>
        </w:rPr>
        <w:t>双方的任何一方对合同内容提出修改，均应以书面形式通知对方，并达成由双方签署的合同修改书，须报政府采购管理部门批准。</w:t>
      </w:r>
    </w:p>
    <w:p>
      <w:pPr>
        <w:spacing w:line="440" w:lineRule="exact"/>
        <w:ind w:right="-153" w:rightChars="-73"/>
        <w:rPr>
          <w:rFonts w:ascii="宋体" w:hAnsi="宋体" w:cs="宋体"/>
          <w:sz w:val="24"/>
          <w:lang w:val="zh-CN"/>
        </w:rPr>
      </w:pPr>
      <w:r>
        <w:rPr>
          <w:rFonts w:hint="eastAsia" w:ascii="宋体" w:hAnsi="宋体" w:cs="宋体"/>
          <w:b/>
          <w:kern w:val="0"/>
          <w:sz w:val="24"/>
        </w:rPr>
        <w:t>十三、不可抗力事件处理</w:t>
      </w:r>
    </w:p>
    <w:p>
      <w:pPr>
        <w:pStyle w:val="14"/>
        <w:snapToGrid w:val="0"/>
        <w:spacing w:before="120" w:after="120" w:line="440" w:lineRule="exact"/>
        <w:ind w:firstLine="240" w:firstLineChars="100"/>
        <w:rPr>
          <w:rFonts w:hAnsi="宋体" w:cs="宋体"/>
          <w:sz w:val="24"/>
        </w:rPr>
      </w:pPr>
      <w:r>
        <w:rPr>
          <w:rFonts w:hint="eastAsia" w:hAnsi="宋体" w:cs="宋体"/>
          <w:sz w:val="24"/>
        </w:rPr>
        <w:t>1. 在合同有效期内，任何一方因不可抗力事件导致不能履行合同，则合同履行期可延长，其延长期与不可抗力影响期相同。</w:t>
      </w:r>
    </w:p>
    <w:p>
      <w:pPr>
        <w:pStyle w:val="14"/>
        <w:snapToGrid w:val="0"/>
        <w:spacing w:before="120" w:after="120" w:line="440" w:lineRule="exact"/>
        <w:ind w:firstLine="240" w:firstLineChars="100"/>
        <w:rPr>
          <w:rFonts w:hAnsi="宋体" w:cs="宋体"/>
          <w:sz w:val="24"/>
        </w:rPr>
      </w:pPr>
      <w:r>
        <w:rPr>
          <w:rFonts w:hint="eastAsia" w:hAnsi="宋体" w:cs="宋体"/>
          <w:sz w:val="24"/>
        </w:rPr>
        <w:t>2. 不可抗力事件发生后，应立即通知对方，并寄送有关权威机构出具的证明。</w:t>
      </w:r>
    </w:p>
    <w:p>
      <w:pPr>
        <w:pStyle w:val="14"/>
        <w:snapToGrid w:val="0"/>
        <w:spacing w:before="120" w:after="120" w:line="440" w:lineRule="exact"/>
        <w:ind w:firstLine="240" w:firstLineChars="100"/>
        <w:rPr>
          <w:rFonts w:hAnsi="宋体" w:cs="宋体"/>
          <w:sz w:val="24"/>
        </w:rPr>
      </w:pPr>
      <w:r>
        <w:rPr>
          <w:rFonts w:hint="eastAsia" w:hAnsi="宋体" w:cs="宋体"/>
          <w:sz w:val="24"/>
        </w:rPr>
        <w:t>3. 不可抗力事件延续120天以上，双方应通过友好协商，确定是否继续履行合同。</w:t>
      </w:r>
    </w:p>
    <w:p>
      <w:pPr>
        <w:pStyle w:val="4"/>
        <w:autoSpaceDE/>
        <w:autoSpaceDN/>
        <w:adjustRightInd/>
        <w:spacing w:line="440" w:lineRule="exact"/>
        <w:ind w:right="210" w:rightChars="100"/>
        <w:rPr>
          <w:rFonts w:cs="宋体"/>
          <w:sz w:val="24"/>
          <w:szCs w:val="24"/>
        </w:rPr>
      </w:pPr>
      <w:r>
        <w:rPr>
          <w:rFonts w:hint="eastAsia" w:cs="宋体"/>
          <w:sz w:val="24"/>
          <w:szCs w:val="24"/>
        </w:rPr>
        <w:t>十四、</w:t>
      </w:r>
      <w:r>
        <w:rPr>
          <w:rFonts w:hint="eastAsia" w:cs="宋体"/>
          <w:sz w:val="24"/>
          <w:szCs w:val="24"/>
          <w:lang w:val="zh-CN"/>
        </w:rPr>
        <w:t>合同生效及其它</w:t>
      </w:r>
      <w:r>
        <w:rPr>
          <w:rFonts w:hint="eastAsia" w:cs="宋体"/>
          <w:sz w:val="24"/>
          <w:szCs w:val="24"/>
        </w:rPr>
        <w:tab/>
      </w:r>
    </w:p>
    <w:p>
      <w:pPr>
        <w:pStyle w:val="10"/>
        <w:widowControl/>
        <w:spacing w:line="440" w:lineRule="exact"/>
        <w:ind w:right="-88"/>
        <w:rPr>
          <w:rFonts w:ascii="宋体" w:hAnsi="宋体" w:cs="宋体"/>
        </w:rPr>
      </w:pPr>
      <w:r>
        <w:rPr>
          <w:rFonts w:hint="eastAsia" w:ascii="宋体" w:hAnsi="宋体" w:cs="宋体"/>
        </w:rPr>
        <w:t>1. 合同经双方法定代表人（单位负责人）或授权代表签字并加盖单位公章后生效。</w:t>
      </w:r>
    </w:p>
    <w:p>
      <w:pPr>
        <w:pStyle w:val="10"/>
        <w:widowControl/>
        <w:spacing w:line="440" w:lineRule="exact"/>
        <w:ind w:right="-88"/>
        <w:rPr>
          <w:rFonts w:ascii="宋体" w:hAnsi="宋体" w:cs="宋体"/>
        </w:rPr>
      </w:pPr>
      <w:r>
        <w:rPr>
          <w:rFonts w:hint="eastAsia" w:ascii="宋体" w:hAnsi="宋体" w:cs="宋体"/>
        </w:rPr>
        <w:t>2. 本合同未尽事宜，遵照《中华人民共和国民法典》有关条文执行。</w:t>
      </w:r>
    </w:p>
    <w:p>
      <w:pPr>
        <w:pStyle w:val="10"/>
        <w:widowControl/>
        <w:spacing w:line="440" w:lineRule="exact"/>
        <w:ind w:right="-88"/>
        <w:rPr>
          <w:rFonts w:ascii="宋体" w:hAnsi="宋体" w:cs="宋体"/>
        </w:rPr>
      </w:pPr>
      <w:r>
        <w:rPr>
          <w:rFonts w:hint="eastAsia" w:ascii="宋体" w:hAnsi="宋体" w:cs="宋体"/>
        </w:rPr>
        <w:t>3. 本合同一式六份。甲、乙双方各执两份，采购组织机构及同级人民政府财政采购监管部门各执一份。本项目未尽事宜以招标文件、投标文件及澄清文件等为准。</w:t>
      </w:r>
    </w:p>
    <w:p>
      <w:pPr>
        <w:widowControl/>
        <w:spacing w:line="440" w:lineRule="exact"/>
        <w:rPr>
          <w:rFonts w:ascii="宋体" w:hAnsi="宋体" w:cs="宋体"/>
          <w:b/>
          <w:sz w:val="24"/>
        </w:rPr>
      </w:pPr>
    </w:p>
    <w:p>
      <w:pPr>
        <w:pStyle w:val="10"/>
      </w:pPr>
    </w:p>
    <w:p>
      <w:pPr>
        <w:spacing w:line="440" w:lineRule="exact"/>
        <w:rPr>
          <w:rFonts w:ascii="宋体" w:hAnsi="宋体" w:cs="宋体"/>
          <w:sz w:val="24"/>
        </w:rPr>
      </w:pPr>
      <w:r>
        <w:rPr>
          <w:rFonts w:hint="eastAsia" w:ascii="宋体" w:hAnsi="宋体" w:cs="宋体"/>
          <w:sz w:val="24"/>
        </w:rPr>
        <w:t>甲方（公章）                               乙方（公章）</w:t>
      </w:r>
    </w:p>
    <w:p>
      <w:pPr>
        <w:spacing w:line="440" w:lineRule="exact"/>
        <w:rPr>
          <w:rFonts w:ascii="宋体" w:hAnsi="宋体" w:cs="宋体"/>
          <w:sz w:val="24"/>
        </w:rPr>
      </w:pPr>
      <w:r>
        <w:rPr>
          <w:rFonts w:hint="eastAsia" w:ascii="宋体" w:hAnsi="宋体" w:cs="宋体"/>
          <w:sz w:val="24"/>
        </w:rPr>
        <w:t>法定代表人：                               法定代表人（单位负责人）：</w:t>
      </w:r>
    </w:p>
    <w:p>
      <w:pPr>
        <w:spacing w:line="440" w:lineRule="exact"/>
        <w:rPr>
          <w:rFonts w:ascii="宋体" w:hAnsi="宋体" w:cs="宋体"/>
          <w:sz w:val="24"/>
        </w:rPr>
      </w:pPr>
      <w:r>
        <w:rPr>
          <w:rFonts w:hint="eastAsia" w:ascii="宋体" w:hAnsi="宋体" w:cs="宋体"/>
          <w:sz w:val="24"/>
        </w:rPr>
        <w:t>委托代理人：                               委托代理人：</w:t>
      </w:r>
    </w:p>
    <w:p>
      <w:pPr>
        <w:spacing w:line="440" w:lineRule="exact"/>
        <w:rPr>
          <w:rFonts w:ascii="宋体" w:hAnsi="宋体" w:cs="宋体"/>
          <w:sz w:val="24"/>
        </w:rPr>
      </w:pPr>
      <w:r>
        <w:rPr>
          <w:rFonts w:hint="eastAsia" w:ascii="宋体" w:hAnsi="宋体" w:cs="宋体"/>
          <w:sz w:val="24"/>
        </w:rPr>
        <w:t>联系电话：                                 联系电话：</w:t>
      </w:r>
    </w:p>
    <w:p>
      <w:pPr>
        <w:spacing w:line="440" w:lineRule="exact"/>
        <w:rPr>
          <w:rFonts w:ascii="宋体" w:hAnsi="宋体" w:cs="宋体"/>
          <w:sz w:val="24"/>
        </w:rPr>
      </w:pPr>
      <w:r>
        <w:rPr>
          <w:rFonts w:hint="eastAsia" w:ascii="宋体" w:hAnsi="宋体" w:cs="宋体"/>
          <w:sz w:val="24"/>
        </w:rPr>
        <w:t>开户银行：                                 开户银行：（必填）</w:t>
      </w:r>
    </w:p>
    <w:p>
      <w:pPr>
        <w:spacing w:line="440" w:lineRule="exact"/>
        <w:rPr>
          <w:rFonts w:ascii="宋体" w:hAnsi="宋体" w:cs="宋体"/>
          <w:b/>
          <w:bCs/>
          <w:sz w:val="24"/>
        </w:rPr>
      </w:pPr>
      <w:r>
        <w:rPr>
          <w:rFonts w:hint="eastAsia" w:ascii="宋体" w:hAnsi="宋体" w:cs="宋体"/>
          <w:sz w:val="24"/>
        </w:rPr>
        <w:t>帐号：                                     帐号：（必填）</w:t>
      </w:r>
    </w:p>
    <w:p>
      <w:pPr>
        <w:spacing w:line="440" w:lineRule="exact"/>
        <w:rPr>
          <w:rFonts w:ascii="宋体" w:hAnsi="宋体" w:cs="宋体"/>
          <w:sz w:val="24"/>
        </w:rPr>
      </w:pPr>
      <w:r>
        <w:rPr>
          <w:rFonts w:hint="eastAsia" w:ascii="宋体" w:hAnsi="宋体" w:cs="宋体"/>
          <w:sz w:val="24"/>
        </w:rPr>
        <w:t>地址及邮编：                               地址及邮编：</w:t>
      </w:r>
    </w:p>
    <w:p>
      <w:pPr>
        <w:spacing w:line="440" w:lineRule="exact"/>
        <w:rPr>
          <w:rFonts w:ascii="宋体" w:hAnsi="宋体" w:cs="宋体"/>
          <w:sz w:val="24"/>
        </w:rPr>
      </w:pPr>
      <w:r>
        <w:rPr>
          <w:rFonts w:hint="eastAsia" w:ascii="宋体" w:hAnsi="宋体" w:cs="宋体"/>
          <w:sz w:val="24"/>
        </w:rPr>
        <w:t>签订时间：    年   月    日                签订时间：    年   月    日</w:t>
      </w:r>
    </w:p>
    <w:p>
      <w:pPr>
        <w:spacing w:line="360" w:lineRule="auto"/>
        <w:jc w:val="center"/>
        <w:rPr>
          <w:rFonts w:asciiTheme="minorEastAsia" w:hAnsiTheme="minorEastAsia" w:eastAsiaTheme="minorEastAsia"/>
          <w:b/>
          <w:sz w:val="36"/>
          <w:szCs w:val="36"/>
        </w:rPr>
      </w:pPr>
      <w:bookmarkStart w:id="25" w:name="_Toc5481_WPSOffice_Level1"/>
      <w:r>
        <w:rPr>
          <w:rFonts w:hint="eastAsia" w:asciiTheme="minorEastAsia" w:hAnsiTheme="minorEastAsia" w:eastAsiaTheme="minorEastAsia"/>
          <w:b/>
          <w:sz w:val="36"/>
          <w:szCs w:val="36"/>
        </w:rPr>
        <w:t>第六章 投标文件格式</w:t>
      </w:r>
      <w:bookmarkEnd w:id="25"/>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26" w:name="_Toc4956_WPSOffice_Level1"/>
      <w:bookmarkStart w:id="27" w:name="_Toc32372_WPSOffice_Level1"/>
      <w:bookmarkStart w:id="28" w:name="_Toc19093_WPSOffice_Level1"/>
      <w:r>
        <w:rPr>
          <w:rFonts w:hint="eastAsia"/>
          <w:sz w:val="52"/>
          <w:szCs w:val="52"/>
        </w:rPr>
        <w:t>项目名称</w:t>
      </w:r>
      <w:bookmarkEnd w:id="26"/>
      <w:bookmarkEnd w:id="27"/>
      <w:bookmarkEnd w:id="28"/>
    </w:p>
    <w:p>
      <w:pPr>
        <w:spacing w:before="240" w:beforeLines="100" w:line="360" w:lineRule="auto"/>
        <w:ind w:right="-108"/>
        <w:jc w:val="center"/>
        <w:rPr>
          <w:rFonts w:ascii="宋体" w:hAnsi="宋体"/>
          <w:sz w:val="36"/>
          <w:szCs w:val="36"/>
        </w:rPr>
      </w:pPr>
      <w:r>
        <w:rPr>
          <w:rFonts w:hint="eastAsia" w:ascii="宋体" w:hAnsi="宋体"/>
          <w:sz w:val="36"/>
          <w:szCs w:val="36"/>
        </w:rPr>
        <w:t>项目编号：（标项  ）</w:t>
      </w:r>
    </w:p>
    <w:p>
      <w:pPr>
        <w:pStyle w:val="2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spacing w:line="360" w:lineRule="auto"/>
        <w:jc w:val="center"/>
        <w:rPr>
          <w:b/>
          <w:bCs/>
          <w:sz w:val="36"/>
          <w:szCs w:val="36"/>
        </w:rPr>
      </w:pPr>
    </w:p>
    <w:p>
      <w:pPr>
        <w:spacing w:line="360" w:lineRule="auto"/>
        <w:jc w:val="center"/>
        <w:rPr>
          <w:b/>
          <w:bCs/>
          <w:sz w:val="36"/>
          <w:szCs w:val="36"/>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rFonts w:ascii="宋体" w:hAnsi="宋体" w:cs="宋体"/>
          <w:sz w:val="28"/>
          <w:szCs w:val="36"/>
        </w:rPr>
      </w:pPr>
    </w:p>
    <w:p>
      <w:pPr>
        <w:numPr>
          <w:ilvl w:val="0"/>
          <w:numId w:val="11"/>
        </w:numPr>
        <w:spacing w:line="360" w:lineRule="auto"/>
        <w:ind w:hanging="5"/>
        <w:rPr>
          <w:rFonts w:ascii="宋体" w:hAnsi="宋体" w:cs="宋体"/>
          <w:sz w:val="28"/>
          <w:szCs w:val="36"/>
        </w:rPr>
      </w:pPr>
      <w:bookmarkStart w:id="29" w:name="_Toc27049_WPSOffice_Level1"/>
      <w:bookmarkStart w:id="30" w:name="_Toc12587_WPSOffice_Level1"/>
      <w:r>
        <w:rPr>
          <w:rFonts w:hint="eastAsia" w:ascii="宋体" w:hAnsi="宋体" w:cs="宋体"/>
          <w:sz w:val="28"/>
          <w:szCs w:val="36"/>
        </w:rPr>
        <w:t>投标声明书（附件1）</w:t>
      </w:r>
      <w:bookmarkEnd w:id="29"/>
      <w:bookmarkEnd w:id="30"/>
    </w:p>
    <w:p>
      <w:pPr>
        <w:numPr>
          <w:ilvl w:val="0"/>
          <w:numId w:val="11"/>
        </w:numPr>
        <w:spacing w:line="360" w:lineRule="auto"/>
        <w:ind w:hanging="5"/>
        <w:rPr>
          <w:rFonts w:ascii="宋体" w:hAnsi="宋体" w:cs="宋体"/>
          <w:sz w:val="28"/>
          <w:szCs w:val="36"/>
        </w:rPr>
      </w:pPr>
      <w:bookmarkStart w:id="31" w:name="_Toc25574_WPSOffice_Level1"/>
      <w:bookmarkStart w:id="32" w:name="_Toc28306_WPSOffice_Level1"/>
      <w:r>
        <w:rPr>
          <w:rFonts w:hint="eastAsia" w:ascii="宋体" w:hAnsi="宋体" w:cs="宋体"/>
          <w:sz w:val="28"/>
          <w:szCs w:val="36"/>
        </w:rPr>
        <w:t>授权委托书（法定代表人（单位负责人）办理投标事宜的，则无需提交)（附件2）</w:t>
      </w:r>
      <w:bookmarkEnd w:id="31"/>
      <w:bookmarkEnd w:id="32"/>
    </w:p>
    <w:p>
      <w:pPr>
        <w:numPr>
          <w:ilvl w:val="0"/>
          <w:numId w:val="11"/>
        </w:numPr>
        <w:spacing w:line="360" w:lineRule="auto"/>
        <w:ind w:hanging="5"/>
        <w:rPr>
          <w:rFonts w:ascii="宋体" w:hAnsi="宋体" w:cs="宋体"/>
          <w:sz w:val="28"/>
          <w:szCs w:val="36"/>
        </w:rPr>
      </w:pPr>
      <w:r>
        <w:rPr>
          <w:rFonts w:hint="eastAsia" w:ascii="宋体" w:hAnsi="宋体" w:cs="宋体"/>
          <w:sz w:val="28"/>
          <w:szCs w:val="36"/>
        </w:rPr>
        <w:t>联合体授权委托书及联合体声明、协议（若项目接受联合体投标时需提供）</w:t>
      </w:r>
    </w:p>
    <w:p>
      <w:pPr>
        <w:numPr>
          <w:ilvl w:val="0"/>
          <w:numId w:val="11"/>
        </w:numPr>
        <w:spacing w:line="360" w:lineRule="auto"/>
        <w:ind w:hanging="5"/>
        <w:rPr>
          <w:rFonts w:ascii="宋体" w:hAnsi="宋体" w:cs="宋体"/>
          <w:sz w:val="28"/>
          <w:szCs w:val="36"/>
        </w:rPr>
      </w:pPr>
      <w:bookmarkStart w:id="33" w:name="_Toc32100_WPSOffice_Level1"/>
      <w:bookmarkStart w:id="34" w:name="_Toc29616_WPSOffice_Level1"/>
      <w:r>
        <w:rPr>
          <w:rFonts w:hint="eastAsia" w:ascii="宋体" w:hAnsi="宋体" w:cs="宋体"/>
          <w:sz w:val="28"/>
          <w:szCs w:val="36"/>
        </w:rPr>
        <w:t>法人或者其他组织的营业执照等证明文件，自然人的身份证明</w:t>
      </w:r>
      <w:bookmarkEnd w:id="33"/>
      <w:bookmarkEnd w:id="34"/>
    </w:p>
    <w:p>
      <w:pPr>
        <w:numPr>
          <w:ilvl w:val="0"/>
          <w:numId w:val="11"/>
        </w:numPr>
        <w:spacing w:line="360" w:lineRule="auto"/>
        <w:ind w:hanging="5"/>
        <w:rPr>
          <w:rFonts w:ascii="宋体" w:hAnsi="宋体" w:cs="宋体"/>
          <w:sz w:val="28"/>
          <w:szCs w:val="36"/>
        </w:rPr>
      </w:pPr>
      <w:r>
        <w:rPr>
          <w:rFonts w:hint="eastAsia" w:ascii="宋体" w:hAnsi="宋体" w:cs="宋体"/>
          <w:sz w:val="28"/>
          <w:szCs w:val="36"/>
        </w:rPr>
        <w:t>财务状况报告，依法缴纳税收和社会保障资金的相关材料（附件2.1）</w:t>
      </w:r>
    </w:p>
    <w:p>
      <w:pPr>
        <w:numPr>
          <w:ilvl w:val="0"/>
          <w:numId w:val="11"/>
        </w:numPr>
        <w:spacing w:line="360" w:lineRule="auto"/>
        <w:ind w:hanging="5"/>
        <w:rPr>
          <w:rFonts w:ascii="宋体" w:hAnsi="宋体" w:cs="宋体"/>
          <w:sz w:val="28"/>
          <w:szCs w:val="36"/>
        </w:rPr>
      </w:pPr>
      <w:r>
        <w:rPr>
          <w:rFonts w:hint="eastAsia" w:ascii="宋体" w:hAnsi="宋体" w:cs="宋体"/>
          <w:sz w:val="28"/>
          <w:szCs w:val="36"/>
        </w:rPr>
        <w:t>具备履行合同所必需的设备和专业服务（技术）能力的承诺函（附件2.2）</w:t>
      </w:r>
    </w:p>
    <w:p>
      <w:pPr>
        <w:numPr>
          <w:ilvl w:val="0"/>
          <w:numId w:val="11"/>
        </w:numPr>
        <w:spacing w:line="360" w:lineRule="auto"/>
        <w:ind w:hanging="5"/>
        <w:rPr>
          <w:rFonts w:ascii="宋体" w:hAnsi="宋体" w:cs="宋体"/>
          <w:sz w:val="28"/>
          <w:szCs w:val="36"/>
        </w:rPr>
      </w:pPr>
      <w:bookmarkStart w:id="35" w:name="_Toc4587_WPSOffice_Level1"/>
      <w:bookmarkStart w:id="36" w:name="_Toc14150_WPSOffice_Level1"/>
      <w:r>
        <w:rPr>
          <w:rFonts w:hint="eastAsia" w:ascii="宋体" w:hAnsi="宋体" w:cs="宋体"/>
          <w:sz w:val="28"/>
          <w:szCs w:val="36"/>
        </w:rPr>
        <w:t>本项目要求的特定资质证书</w:t>
      </w:r>
      <w:bookmarkEnd w:id="35"/>
      <w:bookmarkEnd w:id="36"/>
    </w:p>
    <w:p>
      <w:pPr>
        <w:spacing w:line="360" w:lineRule="auto"/>
        <w:rPr>
          <w:rFonts w:ascii="宋体" w:hAnsi="宋体"/>
          <w:b/>
          <w:sz w:val="28"/>
        </w:rPr>
      </w:pPr>
    </w:p>
    <w:p>
      <w:pPr>
        <w:spacing w:line="360" w:lineRule="auto"/>
        <w:ind w:left="420"/>
        <w:rPr>
          <w:rFonts w:ascii="宋体" w:hAnsi="宋体"/>
          <w:b/>
          <w:sz w:val="28"/>
        </w:rPr>
      </w:pPr>
    </w:p>
    <w:p>
      <w:pPr>
        <w:pStyle w:val="30"/>
        <w:rPr>
          <w:rFonts w:ascii="宋体" w:hAnsi="宋体"/>
          <w:b/>
          <w:sz w:val="28"/>
        </w:rPr>
      </w:pPr>
    </w:p>
    <w:p>
      <w:pPr>
        <w:pStyle w:val="3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8"/>
        <w:rPr>
          <w:rFonts w:ascii="宋体" w:hAnsi="宋体"/>
          <w:b/>
          <w:sz w:val="28"/>
        </w:rPr>
      </w:pPr>
    </w:p>
    <w:p>
      <w:pPr>
        <w:pStyle w:val="8"/>
        <w:rPr>
          <w:rFonts w:ascii="宋体" w:hAnsi="宋体"/>
          <w:b/>
          <w:sz w:val="28"/>
        </w:rPr>
      </w:pPr>
    </w:p>
    <w:p>
      <w:pPr>
        <w:widowControl/>
        <w:jc w:val="left"/>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37" w:name="_Toc31708_WPSOffice_Level1"/>
      <w:bookmarkStart w:id="38" w:name="_Toc30723_WPSOffice_Level1"/>
      <w:r>
        <w:rPr>
          <w:rFonts w:hint="eastAsia" w:ascii="宋体" w:hAnsi="宋体"/>
          <w:b/>
          <w:kern w:val="0"/>
          <w:sz w:val="32"/>
          <w:szCs w:val="32"/>
          <w:lang w:val="zh-CN"/>
        </w:rPr>
        <w:t>投标声明书</w:t>
      </w:r>
      <w:bookmarkEnd w:id="37"/>
      <w:bookmarkEnd w:id="38"/>
    </w:p>
    <w:p>
      <w:pPr>
        <w:snapToGrid w:val="0"/>
        <w:spacing w:before="120" w:beforeLines="50" w:after="50" w:line="312" w:lineRule="auto"/>
        <w:rPr>
          <w:rFonts w:ascii="宋体" w:hAnsi="宋体" w:cs="宋体"/>
          <w:kern w:val="0"/>
          <w:sz w:val="24"/>
        </w:rPr>
      </w:pPr>
      <w:r>
        <w:rPr>
          <w:rFonts w:hint="eastAsia" w:ascii="宋体" w:hAnsi="宋体" w:cs="宋体"/>
          <w:kern w:val="0"/>
          <w:sz w:val="24"/>
          <w:u w:val="single"/>
        </w:rPr>
        <w:t>台州市黄岩区政府采购中心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（投标人名称）系中华人民共和国合法企业，经营地址为：</w:t>
      </w:r>
      <w:r>
        <w:rPr>
          <w:rFonts w:hint="eastAsia" w:ascii="宋体" w:hAnsi="宋体" w:cs="宋体"/>
          <w:kern w:val="0"/>
          <w:sz w:val="24"/>
          <w:u w:val="single"/>
        </w:rPr>
        <w:t xml:space="preserve">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）的法定代表人（单位负责人），我公司自愿参加贵方组织的（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至投标时间近三年以来：未被列入失信被执行人、重大税收违法案件当事人名单、政府采购严重违法失信行为记录名单，以及不存在其他不符合《中华人民共和国政府采购法》第二十二条规定的条件【说明：投标人在截至投标时间近三年以来，如有上述所列情形，但限制期届满的，可按实陈述，并提供相应证明文件】。</w:t>
      </w:r>
    </w:p>
    <w:p>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2"/>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我公司未为本项目提供整体设计、规范编制或者项目管理、监理、检测等服务。我公司不存在单位负责人为同一人或者有存在直接控股、管理关系的供应商同时参加本项目投标的情况。</w:t>
      </w:r>
    </w:p>
    <w:p>
      <w:pPr>
        <w:numPr>
          <w:ilvl w:val="0"/>
          <w:numId w:val="12"/>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2"/>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2"/>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1920" w:firstLineChars="800"/>
        <w:rPr>
          <w:rFonts w:ascii="宋体" w:hAnsi="宋体" w:cs="仿宋_GB2312"/>
          <w:kern w:val="0"/>
          <w:sz w:val="24"/>
          <w:lang w:val="zh-CN"/>
        </w:rPr>
      </w:pPr>
      <w:r>
        <w:rPr>
          <w:rFonts w:hint="eastAsia" w:ascii="宋体" w:hAnsi="宋体" w:cs="仿宋_GB2312"/>
          <w:kern w:val="0"/>
          <w:sz w:val="24"/>
          <w:lang w:val="zh-CN"/>
        </w:rPr>
        <w:t>法定代表人（单位负责人）或授权委托代理人（签字或盖章）：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39" w:name="_Toc6870_WPSOffice_Level1"/>
      <w:bookmarkStart w:id="40" w:name="_Toc24373_WPSOffice_Level1"/>
      <w:r>
        <w:rPr>
          <w:b/>
          <w:sz w:val="32"/>
          <w:szCs w:val="32"/>
        </w:rPr>
        <w:t>授权</w:t>
      </w:r>
      <w:r>
        <w:rPr>
          <w:rFonts w:hint="eastAsia"/>
          <w:b/>
          <w:sz w:val="32"/>
          <w:szCs w:val="32"/>
        </w:rPr>
        <w:t>委托</w:t>
      </w:r>
      <w:r>
        <w:rPr>
          <w:b/>
          <w:sz w:val="32"/>
          <w:szCs w:val="32"/>
        </w:rPr>
        <w:t>书</w:t>
      </w:r>
      <w:bookmarkEnd w:id="39"/>
      <w:bookmarkEnd w:id="40"/>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法定代表人（单位负责人）签字或盖章：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法定代表人（单位负责人）姓名：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bookmarkStart w:id="41" w:name="_Toc16825_WPSOffice_Level1"/>
      <w:bookmarkStart w:id="42" w:name="_Toc12331_WPSOffice_Level1"/>
      <w:bookmarkStart w:id="43" w:name="_Toc26389_WPSOffice_Level1"/>
    </w:p>
    <w:p>
      <w:pPr>
        <w:jc w:val="center"/>
        <w:rPr>
          <w:sz w:val="52"/>
          <w:szCs w:val="52"/>
        </w:rPr>
      </w:pPr>
    </w:p>
    <w:p>
      <w:pPr>
        <w:adjustRightInd w:val="0"/>
        <w:snapToGrid w:val="0"/>
        <w:spacing w:line="360" w:lineRule="auto"/>
        <w:ind w:right="480"/>
        <w:rPr>
          <w:rFonts w:ascii="宋体"/>
          <w:b/>
          <w:sz w:val="30"/>
          <w:szCs w:val="30"/>
        </w:rPr>
      </w:pPr>
      <w:r>
        <w:rPr>
          <w:rFonts w:hint="eastAsia" w:ascii="宋体" w:hAnsi="宋体"/>
          <w:b/>
          <w:sz w:val="28"/>
        </w:rPr>
        <w:t>附件2.1</w:t>
      </w:r>
    </w:p>
    <w:p>
      <w:pPr>
        <w:spacing w:before="120" w:beforeLines="50" w:after="120" w:afterLines="50"/>
        <w:jc w:val="center"/>
        <w:rPr>
          <w:rFonts w:ascii="宋体" w:hAnsi="宋体"/>
          <w:b/>
          <w:sz w:val="32"/>
          <w:szCs w:val="32"/>
        </w:rPr>
      </w:pPr>
      <w:bookmarkStart w:id="44" w:name="_Toc495302720"/>
      <w:r>
        <w:rPr>
          <w:rFonts w:hint="eastAsia" w:ascii="宋体" w:hAnsi="宋体"/>
          <w:b/>
          <w:sz w:val="32"/>
          <w:szCs w:val="32"/>
        </w:rPr>
        <w:t>财务状况报告</w:t>
      </w:r>
      <w:bookmarkEnd w:id="44"/>
    </w:p>
    <w:p>
      <w:pPr>
        <w:pStyle w:val="70"/>
        <w:spacing w:before="100" w:beforeAutospacing="1" w:line="360" w:lineRule="auto"/>
        <w:ind w:firstLine="482" w:firstLineChars="200"/>
        <w:rPr>
          <w:rFonts w:ascii="宋体" w:hAnsi="宋体"/>
          <w:b/>
          <w:bCs/>
          <w:sz w:val="24"/>
        </w:rPr>
      </w:pPr>
      <w:r>
        <w:rPr>
          <w:rFonts w:hint="eastAsia" w:ascii="宋体" w:hAnsi="宋体"/>
          <w:b/>
          <w:bCs/>
          <w:sz w:val="24"/>
        </w:rPr>
        <w:t>投标人可提供以下一种材料作为本单位财务状况报告：</w:t>
      </w:r>
    </w:p>
    <w:p>
      <w:pPr>
        <w:pStyle w:val="70"/>
        <w:spacing w:line="360" w:lineRule="auto"/>
        <w:ind w:firstLine="480" w:firstLineChars="200"/>
        <w:rPr>
          <w:rFonts w:ascii="宋体" w:hAnsi="宋体"/>
          <w:bCs/>
          <w:sz w:val="24"/>
        </w:rPr>
      </w:pPr>
      <w:r>
        <w:rPr>
          <w:rFonts w:hint="eastAsia" w:ascii="宋体" w:hAnsi="宋体"/>
          <w:bCs/>
          <w:sz w:val="24"/>
        </w:rPr>
        <w:t>1.</w:t>
      </w:r>
      <w:r>
        <w:rPr>
          <w:rFonts w:hint="eastAsia" w:ascii="宋体" w:hAnsi="宋体" w:cs="宋体"/>
          <w:kern w:val="21"/>
          <w:sz w:val="24"/>
          <w:lang w:val="zh-CN"/>
        </w:rPr>
        <w:t>最近年度</w:t>
      </w:r>
      <w:r>
        <w:rPr>
          <w:rFonts w:hint="eastAsia" w:ascii="宋体" w:hAnsi="宋体"/>
          <w:bCs/>
          <w:sz w:val="24"/>
        </w:rPr>
        <w:t>的</w:t>
      </w:r>
      <w:r>
        <w:rPr>
          <w:rFonts w:hint="eastAsia" w:ascii="宋体" w:hAnsi="宋体" w:cs="宋体"/>
          <w:sz w:val="24"/>
        </w:rPr>
        <w:t>资产负债表</w:t>
      </w:r>
      <w:r>
        <w:rPr>
          <w:rFonts w:hint="eastAsia" w:ascii="宋体" w:hAnsi="宋体"/>
          <w:bCs/>
          <w:sz w:val="24"/>
        </w:rPr>
        <w:t>、利润表等复印件；</w:t>
      </w:r>
    </w:p>
    <w:p>
      <w:pPr>
        <w:pStyle w:val="70"/>
        <w:spacing w:line="360" w:lineRule="auto"/>
        <w:ind w:firstLine="480" w:firstLineChars="200"/>
        <w:rPr>
          <w:rFonts w:ascii="宋体" w:hAnsi="宋体"/>
          <w:bCs/>
          <w:sz w:val="24"/>
        </w:rPr>
      </w:pPr>
      <w:r>
        <w:rPr>
          <w:rFonts w:hint="eastAsia" w:ascii="宋体" w:hAnsi="宋体"/>
          <w:bCs/>
          <w:sz w:val="24"/>
        </w:rPr>
        <w:t>2.银行出具的资信证明复印件；</w:t>
      </w:r>
    </w:p>
    <w:p>
      <w:pPr>
        <w:pStyle w:val="70"/>
        <w:spacing w:line="360" w:lineRule="auto"/>
        <w:ind w:firstLine="480" w:firstLineChars="200"/>
        <w:rPr>
          <w:rFonts w:ascii="宋体" w:hAnsi="宋体"/>
          <w:sz w:val="24"/>
          <w:szCs w:val="24"/>
        </w:rPr>
      </w:pPr>
      <w:r>
        <w:rPr>
          <w:rFonts w:hint="eastAsia" w:ascii="宋体" w:hAnsi="宋体"/>
          <w:bCs/>
          <w:sz w:val="24"/>
        </w:rPr>
        <w:t>以上</w:t>
      </w:r>
      <w:r>
        <w:rPr>
          <w:rFonts w:hint="eastAsia" w:ascii="宋体" w:hAnsi="宋体"/>
          <w:sz w:val="24"/>
          <w:szCs w:val="24"/>
        </w:rPr>
        <w:t>复印件需要</w:t>
      </w:r>
      <w:r>
        <w:rPr>
          <w:rFonts w:ascii="宋体" w:hAnsi="宋体"/>
          <w:sz w:val="24"/>
          <w:szCs w:val="24"/>
        </w:rPr>
        <w:t>盖章</w:t>
      </w:r>
      <w:r>
        <w:rPr>
          <w:rFonts w:hint="eastAsia" w:ascii="宋体" w:hAnsi="宋体"/>
          <w:sz w:val="24"/>
          <w:szCs w:val="24"/>
        </w:rPr>
        <w:t>确认。</w:t>
      </w:r>
    </w:p>
    <w:p>
      <w:pPr>
        <w:pStyle w:val="70"/>
        <w:spacing w:line="360" w:lineRule="auto"/>
        <w:rPr>
          <w:rFonts w:ascii="宋体" w:hAnsi="宋体"/>
          <w:bCs/>
          <w:sz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bookmarkStart w:id="45" w:name="_Toc495302721"/>
      <w:r>
        <w:rPr>
          <w:rFonts w:ascii="宋体" w:hAnsi="宋体"/>
          <w:b/>
          <w:sz w:val="32"/>
          <w:szCs w:val="32"/>
        </w:rPr>
        <w:t>依法缴纳税收和社会保障资金</w:t>
      </w:r>
      <w:bookmarkEnd w:id="45"/>
    </w:p>
    <w:p>
      <w:pPr>
        <w:pStyle w:val="71"/>
        <w:spacing w:line="360" w:lineRule="auto"/>
        <w:rPr>
          <w:rFonts w:ascii="宋体" w:hAnsi="宋体"/>
          <w:b/>
          <w:sz w:val="24"/>
          <w:szCs w:val="24"/>
        </w:rPr>
      </w:pPr>
      <w:r>
        <w:rPr>
          <w:rFonts w:hint="eastAsia" w:ascii="宋体" w:hAnsi="宋体"/>
          <w:b/>
          <w:sz w:val="24"/>
          <w:szCs w:val="24"/>
        </w:rPr>
        <w:t>依法缴纳税收和社会保障资金的相关材料要求</w:t>
      </w:r>
      <w:r>
        <w:rPr>
          <w:rFonts w:ascii="宋体" w:hAnsi="宋体"/>
          <w:b/>
          <w:sz w:val="24"/>
          <w:szCs w:val="24"/>
        </w:rPr>
        <w:t>：</w:t>
      </w:r>
    </w:p>
    <w:p>
      <w:pPr>
        <w:pStyle w:val="71"/>
        <w:spacing w:line="360" w:lineRule="auto"/>
        <w:ind w:firstLine="420"/>
        <w:rPr>
          <w:rFonts w:ascii="宋体" w:hAnsi="宋体"/>
          <w:sz w:val="24"/>
          <w:szCs w:val="24"/>
        </w:rPr>
      </w:pPr>
      <w:r>
        <w:rPr>
          <w:rFonts w:hint="eastAsia" w:ascii="宋体" w:hAnsi="宋体"/>
          <w:sz w:val="24"/>
          <w:szCs w:val="24"/>
        </w:rPr>
        <w:t>1.提供</w:t>
      </w:r>
      <w:r>
        <w:rPr>
          <w:rFonts w:hint="eastAsia" w:ascii="宋体" w:hAnsi="宋体" w:cs="宋体"/>
          <w:sz w:val="24"/>
        </w:rPr>
        <w:t>投标</w:t>
      </w:r>
      <w:r>
        <w:rPr>
          <w:rFonts w:hint="eastAsia" w:ascii="宋体" w:hAnsi="宋体" w:cs="宋体"/>
          <w:sz w:val="24"/>
          <w:lang w:eastAsia="zh-CN"/>
        </w:rPr>
        <w:t>截止时间</w:t>
      </w:r>
      <w:r>
        <w:rPr>
          <w:rFonts w:hint="eastAsia" w:ascii="宋体" w:hAnsi="宋体" w:cs="宋体"/>
          <w:sz w:val="24"/>
        </w:rPr>
        <w:t>前</w:t>
      </w:r>
      <w:r>
        <w:rPr>
          <w:rFonts w:hint="eastAsia" w:ascii="宋体" w:hAnsi="宋体"/>
          <w:sz w:val="24"/>
          <w:szCs w:val="24"/>
        </w:rPr>
        <w:t>六个月内</w:t>
      </w:r>
      <w:r>
        <w:rPr>
          <w:rFonts w:hint="eastAsia" w:ascii="宋体" w:hAnsi="宋体" w:cs="宋体"/>
          <w:sz w:val="24"/>
        </w:rPr>
        <w:t>（至少提供其中一个月）缴纳税收</w:t>
      </w:r>
      <w:r>
        <w:rPr>
          <w:rFonts w:hint="eastAsia" w:ascii="宋体" w:hAnsi="宋体"/>
          <w:sz w:val="24"/>
          <w:szCs w:val="24"/>
        </w:rPr>
        <w:t>的凭据（完税凭证或税务部门出具的证明）复印件；</w:t>
      </w:r>
    </w:p>
    <w:p>
      <w:pPr>
        <w:pStyle w:val="71"/>
        <w:spacing w:line="360" w:lineRule="auto"/>
        <w:ind w:firstLine="420"/>
        <w:rPr>
          <w:rFonts w:ascii="宋体" w:hAnsi="宋体"/>
          <w:sz w:val="24"/>
          <w:szCs w:val="24"/>
        </w:rPr>
      </w:pPr>
      <w:r>
        <w:rPr>
          <w:rFonts w:hint="eastAsia" w:ascii="宋体" w:hAnsi="宋体"/>
          <w:sz w:val="24"/>
          <w:szCs w:val="24"/>
        </w:rPr>
        <w:t>2.提供</w:t>
      </w:r>
      <w:r>
        <w:rPr>
          <w:rFonts w:hint="eastAsia" w:ascii="宋体" w:hAnsi="宋体" w:cs="宋体"/>
          <w:sz w:val="24"/>
        </w:rPr>
        <w:t>投标</w:t>
      </w:r>
      <w:r>
        <w:rPr>
          <w:rFonts w:hint="eastAsia" w:ascii="宋体" w:hAnsi="宋体" w:cs="宋体"/>
          <w:sz w:val="24"/>
          <w:lang w:eastAsia="zh-CN"/>
        </w:rPr>
        <w:t>截止时间</w:t>
      </w:r>
      <w:r>
        <w:rPr>
          <w:rFonts w:hint="eastAsia" w:ascii="宋体" w:hAnsi="宋体" w:cs="宋体"/>
          <w:sz w:val="24"/>
        </w:rPr>
        <w:t>前</w:t>
      </w:r>
      <w:r>
        <w:rPr>
          <w:rFonts w:hint="eastAsia" w:ascii="宋体" w:hAnsi="宋体"/>
          <w:sz w:val="24"/>
          <w:szCs w:val="24"/>
        </w:rPr>
        <w:t>六个月内</w:t>
      </w:r>
      <w:r>
        <w:rPr>
          <w:rFonts w:hint="eastAsia" w:ascii="宋体" w:hAnsi="宋体" w:cs="宋体"/>
          <w:sz w:val="24"/>
        </w:rPr>
        <w:t>（至少提供其中一个月）</w:t>
      </w:r>
      <w:r>
        <w:rPr>
          <w:rFonts w:hint="eastAsia" w:ascii="宋体" w:hAnsi="宋体"/>
          <w:sz w:val="24"/>
          <w:szCs w:val="24"/>
        </w:rPr>
        <w:t>缴纳社会保险的凭据（专用收据或社会保险缴纳清单）复印件；</w:t>
      </w:r>
    </w:p>
    <w:p>
      <w:pPr>
        <w:pStyle w:val="71"/>
        <w:spacing w:line="360" w:lineRule="auto"/>
        <w:ind w:firstLine="420"/>
        <w:rPr>
          <w:rFonts w:ascii="宋体" w:hAnsi="宋体"/>
          <w:sz w:val="24"/>
          <w:szCs w:val="24"/>
        </w:rPr>
      </w:pPr>
      <w:r>
        <w:rPr>
          <w:rFonts w:hint="eastAsia" w:ascii="宋体" w:hAnsi="宋体"/>
          <w:sz w:val="24"/>
          <w:szCs w:val="24"/>
        </w:rPr>
        <w:t>3.依法免税或不需要缴纳社会保障资金的投标人，应提供相应文件证明其依法免税或不需要缴纳社会保障资金的材料复印件；</w:t>
      </w:r>
    </w:p>
    <w:p>
      <w:pPr>
        <w:pStyle w:val="71"/>
        <w:spacing w:line="360" w:lineRule="auto"/>
        <w:ind w:firstLine="420"/>
        <w:rPr>
          <w:rFonts w:ascii="宋体" w:hAnsi="宋体"/>
          <w:sz w:val="24"/>
        </w:rPr>
      </w:pPr>
      <w:r>
        <w:rPr>
          <w:rFonts w:hint="eastAsia" w:ascii="宋体" w:hAnsi="宋体"/>
          <w:sz w:val="24"/>
        </w:rPr>
        <w:t>以上复印件需要</w:t>
      </w:r>
      <w:r>
        <w:rPr>
          <w:rFonts w:ascii="宋体" w:hAnsi="宋体"/>
          <w:sz w:val="24"/>
        </w:rPr>
        <w:t>盖章</w:t>
      </w:r>
      <w:r>
        <w:rPr>
          <w:rFonts w:hint="eastAsia" w:ascii="宋体" w:hAnsi="宋体"/>
          <w:sz w:val="24"/>
        </w:rPr>
        <w:t>确认。</w:t>
      </w:r>
    </w:p>
    <w:p>
      <w:pPr>
        <w:jc w:val="center"/>
        <w:rPr>
          <w:sz w:val="52"/>
          <w:szCs w:val="52"/>
        </w:rPr>
      </w:pPr>
    </w:p>
    <w:p>
      <w:pPr>
        <w:jc w:val="center"/>
        <w:rPr>
          <w:sz w:val="52"/>
          <w:szCs w:val="52"/>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p>
    <w:p>
      <w:pPr>
        <w:adjustRightInd w:val="0"/>
        <w:snapToGrid w:val="0"/>
        <w:spacing w:line="360" w:lineRule="auto"/>
        <w:ind w:right="480"/>
        <w:rPr>
          <w:rFonts w:ascii="宋体"/>
          <w:b/>
          <w:sz w:val="30"/>
          <w:szCs w:val="30"/>
        </w:rPr>
      </w:pPr>
      <w:r>
        <w:rPr>
          <w:rFonts w:hint="eastAsia" w:ascii="宋体" w:hAnsi="宋体"/>
          <w:b/>
          <w:sz w:val="28"/>
        </w:rPr>
        <w:t>附件2.2</w:t>
      </w:r>
    </w:p>
    <w:p>
      <w:pPr>
        <w:adjustRightInd w:val="0"/>
        <w:snapToGrid w:val="0"/>
        <w:jc w:val="center"/>
        <w:rPr>
          <w:rFonts w:ascii="宋体" w:hAnsi="宋体" w:cs="宋体"/>
          <w:b/>
          <w:bCs/>
          <w:szCs w:val="21"/>
        </w:rPr>
      </w:pPr>
      <w:r>
        <w:rPr>
          <w:b/>
          <w:bCs/>
          <w:sz w:val="28"/>
          <w:szCs w:val="21"/>
        </w:rPr>
        <w:t>具备履行合同所必需的设备和专业</w:t>
      </w:r>
      <w:r>
        <w:rPr>
          <w:rFonts w:hint="eastAsia"/>
          <w:b/>
          <w:bCs/>
          <w:sz w:val="28"/>
          <w:szCs w:val="21"/>
        </w:rPr>
        <w:t>服务（</w:t>
      </w:r>
      <w:r>
        <w:rPr>
          <w:b/>
          <w:bCs/>
          <w:sz w:val="28"/>
          <w:szCs w:val="21"/>
        </w:rPr>
        <w:t>技术</w:t>
      </w:r>
      <w:r>
        <w:rPr>
          <w:rFonts w:hint="eastAsia"/>
          <w:b/>
          <w:bCs/>
          <w:sz w:val="28"/>
          <w:szCs w:val="21"/>
        </w:rPr>
        <w:t>）</w:t>
      </w:r>
      <w:r>
        <w:rPr>
          <w:b/>
          <w:bCs/>
          <w:sz w:val="28"/>
          <w:szCs w:val="21"/>
        </w:rPr>
        <w:t>能力的</w:t>
      </w:r>
      <w:r>
        <w:rPr>
          <w:rFonts w:hint="eastAsia"/>
          <w:b/>
          <w:bCs/>
          <w:sz w:val="28"/>
          <w:szCs w:val="21"/>
        </w:rPr>
        <w:t>承诺函</w:t>
      </w:r>
    </w:p>
    <w:p>
      <w:pPr>
        <w:adjustRightInd w:val="0"/>
        <w:snapToGrid w:val="0"/>
        <w:rPr>
          <w:rFonts w:ascii="宋体" w:hAnsi="宋体" w:cs="宋体"/>
        </w:rPr>
      </w:pP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u w:val="single"/>
        </w:rPr>
        <w:t xml:space="preserve">（招标人）     </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720" w:firstLineChars="3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（投标人）    </w:t>
      </w:r>
      <w:r>
        <w:rPr>
          <w:rFonts w:hint="eastAsia" w:ascii="宋体" w:hAnsi="宋体" w:cs="宋体"/>
          <w:sz w:val="24"/>
        </w:rPr>
        <w:t>承诺具有履行合同所必需的设备和专业服务（技术）能力。如有虚假，招标人可取消我方任何资格（投标/中标/签订合同），我方对此无任何异议。</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特此承诺！</w:t>
      </w:r>
    </w:p>
    <w:p>
      <w:pPr>
        <w:pStyle w:val="22"/>
        <w:ind w:firstLine="480"/>
        <w:rPr>
          <w:rFonts w:ascii="宋体" w:hAnsi="宋体" w:cs="宋体"/>
          <w:sz w:val="24"/>
        </w:rPr>
      </w:pPr>
    </w:p>
    <w:p>
      <w:pPr>
        <w:pStyle w:val="22"/>
        <w:ind w:firstLine="480"/>
        <w:rPr>
          <w:rFonts w:ascii="宋体" w:hAnsi="宋体" w:cs="宋体"/>
          <w:sz w:val="24"/>
        </w:rPr>
      </w:pPr>
    </w:p>
    <w:p>
      <w:pPr>
        <w:adjustRightInd w:val="0"/>
        <w:snapToGrid w:val="0"/>
        <w:spacing w:line="360" w:lineRule="auto"/>
        <w:ind w:firstLine="480" w:firstLineChars="20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pStyle w:val="22"/>
        <w:ind w:firstLine="480"/>
        <w:rPr>
          <w:rFonts w:ascii="宋体" w:hAnsi="宋体" w:cs="宋体"/>
          <w:sz w:val="24"/>
        </w:rPr>
      </w:pPr>
    </w:p>
    <w:p>
      <w:pPr>
        <w:shd w:val="clear" w:color="auto" w:fill="FFFFFF"/>
        <w:adjustRightInd w:val="0"/>
        <w:spacing w:line="360" w:lineRule="auto"/>
        <w:ind w:firstLine="4320" w:firstLineChars="1800"/>
        <w:rPr>
          <w:rFonts w:ascii="宋体" w:hAnsi="宋体" w:cs="宋体"/>
          <w:sz w:val="24"/>
        </w:rPr>
      </w:pPr>
      <w:r>
        <w:rPr>
          <w:rFonts w:hint="eastAsia" w:ascii="宋体" w:hAnsi="宋体" w:cs="宋体"/>
          <w:sz w:val="24"/>
        </w:rPr>
        <w:t>投标人名称（公章）:</w:t>
      </w:r>
      <w:r>
        <w:rPr>
          <w:rFonts w:hint="eastAsia" w:ascii="宋体" w:hAnsi="宋体" w:cs="宋体"/>
          <w:sz w:val="24"/>
          <w:lang w:val="zh-CN"/>
        </w:rPr>
        <w:t xml:space="preserve">                </w:t>
      </w:r>
    </w:p>
    <w:p>
      <w:pPr>
        <w:adjustRightInd w:val="0"/>
        <w:snapToGrid w:val="0"/>
        <w:spacing w:line="360" w:lineRule="auto"/>
        <w:ind w:firstLine="1920" w:firstLineChars="800"/>
        <w:rPr>
          <w:rFonts w:ascii="宋体" w:hAnsi="宋体" w:cs="宋体"/>
          <w:sz w:val="24"/>
        </w:rPr>
      </w:pPr>
      <w:r>
        <w:rPr>
          <w:rFonts w:hint="eastAsia" w:ascii="宋体" w:hAnsi="宋体" w:cs="仿宋_GB2312"/>
          <w:sz w:val="24"/>
          <w:lang w:val="zh-CN"/>
        </w:rPr>
        <w:t>法定代表人（单位负责人）或授权委托代理人（签字或盖章）</w:t>
      </w:r>
      <w:r>
        <w:rPr>
          <w:rFonts w:hint="eastAsia" w:ascii="宋体" w:hAnsi="宋体" w:cs="宋体"/>
          <w:sz w:val="24"/>
          <w:lang w:val="zh-CN"/>
        </w:rPr>
        <w:t xml:space="preserve">：    </w:t>
      </w:r>
    </w:p>
    <w:p>
      <w:pPr>
        <w:adjustRightInd w:val="0"/>
        <w:snapToGrid w:val="0"/>
        <w:spacing w:line="360" w:lineRule="auto"/>
        <w:ind w:firstLine="4320" w:firstLineChars="1800"/>
        <w:rPr>
          <w:rFonts w:ascii="宋体" w:hAnsi="宋体" w:cs="宋体"/>
          <w:sz w:val="24"/>
        </w:rPr>
      </w:pPr>
      <w:r>
        <w:rPr>
          <w:rFonts w:hint="eastAsia" w:ascii="宋体" w:hAnsi="宋体" w:cs="宋体"/>
          <w:sz w:val="24"/>
        </w:rPr>
        <w:t>日期：  年  月  日</w:t>
      </w:r>
    </w:p>
    <w:p>
      <w:pPr>
        <w:pStyle w:val="10"/>
        <w:sectPr>
          <w:pgSz w:w="11906" w:h="16838"/>
          <w:pgMar w:top="1701" w:right="1448" w:bottom="1531" w:left="1418" w:header="851" w:footer="851" w:gutter="0"/>
          <w:cols w:space="720" w:num="1"/>
          <w:docGrid w:linePitch="312" w:charSpace="0"/>
        </w:sectPr>
      </w:pPr>
    </w:p>
    <w:p>
      <w:pPr>
        <w:pStyle w:val="11"/>
        <w:ind w:firstLine="480"/>
      </w:pPr>
    </w:p>
    <w:p>
      <w:pPr>
        <w:jc w:val="center"/>
        <w:rPr>
          <w:sz w:val="52"/>
          <w:szCs w:val="52"/>
        </w:rPr>
      </w:pPr>
      <w:r>
        <w:rPr>
          <w:rFonts w:hint="eastAsia"/>
          <w:sz w:val="52"/>
          <w:szCs w:val="52"/>
        </w:rPr>
        <w:t>项目名称</w:t>
      </w:r>
      <w:bookmarkEnd w:id="41"/>
      <w:bookmarkEnd w:id="42"/>
      <w:bookmarkEnd w:id="43"/>
    </w:p>
    <w:p>
      <w:pPr>
        <w:spacing w:before="240" w:beforeLines="100" w:line="360" w:lineRule="auto"/>
        <w:ind w:right="-108"/>
        <w:jc w:val="center"/>
        <w:rPr>
          <w:rFonts w:ascii="宋体" w:hAnsi="宋体"/>
          <w:sz w:val="36"/>
          <w:szCs w:val="36"/>
        </w:rPr>
      </w:pPr>
      <w:r>
        <w:rPr>
          <w:rFonts w:hint="eastAsia" w:ascii="宋体" w:hAnsi="宋体"/>
          <w:sz w:val="36"/>
          <w:szCs w:val="36"/>
        </w:rPr>
        <w:t>项目编号：（标项  ）</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widowControl/>
        <w:jc w:val="left"/>
        <w:rPr>
          <w:rFonts w:ascii="仿宋_GB2312" w:hAnsi="宋体" w:eastAsia="仿宋_GB2312"/>
          <w:b/>
          <w:sz w:val="36"/>
          <w:szCs w:val="36"/>
        </w:rPr>
      </w:pPr>
      <w:r>
        <w:rPr>
          <w:rFonts w:ascii="仿宋_GB2312" w:hAnsi="宋体" w:eastAsia="仿宋_GB2312"/>
          <w:b/>
          <w:sz w:val="36"/>
          <w:szCs w:val="36"/>
        </w:rPr>
        <w:br w:type="page"/>
      </w:r>
    </w:p>
    <w:p>
      <w:pPr>
        <w:jc w:val="center"/>
        <w:rPr>
          <w:b/>
          <w:bCs/>
          <w:sz w:val="36"/>
          <w:szCs w:val="36"/>
        </w:rPr>
      </w:pPr>
      <w:bookmarkStart w:id="46" w:name="_Toc11308_WPSOffice_Level1"/>
      <w:bookmarkStart w:id="47" w:name="_Toc5889_WPSOffice_Level1"/>
      <w:r>
        <w:rPr>
          <w:rFonts w:hint="eastAsia"/>
          <w:b/>
          <w:bCs/>
          <w:sz w:val="36"/>
          <w:szCs w:val="36"/>
          <w:lang w:val="zh-CN"/>
        </w:rPr>
        <w:t>商务与技术文件</w:t>
      </w:r>
      <w:r>
        <w:rPr>
          <w:rFonts w:hint="eastAsia"/>
          <w:b/>
          <w:bCs/>
          <w:sz w:val="36"/>
          <w:szCs w:val="36"/>
        </w:rPr>
        <w:t>目录</w:t>
      </w:r>
      <w:bookmarkEnd w:id="46"/>
      <w:bookmarkEnd w:id="47"/>
    </w:p>
    <w:p>
      <w:pPr>
        <w:pStyle w:val="10"/>
        <w:spacing w:line="360" w:lineRule="auto"/>
        <w:rPr>
          <w:b/>
          <w:bCs/>
        </w:rPr>
      </w:pPr>
    </w:p>
    <w:p>
      <w:pPr>
        <w:pStyle w:val="8"/>
        <w:widowControl/>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1、投标人情况介绍（附件3）</w:t>
      </w:r>
    </w:p>
    <w:p>
      <w:pPr>
        <w:pStyle w:val="8"/>
        <w:widowControl/>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2、技术需求响应表（附件4）</w:t>
      </w:r>
    </w:p>
    <w:p>
      <w:pPr>
        <w:pStyle w:val="8"/>
        <w:widowControl/>
        <w:adjustRightInd w:val="0"/>
        <w:snapToGrid w:val="0"/>
        <w:spacing w:line="480" w:lineRule="exact"/>
        <w:ind w:firstLine="560" w:firstLineChars="200"/>
        <w:rPr>
          <w:rFonts w:ascii="宋体" w:hAnsi="宋体" w:cs="宋体"/>
          <w:sz w:val="28"/>
          <w:szCs w:val="28"/>
        </w:rPr>
      </w:pPr>
      <w:r>
        <w:rPr>
          <w:rFonts w:hint="eastAsia" w:ascii="宋体" w:hAnsi="宋体" w:cs="宋体"/>
          <w:sz w:val="28"/>
          <w:szCs w:val="28"/>
        </w:rPr>
        <w:t>3、投标方案描述：</w:t>
      </w:r>
    </w:p>
    <w:p>
      <w:pPr>
        <w:pStyle w:val="8"/>
        <w:widowControl/>
        <w:adjustRightInd w:val="0"/>
        <w:snapToGrid w:val="0"/>
        <w:spacing w:line="480" w:lineRule="exact"/>
        <w:ind w:left="218" w:leftChars="104" w:firstLine="722" w:firstLineChars="258"/>
        <w:rPr>
          <w:rFonts w:ascii="宋体" w:hAnsi="宋体" w:cs="宋体"/>
          <w:sz w:val="28"/>
          <w:szCs w:val="28"/>
        </w:rPr>
      </w:pPr>
      <w:r>
        <w:rPr>
          <w:rFonts w:hint="eastAsia" w:ascii="宋体" w:hAnsi="宋体" w:cs="宋体"/>
          <w:sz w:val="28"/>
          <w:szCs w:val="28"/>
        </w:rPr>
        <w:t>A.项目需求的理解与分析(投标人对项目现状及需求的理解情况，对项目现状和需求描述的全面性、准确性、针对性，对项目重点、难点的把握，解决方案及合理化建议)。</w:t>
      </w:r>
    </w:p>
    <w:p>
      <w:pPr>
        <w:pStyle w:val="8"/>
        <w:widowControl/>
        <w:adjustRightInd w:val="0"/>
        <w:snapToGrid w:val="0"/>
        <w:spacing w:line="480" w:lineRule="exact"/>
        <w:ind w:left="218" w:leftChars="104" w:firstLine="722" w:firstLineChars="258"/>
        <w:rPr>
          <w:rFonts w:ascii="宋体" w:hAnsi="宋体" w:cs="宋体"/>
          <w:sz w:val="28"/>
          <w:szCs w:val="28"/>
        </w:rPr>
      </w:pPr>
      <w:r>
        <w:rPr>
          <w:rFonts w:hint="eastAsia" w:ascii="宋体" w:hAnsi="宋体" w:cs="宋体"/>
          <w:sz w:val="28"/>
          <w:szCs w:val="28"/>
        </w:rPr>
        <w:t>B.项目组织实施方案（包括不仅限于以下几点）：</w:t>
      </w:r>
    </w:p>
    <w:p>
      <w:pPr>
        <w:pStyle w:val="8"/>
        <w:widowControl/>
        <w:adjustRightInd w:val="0"/>
        <w:snapToGrid w:val="0"/>
        <w:spacing w:line="480" w:lineRule="exact"/>
        <w:ind w:left="218" w:leftChars="104" w:firstLine="722" w:firstLineChars="258"/>
        <w:rPr>
          <w:rFonts w:ascii="宋体" w:hAnsi="宋体" w:cs="宋体"/>
          <w:bCs/>
          <w:sz w:val="28"/>
          <w:szCs w:val="28"/>
        </w:rPr>
      </w:pPr>
      <w:r>
        <w:rPr>
          <w:rFonts w:hint="eastAsia" w:ascii="宋体" w:hAnsi="宋体" w:cs="宋体"/>
          <w:bCs/>
          <w:sz w:val="28"/>
          <w:szCs w:val="28"/>
        </w:rPr>
        <w:t>保险方案及服务承诺（针对本项目特点详细提供，具有针对性的，切实可行的实行方案及承诺）；</w:t>
      </w:r>
    </w:p>
    <w:p>
      <w:pPr>
        <w:pStyle w:val="8"/>
        <w:widowControl/>
        <w:adjustRightInd w:val="0"/>
        <w:snapToGrid w:val="0"/>
        <w:spacing w:line="480" w:lineRule="exact"/>
        <w:ind w:left="218" w:leftChars="104" w:firstLine="722" w:firstLineChars="258"/>
        <w:rPr>
          <w:rFonts w:ascii="宋体" w:hAnsi="宋体" w:cs="宋体"/>
          <w:bCs/>
          <w:sz w:val="28"/>
          <w:szCs w:val="28"/>
        </w:rPr>
      </w:pPr>
      <w:r>
        <w:rPr>
          <w:rFonts w:hint="eastAsia" w:ascii="宋体" w:hAnsi="宋体" w:cs="宋体"/>
          <w:bCs/>
          <w:sz w:val="28"/>
          <w:szCs w:val="28"/>
        </w:rPr>
        <w:t>针对本项目成立的服务（部门）机构的详细介绍，一般及专业技术力量配置等；</w:t>
      </w:r>
    </w:p>
    <w:p>
      <w:pPr>
        <w:spacing w:line="480" w:lineRule="exact"/>
        <w:ind w:firstLine="1120" w:firstLineChars="400"/>
        <w:rPr>
          <w:rFonts w:ascii="宋体" w:hAnsi="宋体" w:cs="宋体"/>
          <w:sz w:val="28"/>
          <w:szCs w:val="28"/>
        </w:rPr>
      </w:pPr>
      <w:r>
        <w:rPr>
          <w:rFonts w:hint="eastAsia" w:ascii="宋体" w:hAnsi="宋体" w:cs="宋体"/>
          <w:sz w:val="28"/>
          <w:szCs w:val="28"/>
        </w:rPr>
        <w:t>项目实施人员一览表（附件5）</w:t>
      </w:r>
    </w:p>
    <w:p>
      <w:pPr>
        <w:spacing w:line="480" w:lineRule="exact"/>
        <w:ind w:left="420" w:firstLine="560" w:firstLineChars="200"/>
        <w:rPr>
          <w:sz w:val="28"/>
          <w:szCs w:val="28"/>
        </w:rPr>
      </w:pPr>
      <w:r>
        <w:rPr>
          <w:rFonts w:hint="eastAsia"/>
          <w:sz w:val="28"/>
          <w:szCs w:val="28"/>
        </w:rPr>
        <w:t>服务（部门）机构总负责人情况表（附件6）</w:t>
      </w:r>
    </w:p>
    <w:p>
      <w:pPr>
        <w:pStyle w:val="8"/>
        <w:widowControl/>
        <w:adjustRightInd w:val="0"/>
        <w:snapToGrid w:val="0"/>
        <w:spacing w:line="480" w:lineRule="exact"/>
        <w:ind w:left="218" w:leftChars="104" w:firstLine="722" w:firstLineChars="258"/>
        <w:rPr>
          <w:rFonts w:ascii="宋体" w:hAnsi="宋体" w:cs="宋体"/>
          <w:sz w:val="28"/>
          <w:szCs w:val="28"/>
        </w:rPr>
      </w:pPr>
      <w:r>
        <w:rPr>
          <w:rFonts w:hint="eastAsia" w:ascii="宋体" w:hAnsi="宋体" w:cs="宋体"/>
          <w:sz w:val="28"/>
          <w:szCs w:val="28"/>
        </w:rPr>
        <w:t>（可根据投标人对招标任务的理解和自身情况编制，利用投标文件中承诺提供的设备、人员等资源围绕采购人的要求、工作进度的实际要求如何实现这些要求，如何保质保量按时完成任务。）</w:t>
      </w:r>
    </w:p>
    <w:p>
      <w:pPr>
        <w:autoSpaceDE w:val="0"/>
        <w:autoSpaceDN w:val="0"/>
        <w:adjustRightInd w:val="0"/>
        <w:spacing w:line="480" w:lineRule="exact"/>
        <w:ind w:firstLine="495" w:firstLineChars="177"/>
        <w:rPr>
          <w:rFonts w:ascii="宋体" w:hAnsi="宋体" w:cs="宋体"/>
          <w:sz w:val="28"/>
          <w:szCs w:val="28"/>
        </w:rPr>
      </w:pPr>
      <w:r>
        <w:rPr>
          <w:rFonts w:hint="eastAsia" w:ascii="宋体" w:hAnsi="宋体" w:cs="宋体"/>
          <w:kern w:val="0"/>
          <w:sz w:val="28"/>
          <w:szCs w:val="28"/>
        </w:rPr>
        <w:t>4、投标人通过的质量管理和质量保证体系、环保体系、</w:t>
      </w:r>
      <w:r>
        <w:rPr>
          <w:rFonts w:hint="eastAsia" w:ascii="宋体" w:hAnsi="宋体" w:cs="宋体"/>
          <w:sz w:val="28"/>
          <w:szCs w:val="28"/>
        </w:rPr>
        <w:t>自主创新相关证书等等与本项目相关</w:t>
      </w:r>
      <w:r>
        <w:rPr>
          <w:rFonts w:hint="eastAsia" w:ascii="宋体" w:hAnsi="宋体" w:cs="宋体"/>
          <w:kern w:val="0"/>
          <w:sz w:val="28"/>
          <w:szCs w:val="28"/>
        </w:rPr>
        <w:t>的认证证书或文件；</w:t>
      </w:r>
    </w:p>
    <w:p>
      <w:pPr>
        <w:pStyle w:val="8"/>
        <w:widowControl/>
        <w:adjustRightInd w:val="0"/>
        <w:snapToGrid w:val="0"/>
        <w:spacing w:line="480" w:lineRule="exact"/>
        <w:ind w:firstLine="560" w:firstLineChars="200"/>
        <w:rPr>
          <w:rFonts w:ascii="宋体" w:hAnsi="宋体" w:cs="宋体"/>
          <w:sz w:val="28"/>
          <w:szCs w:val="28"/>
        </w:rPr>
      </w:pPr>
      <w:r>
        <w:rPr>
          <w:rFonts w:hint="eastAsia" w:ascii="宋体" w:hAnsi="宋体" w:cs="宋体"/>
          <w:kern w:val="0"/>
          <w:sz w:val="28"/>
          <w:szCs w:val="28"/>
        </w:rPr>
        <w:t>5、投标人类似成功案例一览表（2019年以来涉及意外伤害、基本医疗的保险业绩）；（附件7）</w:t>
      </w:r>
    </w:p>
    <w:p>
      <w:pPr>
        <w:snapToGrid w:val="0"/>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6、资信及商务需求响应表（附件8）；</w:t>
      </w:r>
    </w:p>
    <w:p>
      <w:pPr>
        <w:snapToGrid w:val="0"/>
        <w:spacing w:line="480" w:lineRule="exact"/>
        <w:ind w:firstLine="548" w:firstLineChars="196"/>
        <w:rPr>
          <w:rFonts w:ascii="宋体" w:hAnsi="宋体" w:cs="宋体"/>
          <w:color w:val="000000"/>
          <w:sz w:val="28"/>
          <w:szCs w:val="28"/>
        </w:rPr>
      </w:pPr>
      <w:r>
        <w:rPr>
          <w:rFonts w:hint="eastAsia" w:ascii="宋体" w:hAnsi="宋体" w:cs="宋体"/>
          <w:color w:val="000000"/>
          <w:sz w:val="28"/>
          <w:szCs w:val="28"/>
        </w:rPr>
        <w:t>7、证书一览表（附件9）；</w:t>
      </w:r>
    </w:p>
    <w:p>
      <w:pPr>
        <w:snapToGrid w:val="0"/>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8、投标人类似项目实施情况一览表（附件10）；</w:t>
      </w:r>
    </w:p>
    <w:p>
      <w:pPr>
        <w:snapToGrid w:val="0"/>
        <w:spacing w:line="480" w:lineRule="exact"/>
        <w:ind w:firstLine="548" w:firstLineChars="196"/>
        <w:rPr>
          <w:rFonts w:ascii="宋体" w:hAnsi="宋体" w:cs="宋体"/>
          <w:color w:val="000000"/>
          <w:sz w:val="28"/>
          <w:szCs w:val="28"/>
        </w:rPr>
      </w:pPr>
      <w:r>
        <w:rPr>
          <w:rFonts w:hint="eastAsia" w:ascii="宋体" w:hAnsi="宋体" w:cs="宋体"/>
          <w:color w:val="000000"/>
          <w:sz w:val="28"/>
          <w:szCs w:val="28"/>
        </w:rPr>
        <w:t>9、投标人需要说明的其他内容。（包括可能影响投标人商务与技术文件评分的各类证明材料）。</w:t>
      </w:r>
    </w:p>
    <w:p>
      <w:pPr>
        <w:pStyle w:val="8"/>
        <w:spacing w:line="360" w:lineRule="auto"/>
        <w:ind w:firstLine="480" w:firstLineChars="200"/>
        <w:rPr>
          <w:sz w:val="24"/>
          <w:szCs w:val="24"/>
        </w:rPr>
      </w:pPr>
    </w:p>
    <w:p>
      <w:pPr>
        <w:pStyle w:val="8"/>
        <w:spacing w:line="360" w:lineRule="auto"/>
        <w:ind w:firstLine="480" w:firstLineChars="200"/>
        <w:rPr>
          <w:sz w:val="24"/>
          <w:szCs w:val="24"/>
        </w:rPr>
      </w:pPr>
    </w:p>
    <w:p>
      <w:pPr>
        <w:pStyle w:val="34"/>
        <w:shd w:val="clear" w:color="auto" w:fill="FFFFFF"/>
        <w:spacing w:before="0" w:beforeAutospacing="0" w:after="0" w:afterAutospacing="0" w:line="360" w:lineRule="auto"/>
        <w:rPr>
          <w:b/>
          <w:sz w:val="28"/>
        </w:rPr>
      </w:pPr>
      <w:r>
        <w:rPr>
          <w:rFonts w:hint="eastAsia"/>
          <w:b/>
          <w:sz w:val="28"/>
        </w:rPr>
        <w:t>附件3</w:t>
      </w:r>
    </w:p>
    <w:p>
      <w:pPr>
        <w:pStyle w:val="34"/>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48" w:name="_Toc14261_WPSOffice_Level1"/>
      <w:bookmarkStart w:id="49" w:name="_Toc13307_WPSOffice_Level1"/>
      <w:r>
        <w:rPr>
          <w:rFonts w:hint="eastAsia"/>
          <w:b/>
          <w:sz w:val="32"/>
          <w:szCs w:val="32"/>
        </w:rPr>
        <w:t>投标</w:t>
      </w:r>
      <w:r>
        <w:rPr>
          <w:rFonts w:hint="eastAsia"/>
          <w:b/>
          <w:bCs/>
          <w:sz w:val="32"/>
          <w:szCs w:val="32"/>
        </w:rPr>
        <w:t>人基本情况表</w:t>
      </w:r>
      <w:bookmarkEnd w:id="48"/>
      <w:bookmarkEnd w:id="49"/>
    </w:p>
    <w:tbl>
      <w:tblPr>
        <w:tblStyle w:val="23"/>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59"/>
        <w:gridCol w:w="752"/>
        <w:gridCol w:w="1163"/>
        <w:gridCol w:w="1205"/>
        <w:gridCol w:w="200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3" w:type="dxa"/>
          </w:tcPr>
          <w:p>
            <w:pPr>
              <w:pStyle w:val="34"/>
              <w:spacing w:line="360" w:lineRule="auto"/>
              <w:rPr>
                <w:bCs/>
              </w:rPr>
            </w:pPr>
            <w:r>
              <w:rPr>
                <w:rFonts w:hint="eastAsia"/>
                <w:bCs/>
                <w:spacing w:val="27"/>
              </w:rPr>
              <w:t>企业名称</w:t>
            </w:r>
          </w:p>
        </w:tc>
        <w:tc>
          <w:tcPr>
            <w:tcW w:w="3979" w:type="dxa"/>
            <w:gridSpan w:val="4"/>
          </w:tcPr>
          <w:p>
            <w:pPr>
              <w:pStyle w:val="34"/>
              <w:spacing w:line="360" w:lineRule="auto"/>
              <w:rPr>
                <w:bCs/>
              </w:rPr>
            </w:pPr>
          </w:p>
        </w:tc>
        <w:tc>
          <w:tcPr>
            <w:tcW w:w="2001" w:type="dxa"/>
          </w:tcPr>
          <w:p>
            <w:pPr>
              <w:pStyle w:val="34"/>
              <w:spacing w:line="360" w:lineRule="auto"/>
              <w:rPr>
                <w:bCs/>
              </w:rPr>
            </w:pPr>
            <w:r>
              <w:rPr>
                <w:rFonts w:hint="eastAsia"/>
                <w:bCs/>
                <w:spacing w:val="16"/>
              </w:rPr>
              <w:t>法人代表（单位负责人）</w:t>
            </w:r>
          </w:p>
        </w:tc>
        <w:tc>
          <w:tcPr>
            <w:tcW w:w="2151" w:type="dxa"/>
          </w:tcPr>
          <w:p>
            <w:pPr>
              <w:pStyle w:val="34"/>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33" w:type="dxa"/>
          </w:tcPr>
          <w:p>
            <w:pPr>
              <w:pStyle w:val="34"/>
              <w:spacing w:line="360" w:lineRule="auto"/>
              <w:rPr>
                <w:bCs/>
                <w:spacing w:val="16"/>
              </w:rPr>
            </w:pPr>
            <w:r>
              <w:rPr>
                <w:rFonts w:hint="eastAsia"/>
                <w:bCs/>
                <w:spacing w:val="27"/>
              </w:rPr>
              <w:t>地址</w:t>
            </w:r>
          </w:p>
        </w:tc>
        <w:tc>
          <w:tcPr>
            <w:tcW w:w="3979" w:type="dxa"/>
            <w:gridSpan w:val="4"/>
            <w:tcBorders>
              <w:bottom w:val="single" w:color="auto" w:sz="4" w:space="0"/>
            </w:tcBorders>
          </w:tcPr>
          <w:p>
            <w:pPr>
              <w:pStyle w:val="34"/>
              <w:spacing w:line="360" w:lineRule="auto"/>
              <w:rPr>
                <w:bCs/>
                <w:spacing w:val="16"/>
              </w:rPr>
            </w:pPr>
          </w:p>
        </w:tc>
        <w:tc>
          <w:tcPr>
            <w:tcW w:w="2001" w:type="dxa"/>
          </w:tcPr>
          <w:p>
            <w:pPr>
              <w:pStyle w:val="34"/>
              <w:spacing w:line="360" w:lineRule="auto"/>
              <w:rPr>
                <w:bCs/>
                <w:spacing w:val="16"/>
              </w:rPr>
            </w:pPr>
            <w:r>
              <w:rPr>
                <w:rFonts w:hint="eastAsia"/>
                <w:bCs/>
                <w:spacing w:val="16"/>
              </w:rPr>
              <w:t>企业性质</w:t>
            </w:r>
          </w:p>
        </w:tc>
        <w:tc>
          <w:tcPr>
            <w:tcW w:w="2151" w:type="dxa"/>
          </w:tcPr>
          <w:p>
            <w:pPr>
              <w:pStyle w:val="34"/>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3" w:type="dxa"/>
            <w:vMerge w:val="restart"/>
          </w:tcPr>
          <w:p>
            <w:pPr>
              <w:pStyle w:val="34"/>
              <w:spacing w:line="360" w:lineRule="auto"/>
              <w:rPr>
                <w:bCs/>
                <w:spacing w:val="16"/>
              </w:rPr>
            </w:pPr>
            <w:r>
              <w:rPr>
                <w:rFonts w:hint="eastAsia"/>
                <w:bCs/>
                <w:spacing w:val="12"/>
              </w:rPr>
              <w:t>联系人</w:t>
            </w:r>
            <w:r>
              <w:rPr>
                <w:rFonts w:hint="eastAsia"/>
                <w:bCs/>
                <w:spacing w:val="27"/>
              </w:rPr>
              <w:t>姓名</w:t>
            </w:r>
          </w:p>
        </w:tc>
        <w:tc>
          <w:tcPr>
            <w:tcW w:w="859" w:type="dxa"/>
            <w:vMerge w:val="restart"/>
            <w:tcBorders>
              <w:top w:val="nil"/>
            </w:tcBorders>
          </w:tcPr>
          <w:p>
            <w:pPr>
              <w:pStyle w:val="34"/>
              <w:spacing w:line="360" w:lineRule="auto"/>
              <w:rPr>
                <w:bCs/>
                <w:spacing w:val="16"/>
              </w:rPr>
            </w:pPr>
          </w:p>
        </w:tc>
        <w:tc>
          <w:tcPr>
            <w:tcW w:w="752" w:type="dxa"/>
            <w:tcBorders>
              <w:top w:val="nil"/>
              <w:bottom w:val="single" w:color="auto" w:sz="4" w:space="0"/>
            </w:tcBorders>
          </w:tcPr>
          <w:p>
            <w:pPr>
              <w:pStyle w:val="34"/>
              <w:spacing w:line="360" w:lineRule="auto"/>
              <w:rPr>
                <w:bCs/>
                <w:spacing w:val="16"/>
              </w:rPr>
            </w:pPr>
            <w:r>
              <w:rPr>
                <w:rFonts w:hint="eastAsia"/>
                <w:bCs/>
                <w:spacing w:val="16"/>
              </w:rPr>
              <w:t>固定电话</w:t>
            </w:r>
          </w:p>
        </w:tc>
        <w:tc>
          <w:tcPr>
            <w:tcW w:w="2368" w:type="dxa"/>
            <w:gridSpan w:val="2"/>
            <w:tcBorders>
              <w:top w:val="nil"/>
              <w:bottom w:val="single" w:color="auto" w:sz="4" w:space="0"/>
            </w:tcBorders>
          </w:tcPr>
          <w:p>
            <w:pPr>
              <w:widowControl/>
              <w:spacing w:line="360" w:lineRule="auto"/>
              <w:jc w:val="left"/>
              <w:rPr>
                <w:rFonts w:ascii="宋体" w:hAnsi="宋体" w:cs="宋体"/>
                <w:bCs/>
                <w:spacing w:val="16"/>
                <w:kern w:val="0"/>
                <w:sz w:val="24"/>
              </w:rPr>
            </w:pPr>
          </w:p>
          <w:p>
            <w:pPr>
              <w:pStyle w:val="34"/>
              <w:spacing w:line="360" w:lineRule="auto"/>
              <w:rPr>
                <w:bCs/>
                <w:spacing w:val="16"/>
              </w:rPr>
            </w:pPr>
          </w:p>
        </w:tc>
        <w:tc>
          <w:tcPr>
            <w:tcW w:w="2001" w:type="dxa"/>
            <w:vMerge w:val="restart"/>
          </w:tcPr>
          <w:p>
            <w:pPr>
              <w:pStyle w:val="34"/>
              <w:spacing w:before="0" w:beforeAutospacing="0" w:after="0" w:afterAutospacing="0" w:line="360" w:lineRule="auto"/>
              <w:rPr>
                <w:bCs/>
                <w:spacing w:val="16"/>
              </w:rPr>
            </w:pPr>
            <w:r>
              <w:rPr>
                <w:rFonts w:hint="eastAsia"/>
                <w:bCs/>
                <w:spacing w:val="16"/>
              </w:rPr>
              <w:t>传真</w:t>
            </w:r>
          </w:p>
        </w:tc>
        <w:tc>
          <w:tcPr>
            <w:tcW w:w="2151" w:type="dxa"/>
            <w:vMerge w:val="restart"/>
          </w:tcPr>
          <w:p>
            <w:pPr>
              <w:pStyle w:val="34"/>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33" w:type="dxa"/>
            <w:vMerge w:val="continue"/>
            <w:tcBorders>
              <w:bottom w:val="single" w:color="auto" w:sz="4" w:space="0"/>
            </w:tcBorders>
          </w:tcPr>
          <w:p>
            <w:pPr>
              <w:pStyle w:val="34"/>
              <w:spacing w:line="360" w:lineRule="auto"/>
              <w:ind w:left="107"/>
              <w:rPr>
                <w:bCs/>
              </w:rPr>
            </w:pPr>
          </w:p>
        </w:tc>
        <w:tc>
          <w:tcPr>
            <w:tcW w:w="859" w:type="dxa"/>
            <w:vMerge w:val="continue"/>
            <w:tcBorders>
              <w:bottom w:val="single" w:color="auto" w:sz="4" w:space="0"/>
            </w:tcBorders>
          </w:tcPr>
          <w:p>
            <w:pPr>
              <w:pStyle w:val="34"/>
              <w:spacing w:line="360" w:lineRule="auto"/>
              <w:rPr>
                <w:bCs/>
                <w:spacing w:val="16"/>
              </w:rPr>
            </w:pPr>
          </w:p>
        </w:tc>
        <w:tc>
          <w:tcPr>
            <w:tcW w:w="752" w:type="dxa"/>
            <w:tcBorders>
              <w:bottom w:val="single" w:color="auto" w:sz="4" w:space="0"/>
            </w:tcBorders>
          </w:tcPr>
          <w:p>
            <w:pPr>
              <w:pStyle w:val="34"/>
              <w:spacing w:line="360" w:lineRule="auto"/>
              <w:rPr>
                <w:bCs/>
                <w:spacing w:val="16"/>
              </w:rPr>
            </w:pPr>
            <w:r>
              <w:rPr>
                <w:rFonts w:hint="eastAsia"/>
                <w:bCs/>
                <w:spacing w:val="27"/>
              </w:rPr>
              <w:t>手机</w:t>
            </w:r>
          </w:p>
        </w:tc>
        <w:tc>
          <w:tcPr>
            <w:tcW w:w="2368" w:type="dxa"/>
            <w:gridSpan w:val="2"/>
            <w:tcBorders>
              <w:bottom w:val="single" w:color="auto" w:sz="4" w:space="0"/>
            </w:tcBorders>
          </w:tcPr>
          <w:p>
            <w:pPr>
              <w:pStyle w:val="34"/>
              <w:spacing w:line="360" w:lineRule="auto"/>
              <w:rPr>
                <w:bCs/>
                <w:spacing w:val="16"/>
              </w:rPr>
            </w:pPr>
          </w:p>
        </w:tc>
        <w:tc>
          <w:tcPr>
            <w:tcW w:w="2001" w:type="dxa"/>
            <w:vMerge w:val="continue"/>
          </w:tcPr>
          <w:p>
            <w:pPr>
              <w:pStyle w:val="34"/>
              <w:spacing w:line="360" w:lineRule="auto"/>
              <w:rPr>
                <w:bCs/>
                <w:spacing w:val="16"/>
              </w:rPr>
            </w:pPr>
          </w:p>
        </w:tc>
        <w:tc>
          <w:tcPr>
            <w:tcW w:w="2151" w:type="dxa"/>
            <w:vMerge w:val="continue"/>
          </w:tcPr>
          <w:p>
            <w:pPr>
              <w:pStyle w:val="34"/>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33" w:type="dxa"/>
            <w:vMerge w:val="restart"/>
          </w:tcPr>
          <w:p>
            <w:pPr>
              <w:pStyle w:val="34"/>
              <w:spacing w:line="360" w:lineRule="auto"/>
              <w:ind w:left="107"/>
              <w:rPr>
                <w:bCs/>
              </w:rPr>
            </w:pPr>
            <w:r>
              <w:rPr>
                <w:rFonts w:hint="eastAsia"/>
                <w:bCs/>
              </w:rPr>
              <w:t>1.</w:t>
            </w:r>
          </w:p>
          <w:p>
            <w:pPr>
              <w:pStyle w:val="34"/>
              <w:spacing w:line="360" w:lineRule="auto"/>
              <w:ind w:left="107"/>
              <w:rPr>
                <w:bCs/>
              </w:rPr>
            </w:pPr>
            <w:r>
              <w:rPr>
                <w:rFonts w:hint="eastAsia"/>
                <w:bCs/>
              </w:rPr>
              <w:t>企</w:t>
            </w:r>
          </w:p>
          <w:p>
            <w:pPr>
              <w:pStyle w:val="34"/>
              <w:spacing w:line="360" w:lineRule="auto"/>
              <w:ind w:left="107"/>
              <w:rPr>
                <w:bCs/>
              </w:rPr>
            </w:pPr>
            <w:r>
              <w:rPr>
                <w:rFonts w:hint="eastAsia"/>
                <w:bCs/>
              </w:rPr>
              <w:t>业</w:t>
            </w:r>
          </w:p>
          <w:p>
            <w:pPr>
              <w:pStyle w:val="34"/>
              <w:spacing w:line="360" w:lineRule="auto"/>
              <w:ind w:left="107"/>
              <w:rPr>
                <w:bCs/>
                <w:spacing w:val="27"/>
              </w:rPr>
            </w:pPr>
            <w:r>
              <w:rPr>
                <w:rFonts w:hint="eastAsia"/>
                <w:bCs/>
                <w:spacing w:val="27"/>
              </w:rPr>
              <w:t>概</w:t>
            </w:r>
          </w:p>
          <w:p>
            <w:pPr>
              <w:pStyle w:val="34"/>
              <w:spacing w:line="360" w:lineRule="auto"/>
              <w:ind w:left="107"/>
              <w:rPr>
                <w:bCs/>
              </w:rPr>
            </w:pPr>
            <w:r>
              <w:rPr>
                <w:rFonts w:hint="eastAsia"/>
                <w:bCs/>
                <w:spacing w:val="27"/>
              </w:rPr>
              <w:t>况</w:t>
            </w:r>
          </w:p>
        </w:tc>
        <w:tc>
          <w:tcPr>
            <w:tcW w:w="859" w:type="dxa"/>
            <w:tcBorders>
              <w:top w:val="nil"/>
            </w:tcBorders>
          </w:tcPr>
          <w:p>
            <w:pPr>
              <w:pStyle w:val="34"/>
              <w:spacing w:line="360" w:lineRule="auto"/>
              <w:rPr>
                <w:bCs/>
                <w:spacing w:val="16"/>
              </w:rPr>
            </w:pPr>
            <w:r>
              <w:rPr>
                <w:rFonts w:hint="eastAsia"/>
                <w:bCs/>
                <w:spacing w:val="16"/>
              </w:rPr>
              <w:t>职工人数</w:t>
            </w:r>
          </w:p>
        </w:tc>
        <w:tc>
          <w:tcPr>
            <w:tcW w:w="752" w:type="dxa"/>
            <w:tcBorders>
              <w:top w:val="nil"/>
            </w:tcBorders>
          </w:tcPr>
          <w:p>
            <w:pPr>
              <w:pStyle w:val="34"/>
              <w:spacing w:line="360" w:lineRule="auto"/>
              <w:rPr>
                <w:bCs/>
                <w:spacing w:val="16"/>
              </w:rPr>
            </w:pPr>
          </w:p>
        </w:tc>
        <w:tc>
          <w:tcPr>
            <w:tcW w:w="1163" w:type="dxa"/>
            <w:tcBorders>
              <w:top w:val="nil"/>
            </w:tcBorders>
          </w:tcPr>
          <w:p>
            <w:pPr>
              <w:pStyle w:val="34"/>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5" w:type="dxa"/>
            <w:tcBorders>
              <w:top w:val="nil"/>
            </w:tcBorders>
          </w:tcPr>
          <w:p>
            <w:pPr>
              <w:widowControl/>
              <w:spacing w:line="360" w:lineRule="auto"/>
              <w:jc w:val="left"/>
              <w:rPr>
                <w:rFonts w:ascii="宋体" w:hAnsi="宋体" w:cs="宋体"/>
                <w:bCs/>
                <w:spacing w:val="16"/>
                <w:kern w:val="0"/>
                <w:sz w:val="24"/>
              </w:rPr>
            </w:pPr>
          </w:p>
          <w:p>
            <w:pPr>
              <w:widowControl/>
              <w:spacing w:line="360" w:lineRule="auto"/>
              <w:jc w:val="left"/>
              <w:rPr>
                <w:rFonts w:ascii="宋体" w:hAnsi="宋体" w:cs="宋体"/>
                <w:bCs/>
                <w:spacing w:val="16"/>
                <w:kern w:val="0"/>
                <w:sz w:val="24"/>
              </w:rPr>
            </w:pPr>
          </w:p>
          <w:p>
            <w:pPr>
              <w:pStyle w:val="34"/>
              <w:spacing w:line="360" w:lineRule="auto"/>
              <w:rPr>
                <w:bCs/>
                <w:spacing w:val="16"/>
              </w:rPr>
            </w:pPr>
          </w:p>
        </w:tc>
        <w:tc>
          <w:tcPr>
            <w:tcW w:w="2001" w:type="dxa"/>
          </w:tcPr>
          <w:p>
            <w:pPr>
              <w:pStyle w:val="34"/>
              <w:spacing w:line="360" w:lineRule="auto"/>
              <w:rPr>
                <w:bCs/>
                <w:spacing w:val="16"/>
              </w:rPr>
            </w:pPr>
            <w:r>
              <w:rPr>
                <w:rFonts w:hint="eastAsia"/>
                <w:bCs/>
                <w:spacing w:val="65"/>
              </w:rPr>
              <w:t>国家授予技</w:t>
            </w:r>
            <w:r>
              <w:rPr>
                <w:rFonts w:hint="eastAsia"/>
                <w:bCs/>
                <w:spacing w:val="12"/>
              </w:rPr>
              <w:t>术职称人数</w:t>
            </w:r>
          </w:p>
        </w:tc>
        <w:tc>
          <w:tcPr>
            <w:tcW w:w="2151" w:type="dxa"/>
          </w:tcPr>
          <w:p>
            <w:pPr>
              <w:widowControl/>
              <w:spacing w:line="360" w:lineRule="auto"/>
              <w:jc w:val="left"/>
              <w:rPr>
                <w:rFonts w:ascii="宋体" w:hAnsi="宋体" w:cs="宋体"/>
                <w:bCs/>
                <w:spacing w:val="16"/>
                <w:kern w:val="0"/>
                <w:sz w:val="24"/>
              </w:rPr>
            </w:pPr>
          </w:p>
          <w:p>
            <w:pPr>
              <w:pStyle w:val="34"/>
              <w:spacing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933" w:type="dxa"/>
            <w:vMerge w:val="continue"/>
          </w:tcPr>
          <w:p>
            <w:pPr>
              <w:pStyle w:val="34"/>
              <w:spacing w:line="360" w:lineRule="auto"/>
              <w:ind w:left="107"/>
              <w:rPr>
                <w:bCs/>
              </w:rPr>
            </w:pPr>
          </w:p>
        </w:tc>
        <w:tc>
          <w:tcPr>
            <w:tcW w:w="859" w:type="dxa"/>
          </w:tcPr>
          <w:p>
            <w:pPr>
              <w:pStyle w:val="34"/>
              <w:spacing w:line="360" w:lineRule="auto"/>
              <w:rPr>
                <w:bCs/>
              </w:rPr>
            </w:pPr>
            <w:r>
              <w:rPr>
                <w:rFonts w:hint="eastAsia"/>
                <w:bCs/>
                <w:spacing w:val="16"/>
              </w:rPr>
              <w:t>占地面积</w:t>
            </w:r>
          </w:p>
        </w:tc>
        <w:tc>
          <w:tcPr>
            <w:tcW w:w="752" w:type="dxa"/>
          </w:tcPr>
          <w:p>
            <w:pPr>
              <w:pStyle w:val="34"/>
              <w:spacing w:line="360" w:lineRule="auto"/>
              <w:rPr>
                <w:bCs/>
              </w:rPr>
            </w:pPr>
          </w:p>
        </w:tc>
        <w:tc>
          <w:tcPr>
            <w:tcW w:w="1163" w:type="dxa"/>
          </w:tcPr>
          <w:p>
            <w:pPr>
              <w:pStyle w:val="34"/>
              <w:spacing w:line="360" w:lineRule="auto"/>
              <w:rPr>
                <w:bCs/>
              </w:rPr>
            </w:pPr>
            <w:r>
              <w:rPr>
                <w:rFonts w:hint="eastAsia"/>
                <w:bCs/>
                <w:spacing w:val="16"/>
              </w:rPr>
              <w:t>建筑面积</w:t>
            </w:r>
          </w:p>
        </w:tc>
        <w:tc>
          <w:tcPr>
            <w:tcW w:w="1205" w:type="dxa"/>
          </w:tcPr>
          <w:p>
            <w:pPr>
              <w:pStyle w:val="34"/>
              <w:spacing w:line="360" w:lineRule="auto"/>
              <w:rPr>
                <w:bCs/>
              </w:rPr>
            </w:pPr>
            <w:r>
              <w:rPr>
                <w:rFonts w:hint="eastAsia"/>
                <w:bCs/>
              </w:rPr>
              <w:t xml:space="preserve">平方米 </w:t>
            </w:r>
          </w:p>
          <w:p>
            <w:pPr>
              <w:pStyle w:val="34"/>
              <w:spacing w:line="360" w:lineRule="auto"/>
              <w:rPr>
                <w:bCs/>
              </w:rPr>
            </w:pPr>
            <w:r>
              <w:rPr>
                <w:rFonts w:hint="eastAsia"/>
                <w:bCs/>
                <w:spacing w:val="16"/>
              </w:rPr>
              <w:t>□自有□租賃</w:t>
            </w:r>
          </w:p>
        </w:tc>
        <w:tc>
          <w:tcPr>
            <w:tcW w:w="2001" w:type="dxa"/>
          </w:tcPr>
          <w:p>
            <w:pPr>
              <w:pStyle w:val="34"/>
              <w:spacing w:line="360" w:lineRule="auto"/>
              <w:rPr>
                <w:bCs/>
              </w:rPr>
            </w:pPr>
            <w:r>
              <w:rPr>
                <w:rFonts w:hint="eastAsia"/>
                <w:bCs/>
                <w:spacing w:val="16"/>
              </w:rPr>
              <w:t>企业成立时间</w:t>
            </w:r>
          </w:p>
        </w:tc>
        <w:tc>
          <w:tcPr>
            <w:tcW w:w="2151" w:type="dxa"/>
          </w:tcPr>
          <w:p>
            <w:pPr>
              <w:pStyle w:val="34"/>
              <w:spacing w:before="0" w:beforeAutospacing="0" w:after="0" w:afterAutospacing="0" w:line="360" w:lineRule="auto"/>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33" w:type="dxa"/>
            <w:vMerge w:val="continue"/>
          </w:tcPr>
          <w:p>
            <w:pPr>
              <w:pStyle w:val="34"/>
              <w:spacing w:line="360" w:lineRule="auto"/>
              <w:ind w:left="107"/>
              <w:rPr>
                <w:bCs/>
              </w:rPr>
            </w:pPr>
          </w:p>
        </w:tc>
        <w:tc>
          <w:tcPr>
            <w:tcW w:w="859" w:type="dxa"/>
          </w:tcPr>
          <w:p>
            <w:pPr>
              <w:pStyle w:val="34"/>
              <w:spacing w:line="360" w:lineRule="auto"/>
              <w:ind w:left="2"/>
              <w:rPr>
                <w:bCs/>
              </w:rPr>
            </w:pPr>
            <w:r>
              <w:rPr>
                <w:rFonts w:hint="eastAsia"/>
                <w:bCs/>
              </w:rPr>
              <w:t>核准经营范围</w:t>
            </w:r>
          </w:p>
        </w:tc>
        <w:tc>
          <w:tcPr>
            <w:tcW w:w="7272" w:type="dxa"/>
            <w:gridSpan w:val="5"/>
          </w:tcPr>
          <w:p>
            <w:pPr>
              <w:pStyle w:val="34"/>
              <w:spacing w:line="360" w:lineRule="auto"/>
              <w:ind w:left="107"/>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33" w:type="dxa"/>
            <w:vMerge w:val="continue"/>
          </w:tcPr>
          <w:p>
            <w:pPr>
              <w:pStyle w:val="34"/>
              <w:spacing w:line="360" w:lineRule="auto"/>
              <w:ind w:left="107"/>
              <w:rPr>
                <w:bCs/>
              </w:rPr>
            </w:pPr>
          </w:p>
        </w:tc>
        <w:tc>
          <w:tcPr>
            <w:tcW w:w="8131" w:type="dxa"/>
            <w:gridSpan w:val="6"/>
          </w:tcPr>
          <w:p>
            <w:pPr>
              <w:pStyle w:val="34"/>
              <w:spacing w:line="360" w:lineRule="auto"/>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933" w:type="dxa"/>
          </w:tcPr>
          <w:p>
            <w:pPr>
              <w:pStyle w:val="34"/>
              <w:spacing w:line="360" w:lineRule="auto"/>
              <w:ind w:left="107"/>
              <w:rPr>
                <w:bCs/>
              </w:rPr>
            </w:pPr>
            <w:r>
              <w:rPr>
                <w:rFonts w:hint="eastAsia"/>
                <w:bCs/>
              </w:rPr>
              <w:t>2．</w:t>
            </w:r>
          </w:p>
          <w:p>
            <w:pPr>
              <w:pStyle w:val="34"/>
              <w:spacing w:line="360" w:lineRule="auto"/>
              <w:ind w:left="107"/>
              <w:rPr>
                <w:bCs/>
                <w:spacing w:val="16"/>
              </w:rPr>
            </w:pPr>
            <w:r>
              <w:rPr>
                <w:rFonts w:hint="eastAsia"/>
                <w:bCs/>
              </w:rPr>
              <w:t>企</w:t>
            </w:r>
            <w:r>
              <w:rPr>
                <w:rFonts w:hint="eastAsia"/>
                <w:bCs/>
                <w:spacing w:val="12"/>
              </w:rPr>
              <w:t>业综合情况介绍</w:t>
            </w:r>
          </w:p>
        </w:tc>
        <w:tc>
          <w:tcPr>
            <w:tcW w:w="8131" w:type="dxa"/>
            <w:gridSpan w:val="6"/>
          </w:tcPr>
          <w:p>
            <w:pPr>
              <w:pStyle w:val="34"/>
              <w:spacing w:before="0" w:beforeAutospacing="0" w:after="0" w:afterAutospacing="0" w:line="360" w:lineRule="auto"/>
              <w:jc w:val="center"/>
              <w:rPr>
                <w:bCs/>
              </w:rPr>
            </w:pPr>
            <w:r>
              <w:rPr>
                <w:rFonts w:hint="eastAsia"/>
                <w:bCs/>
              </w:rPr>
              <w:t>如</w:t>
            </w:r>
            <w:r>
              <w:rPr>
                <w:rFonts w:hint="eastAsia"/>
              </w:rPr>
              <w:t>（企业规模、经营业绩、人员与技术力量、保险</w:t>
            </w:r>
            <w:r>
              <w:t>投诉</w:t>
            </w:r>
            <w:r>
              <w:rPr>
                <w:rFonts w:hint="eastAsia"/>
              </w:rPr>
              <w:t>情况</w:t>
            </w:r>
            <w:r>
              <w:t>、</w:t>
            </w:r>
            <w:r>
              <w:rPr>
                <w:rFonts w:hint="eastAsia"/>
              </w:rPr>
              <w:t>偿付</w:t>
            </w:r>
            <w:r>
              <w:t>能力</w:t>
            </w:r>
            <w:r>
              <w:rPr>
                <w:rFonts w:hint="eastAsia"/>
              </w:rPr>
              <w:t>、</w:t>
            </w:r>
            <w:r>
              <w:t>分支机构设立</w:t>
            </w:r>
            <w:r>
              <w:rPr>
                <w:rFonts w:hint="eastAsia"/>
              </w:rPr>
              <w:t>及服务网点情况等）</w:t>
            </w:r>
          </w:p>
        </w:tc>
      </w:tr>
    </w:tbl>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法定代表人（单位负责人）或授权委托代理人（签字或盖章）：</w:t>
      </w:r>
    </w:p>
    <w:p>
      <w:pPr>
        <w:spacing w:line="360" w:lineRule="auto"/>
        <w:ind w:firstLine="435"/>
        <w:rPr>
          <w:rFonts w:ascii="宋体" w:hAnsi="宋体"/>
          <w:sz w:val="24"/>
        </w:rPr>
      </w:pPr>
    </w:p>
    <w:p>
      <w:pPr>
        <w:spacing w:line="360" w:lineRule="auto"/>
        <w:ind w:firstLine="424" w:firstLineChars="177"/>
        <w:rPr>
          <w:rFonts w:ascii="宋体" w:hAnsi="宋体"/>
          <w:sz w:val="24"/>
        </w:rPr>
      </w:pPr>
      <w:r>
        <w:rPr>
          <w:rFonts w:hint="eastAsia" w:ascii="宋体" w:hAnsi="宋体"/>
          <w:sz w:val="24"/>
        </w:rPr>
        <w:t>职        务：</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r>
        <w:rPr>
          <w:rFonts w:hint="eastAsia" w:ascii="宋体" w:hAnsi="宋体"/>
          <w:sz w:val="24"/>
        </w:rPr>
        <w:t>日        期：</w:t>
      </w:r>
    </w:p>
    <w:p>
      <w:pPr>
        <w:spacing w:line="360" w:lineRule="auto"/>
        <w:rPr>
          <w:rFonts w:ascii="宋体" w:hAnsi="宋体"/>
          <w:b/>
          <w:sz w:val="24"/>
        </w:rPr>
      </w:pPr>
    </w:p>
    <w:p>
      <w:pPr>
        <w:spacing w:line="360" w:lineRule="auto"/>
        <w:rPr>
          <w:rFonts w:ascii="宋体" w:hAnsi="宋体"/>
          <w:b/>
          <w:sz w:val="28"/>
        </w:rPr>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spacing w:line="360" w:lineRule="auto"/>
        <w:rPr>
          <w:rFonts w:ascii="宋体" w:hAnsi="宋体"/>
          <w:b/>
          <w:sz w:val="28"/>
        </w:rPr>
      </w:pPr>
      <w:r>
        <w:rPr>
          <w:rFonts w:hint="eastAsia" w:ascii="宋体" w:hAnsi="宋体"/>
          <w:b/>
          <w:sz w:val="28"/>
        </w:rPr>
        <w:t>附件4</w:t>
      </w:r>
    </w:p>
    <w:p>
      <w:pPr>
        <w:spacing w:line="360" w:lineRule="auto"/>
        <w:jc w:val="center"/>
        <w:rPr>
          <w:rFonts w:ascii="宋体" w:hAnsi="宋体" w:cs="宋体"/>
          <w:b/>
          <w:sz w:val="32"/>
          <w:szCs w:val="32"/>
        </w:rPr>
      </w:pPr>
      <w:bookmarkStart w:id="50" w:name="_Toc12856_WPSOffice_Level1"/>
      <w:bookmarkStart w:id="51"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50"/>
      <w:bookmarkEnd w:id="51"/>
      <w:r>
        <w:rPr>
          <w:rFonts w:hint="eastAsia" w:ascii="宋体" w:hAnsi="宋体" w:cs="宋体"/>
          <w:b/>
          <w:sz w:val="32"/>
          <w:szCs w:val="32"/>
        </w:rPr>
        <w:t>（标项  ）</w:t>
      </w:r>
    </w:p>
    <w:p>
      <w:pPr>
        <w:spacing w:line="360" w:lineRule="auto"/>
      </w:pPr>
      <w:r>
        <w:rPr>
          <w:rFonts w:hint="eastAsia" w:ascii="宋体" w:hAnsi="宋体" w:cs="宋体"/>
          <w:sz w:val="24"/>
        </w:rPr>
        <w:t>采购项目：                                           项目编号：</w:t>
      </w:r>
    </w:p>
    <w:tbl>
      <w:tblPr>
        <w:tblStyle w:val="23"/>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spacing w:line="360" w:lineRule="auto"/>
              <w:jc w:val="center"/>
              <w:rPr>
                <w:rFonts w:ascii="宋体" w:hAnsi="宋体" w:cs="宋体"/>
                <w:b/>
                <w:sz w:val="24"/>
              </w:rPr>
            </w:pPr>
            <w:r>
              <w:rPr>
                <w:rFonts w:hint="eastAsia" w:ascii="宋体" w:hAnsi="宋体" w:cs="宋体"/>
                <w:b/>
                <w:sz w:val="24"/>
              </w:rPr>
              <w:t>序号</w:t>
            </w:r>
          </w:p>
        </w:tc>
        <w:tc>
          <w:tcPr>
            <w:tcW w:w="3061" w:type="dxa"/>
            <w:tcMar>
              <w:top w:w="57" w:type="dxa"/>
              <w:left w:w="108" w:type="dxa"/>
              <w:bottom w:w="0" w:type="dxa"/>
              <w:right w:w="108" w:type="dxa"/>
            </w:tcMar>
            <w:vAlign w:val="center"/>
          </w:tcPr>
          <w:p>
            <w:pPr>
              <w:spacing w:line="360" w:lineRule="auto"/>
              <w:ind w:firstLine="241" w:firstLineChars="100"/>
              <w:jc w:val="center"/>
              <w:rPr>
                <w:rFonts w:ascii="宋体" w:hAnsi="宋体" w:cs="宋体"/>
                <w:b/>
                <w:sz w:val="24"/>
              </w:rPr>
            </w:pPr>
            <w:r>
              <w:rPr>
                <w:rFonts w:hint="eastAsia" w:ascii="宋体" w:hAnsi="宋体" w:cs="宋体"/>
                <w:b/>
                <w:sz w:val="24"/>
              </w:rPr>
              <w:t>服务内容</w:t>
            </w:r>
          </w:p>
        </w:tc>
        <w:tc>
          <w:tcPr>
            <w:tcW w:w="1560" w:type="dxa"/>
            <w:tcMar>
              <w:top w:w="57" w:type="dxa"/>
              <w:left w:w="108" w:type="dxa"/>
              <w:bottom w:w="0" w:type="dxa"/>
              <w:right w:w="108" w:type="dxa"/>
            </w:tcMar>
            <w:vAlign w:val="center"/>
          </w:tcPr>
          <w:p>
            <w:pPr>
              <w:spacing w:line="360" w:lineRule="auto"/>
              <w:ind w:left="52"/>
              <w:jc w:val="center"/>
              <w:rPr>
                <w:rFonts w:ascii="宋体" w:hAnsi="宋体" w:cs="宋体"/>
                <w:b/>
                <w:sz w:val="24"/>
              </w:rPr>
            </w:pPr>
            <w:r>
              <w:rPr>
                <w:rFonts w:hint="eastAsia" w:ascii="宋体" w:hAnsi="宋体" w:cs="宋体"/>
                <w:b/>
                <w:sz w:val="24"/>
              </w:rPr>
              <w:t>招标要求</w:t>
            </w:r>
          </w:p>
        </w:tc>
        <w:tc>
          <w:tcPr>
            <w:tcW w:w="1401" w:type="dxa"/>
            <w:tcMar>
              <w:top w:w="57" w:type="dxa"/>
              <w:left w:w="108" w:type="dxa"/>
              <w:bottom w:w="0" w:type="dxa"/>
              <w:right w:w="108" w:type="dxa"/>
            </w:tcMar>
            <w:vAlign w:val="center"/>
          </w:tcPr>
          <w:p>
            <w:pPr>
              <w:spacing w:line="360" w:lineRule="auto"/>
              <w:jc w:val="center"/>
              <w:rPr>
                <w:rFonts w:ascii="宋体" w:hAnsi="宋体" w:cs="宋体"/>
                <w:b/>
                <w:sz w:val="24"/>
              </w:rPr>
            </w:pPr>
            <w:r>
              <w:rPr>
                <w:rFonts w:hint="eastAsia" w:ascii="宋体" w:hAnsi="宋体" w:cs="宋体"/>
                <w:b/>
                <w:sz w:val="24"/>
              </w:rPr>
              <w:t>投标响应情况</w:t>
            </w:r>
          </w:p>
        </w:tc>
        <w:tc>
          <w:tcPr>
            <w:tcW w:w="1365" w:type="dxa"/>
            <w:tcMar>
              <w:top w:w="57" w:type="dxa"/>
              <w:left w:w="108" w:type="dxa"/>
              <w:bottom w:w="0" w:type="dxa"/>
              <w:right w:w="108" w:type="dxa"/>
            </w:tcMar>
            <w:vAlign w:val="center"/>
          </w:tcPr>
          <w:p>
            <w:pPr>
              <w:spacing w:line="360" w:lineRule="auto"/>
              <w:jc w:val="center"/>
              <w:rPr>
                <w:rFonts w:ascii="宋体" w:hAnsi="宋体" w:cs="宋体"/>
                <w:b/>
                <w:sz w:val="24"/>
              </w:rPr>
            </w:pPr>
            <w:r>
              <w:rPr>
                <w:rFonts w:hint="eastAsia" w:ascii="宋体" w:hAnsi="宋体" w:cs="宋体"/>
                <w:b/>
                <w:sz w:val="24"/>
              </w:rPr>
              <w:t>偏离说明</w:t>
            </w:r>
          </w:p>
        </w:tc>
        <w:tc>
          <w:tcPr>
            <w:tcW w:w="934" w:type="dxa"/>
            <w:tcMar>
              <w:top w:w="57" w:type="dxa"/>
              <w:left w:w="108" w:type="dxa"/>
              <w:bottom w:w="0" w:type="dxa"/>
              <w:right w:w="108" w:type="dxa"/>
            </w:tcMar>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宋体" w:hAnsi="宋体" w:cs="宋体"/>
                <w:sz w:val="24"/>
              </w:rPr>
            </w:pPr>
          </w:p>
        </w:tc>
        <w:tc>
          <w:tcPr>
            <w:tcW w:w="3061" w:type="dxa"/>
            <w:tcMar>
              <w:top w:w="57" w:type="dxa"/>
              <w:left w:w="108" w:type="dxa"/>
              <w:bottom w:w="0" w:type="dxa"/>
              <w:right w:w="108" w:type="dxa"/>
            </w:tcMar>
            <w:vAlign w:val="center"/>
          </w:tcPr>
          <w:p>
            <w:pPr>
              <w:jc w:val="center"/>
              <w:rPr>
                <w:rFonts w:ascii="宋体" w:hAnsi="宋体" w:cs="宋体"/>
                <w:sz w:val="24"/>
              </w:rPr>
            </w:pPr>
          </w:p>
        </w:tc>
        <w:tc>
          <w:tcPr>
            <w:tcW w:w="1560" w:type="dxa"/>
            <w:tcMar>
              <w:top w:w="57" w:type="dxa"/>
              <w:left w:w="108" w:type="dxa"/>
              <w:bottom w:w="0" w:type="dxa"/>
              <w:right w:w="108" w:type="dxa"/>
            </w:tcMar>
            <w:vAlign w:val="center"/>
          </w:tcPr>
          <w:p>
            <w:pPr>
              <w:jc w:val="center"/>
              <w:rPr>
                <w:rFonts w:ascii="宋体" w:hAnsi="宋体" w:cs="宋体"/>
                <w:sz w:val="24"/>
              </w:rPr>
            </w:pPr>
          </w:p>
        </w:tc>
        <w:tc>
          <w:tcPr>
            <w:tcW w:w="1401" w:type="dxa"/>
            <w:tcMar>
              <w:top w:w="57" w:type="dxa"/>
              <w:left w:w="108" w:type="dxa"/>
              <w:bottom w:w="0" w:type="dxa"/>
              <w:right w:w="108" w:type="dxa"/>
            </w:tcMar>
            <w:vAlign w:val="center"/>
          </w:tcPr>
          <w:p>
            <w:pPr>
              <w:jc w:val="center"/>
              <w:rPr>
                <w:rFonts w:ascii="宋体" w:hAnsi="宋体" w:cs="宋体"/>
                <w:sz w:val="24"/>
              </w:rPr>
            </w:pPr>
          </w:p>
        </w:tc>
        <w:tc>
          <w:tcPr>
            <w:tcW w:w="1365" w:type="dxa"/>
            <w:tcMar>
              <w:top w:w="57" w:type="dxa"/>
              <w:left w:w="108" w:type="dxa"/>
              <w:bottom w:w="0" w:type="dxa"/>
              <w:right w:w="108" w:type="dxa"/>
            </w:tcMar>
            <w:vAlign w:val="center"/>
          </w:tcPr>
          <w:p>
            <w:pPr>
              <w:jc w:val="center"/>
              <w:rPr>
                <w:rFonts w:ascii="宋体" w:hAnsi="宋体" w:cs="宋体"/>
                <w:sz w:val="24"/>
              </w:rPr>
            </w:pPr>
          </w:p>
        </w:tc>
        <w:tc>
          <w:tcPr>
            <w:tcW w:w="934" w:type="dxa"/>
            <w:tcMar>
              <w:top w:w="57" w:type="dxa"/>
              <w:left w:w="108" w:type="dxa"/>
              <w:bottom w:w="0" w:type="dxa"/>
              <w:right w:w="108" w:type="dxa"/>
            </w:tcMar>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宋体" w:hAnsi="宋体" w:cs="宋体"/>
                <w:sz w:val="24"/>
              </w:rPr>
            </w:pPr>
          </w:p>
        </w:tc>
        <w:tc>
          <w:tcPr>
            <w:tcW w:w="3061" w:type="dxa"/>
            <w:tcMar>
              <w:top w:w="57" w:type="dxa"/>
              <w:left w:w="108" w:type="dxa"/>
              <w:bottom w:w="0" w:type="dxa"/>
              <w:right w:w="108" w:type="dxa"/>
            </w:tcMar>
            <w:vAlign w:val="center"/>
          </w:tcPr>
          <w:p>
            <w:pPr>
              <w:jc w:val="center"/>
              <w:rPr>
                <w:rFonts w:ascii="宋体" w:hAnsi="宋体" w:cs="宋体"/>
                <w:sz w:val="24"/>
              </w:rPr>
            </w:pPr>
          </w:p>
        </w:tc>
        <w:tc>
          <w:tcPr>
            <w:tcW w:w="1560" w:type="dxa"/>
            <w:tcMar>
              <w:top w:w="57" w:type="dxa"/>
              <w:left w:w="108" w:type="dxa"/>
              <w:bottom w:w="0" w:type="dxa"/>
              <w:right w:w="108" w:type="dxa"/>
            </w:tcMar>
            <w:vAlign w:val="center"/>
          </w:tcPr>
          <w:p>
            <w:pPr>
              <w:jc w:val="center"/>
              <w:rPr>
                <w:rFonts w:ascii="宋体" w:hAnsi="宋体" w:cs="宋体"/>
                <w:sz w:val="24"/>
              </w:rPr>
            </w:pPr>
          </w:p>
        </w:tc>
        <w:tc>
          <w:tcPr>
            <w:tcW w:w="1401" w:type="dxa"/>
            <w:tcMar>
              <w:top w:w="57" w:type="dxa"/>
              <w:left w:w="108" w:type="dxa"/>
              <w:bottom w:w="0" w:type="dxa"/>
              <w:right w:w="108" w:type="dxa"/>
            </w:tcMar>
            <w:vAlign w:val="center"/>
          </w:tcPr>
          <w:p>
            <w:pPr>
              <w:jc w:val="center"/>
              <w:rPr>
                <w:rFonts w:ascii="宋体" w:hAnsi="宋体" w:cs="宋体"/>
                <w:sz w:val="24"/>
              </w:rPr>
            </w:pPr>
          </w:p>
        </w:tc>
        <w:tc>
          <w:tcPr>
            <w:tcW w:w="1365" w:type="dxa"/>
            <w:tcMar>
              <w:top w:w="57" w:type="dxa"/>
              <w:left w:w="108" w:type="dxa"/>
              <w:bottom w:w="0" w:type="dxa"/>
              <w:right w:w="108" w:type="dxa"/>
            </w:tcMar>
            <w:vAlign w:val="center"/>
          </w:tcPr>
          <w:p>
            <w:pPr>
              <w:jc w:val="center"/>
              <w:rPr>
                <w:rFonts w:ascii="宋体" w:hAnsi="宋体" w:cs="宋体"/>
                <w:sz w:val="24"/>
              </w:rPr>
            </w:pPr>
          </w:p>
        </w:tc>
        <w:tc>
          <w:tcPr>
            <w:tcW w:w="934" w:type="dxa"/>
            <w:tcMar>
              <w:top w:w="57" w:type="dxa"/>
              <w:left w:w="108" w:type="dxa"/>
              <w:bottom w:w="0" w:type="dxa"/>
              <w:right w:w="108" w:type="dxa"/>
            </w:tcMar>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宋体" w:hAnsi="宋体" w:cs="宋体"/>
                <w:sz w:val="24"/>
              </w:rPr>
            </w:pPr>
          </w:p>
        </w:tc>
        <w:tc>
          <w:tcPr>
            <w:tcW w:w="3061" w:type="dxa"/>
            <w:tcMar>
              <w:top w:w="57" w:type="dxa"/>
              <w:left w:w="108" w:type="dxa"/>
              <w:bottom w:w="0" w:type="dxa"/>
              <w:right w:w="108" w:type="dxa"/>
            </w:tcMar>
            <w:vAlign w:val="center"/>
          </w:tcPr>
          <w:p>
            <w:pPr>
              <w:jc w:val="center"/>
              <w:rPr>
                <w:rFonts w:ascii="宋体" w:hAnsi="宋体" w:cs="宋体"/>
                <w:sz w:val="24"/>
              </w:rPr>
            </w:pPr>
          </w:p>
        </w:tc>
        <w:tc>
          <w:tcPr>
            <w:tcW w:w="1560" w:type="dxa"/>
            <w:tcMar>
              <w:top w:w="57" w:type="dxa"/>
              <w:left w:w="108" w:type="dxa"/>
              <w:bottom w:w="0" w:type="dxa"/>
              <w:right w:w="108" w:type="dxa"/>
            </w:tcMar>
            <w:vAlign w:val="center"/>
          </w:tcPr>
          <w:p>
            <w:pPr>
              <w:jc w:val="center"/>
              <w:rPr>
                <w:rFonts w:ascii="宋体" w:hAnsi="宋体" w:cs="宋体"/>
                <w:sz w:val="24"/>
              </w:rPr>
            </w:pPr>
          </w:p>
        </w:tc>
        <w:tc>
          <w:tcPr>
            <w:tcW w:w="1401" w:type="dxa"/>
            <w:tcMar>
              <w:top w:w="57" w:type="dxa"/>
              <w:left w:w="108" w:type="dxa"/>
              <w:bottom w:w="0" w:type="dxa"/>
              <w:right w:w="108" w:type="dxa"/>
            </w:tcMar>
            <w:vAlign w:val="center"/>
          </w:tcPr>
          <w:p>
            <w:pPr>
              <w:jc w:val="center"/>
              <w:rPr>
                <w:rFonts w:ascii="宋体" w:hAnsi="宋体" w:cs="宋体"/>
                <w:sz w:val="24"/>
              </w:rPr>
            </w:pPr>
          </w:p>
        </w:tc>
        <w:tc>
          <w:tcPr>
            <w:tcW w:w="1365" w:type="dxa"/>
            <w:tcMar>
              <w:top w:w="57" w:type="dxa"/>
              <w:left w:w="108" w:type="dxa"/>
              <w:bottom w:w="0" w:type="dxa"/>
              <w:right w:w="108" w:type="dxa"/>
            </w:tcMar>
            <w:vAlign w:val="center"/>
          </w:tcPr>
          <w:p>
            <w:pPr>
              <w:jc w:val="center"/>
              <w:rPr>
                <w:rFonts w:ascii="宋体" w:hAnsi="宋体" w:cs="宋体"/>
                <w:sz w:val="24"/>
              </w:rPr>
            </w:pPr>
          </w:p>
        </w:tc>
        <w:tc>
          <w:tcPr>
            <w:tcW w:w="934" w:type="dxa"/>
            <w:tcMar>
              <w:top w:w="57" w:type="dxa"/>
              <w:left w:w="108" w:type="dxa"/>
              <w:bottom w:w="0" w:type="dxa"/>
              <w:right w:w="108" w:type="dxa"/>
            </w:tcMar>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宋体" w:hAnsi="宋体" w:cs="宋体"/>
                <w:sz w:val="24"/>
              </w:rPr>
            </w:pPr>
          </w:p>
        </w:tc>
        <w:tc>
          <w:tcPr>
            <w:tcW w:w="3061" w:type="dxa"/>
            <w:tcMar>
              <w:top w:w="57" w:type="dxa"/>
              <w:left w:w="108" w:type="dxa"/>
              <w:bottom w:w="0" w:type="dxa"/>
              <w:right w:w="108" w:type="dxa"/>
            </w:tcMar>
            <w:vAlign w:val="center"/>
          </w:tcPr>
          <w:p>
            <w:pPr>
              <w:jc w:val="center"/>
              <w:rPr>
                <w:rFonts w:ascii="宋体" w:hAnsi="宋体" w:cs="宋体"/>
                <w:sz w:val="24"/>
              </w:rPr>
            </w:pPr>
          </w:p>
        </w:tc>
        <w:tc>
          <w:tcPr>
            <w:tcW w:w="1560" w:type="dxa"/>
            <w:tcMar>
              <w:top w:w="57" w:type="dxa"/>
              <w:left w:w="108" w:type="dxa"/>
              <w:bottom w:w="0" w:type="dxa"/>
              <w:right w:w="108" w:type="dxa"/>
            </w:tcMar>
            <w:vAlign w:val="center"/>
          </w:tcPr>
          <w:p>
            <w:pPr>
              <w:jc w:val="center"/>
              <w:rPr>
                <w:rFonts w:ascii="宋体" w:hAnsi="宋体" w:cs="宋体"/>
                <w:sz w:val="24"/>
              </w:rPr>
            </w:pPr>
          </w:p>
        </w:tc>
        <w:tc>
          <w:tcPr>
            <w:tcW w:w="1401" w:type="dxa"/>
            <w:tcMar>
              <w:top w:w="57" w:type="dxa"/>
              <w:left w:w="108" w:type="dxa"/>
              <w:bottom w:w="0" w:type="dxa"/>
              <w:right w:w="108" w:type="dxa"/>
            </w:tcMar>
            <w:vAlign w:val="center"/>
          </w:tcPr>
          <w:p>
            <w:pPr>
              <w:jc w:val="center"/>
              <w:rPr>
                <w:rFonts w:ascii="宋体" w:hAnsi="宋体" w:cs="宋体"/>
                <w:sz w:val="24"/>
              </w:rPr>
            </w:pPr>
          </w:p>
        </w:tc>
        <w:tc>
          <w:tcPr>
            <w:tcW w:w="1365" w:type="dxa"/>
            <w:tcMar>
              <w:top w:w="57" w:type="dxa"/>
              <w:left w:w="108" w:type="dxa"/>
              <w:bottom w:w="0" w:type="dxa"/>
              <w:right w:w="108" w:type="dxa"/>
            </w:tcMar>
            <w:vAlign w:val="center"/>
          </w:tcPr>
          <w:p>
            <w:pPr>
              <w:jc w:val="center"/>
              <w:rPr>
                <w:rFonts w:ascii="宋体" w:hAnsi="宋体" w:cs="宋体"/>
                <w:sz w:val="24"/>
              </w:rPr>
            </w:pPr>
          </w:p>
        </w:tc>
        <w:tc>
          <w:tcPr>
            <w:tcW w:w="934" w:type="dxa"/>
            <w:tcMar>
              <w:top w:w="57" w:type="dxa"/>
              <w:left w:w="108" w:type="dxa"/>
              <w:bottom w:w="0" w:type="dxa"/>
              <w:right w:w="108" w:type="dxa"/>
            </w:tcMar>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宋体" w:hAnsi="宋体" w:cs="宋体"/>
                <w:sz w:val="24"/>
              </w:rPr>
            </w:pPr>
          </w:p>
        </w:tc>
        <w:tc>
          <w:tcPr>
            <w:tcW w:w="3061" w:type="dxa"/>
            <w:tcMar>
              <w:top w:w="57" w:type="dxa"/>
              <w:left w:w="108" w:type="dxa"/>
              <w:bottom w:w="0" w:type="dxa"/>
              <w:right w:w="108" w:type="dxa"/>
            </w:tcMar>
            <w:vAlign w:val="center"/>
          </w:tcPr>
          <w:p>
            <w:pPr>
              <w:jc w:val="center"/>
              <w:rPr>
                <w:rFonts w:ascii="宋体" w:hAnsi="宋体" w:cs="宋体"/>
                <w:sz w:val="24"/>
              </w:rPr>
            </w:pPr>
          </w:p>
        </w:tc>
        <w:tc>
          <w:tcPr>
            <w:tcW w:w="1560" w:type="dxa"/>
            <w:tcMar>
              <w:top w:w="57" w:type="dxa"/>
              <w:left w:w="108" w:type="dxa"/>
              <w:bottom w:w="0" w:type="dxa"/>
              <w:right w:w="108" w:type="dxa"/>
            </w:tcMar>
            <w:vAlign w:val="center"/>
          </w:tcPr>
          <w:p>
            <w:pPr>
              <w:jc w:val="center"/>
              <w:rPr>
                <w:rFonts w:ascii="宋体" w:hAnsi="宋体" w:cs="宋体"/>
                <w:sz w:val="24"/>
              </w:rPr>
            </w:pPr>
          </w:p>
        </w:tc>
        <w:tc>
          <w:tcPr>
            <w:tcW w:w="1401" w:type="dxa"/>
            <w:tcMar>
              <w:top w:w="57" w:type="dxa"/>
              <w:left w:w="108" w:type="dxa"/>
              <w:bottom w:w="0" w:type="dxa"/>
              <w:right w:w="108" w:type="dxa"/>
            </w:tcMar>
            <w:vAlign w:val="center"/>
          </w:tcPr>
          <w:p>
            <w:pPr>
              <w:jc w:val="center"/>
              <w:rPr>
                <w:rFonts w:ascii="宋体" w:hAnsi="宋体" w:cs="宋体"/>
                <w:sz w:val="24"/>
              </w:rPr>
            </w:pPr>
          </w:p>
        </w:tc>
        <w:tc>
          <w:tcPr>
            <w:tcW w:w="1365" w:type="dxa"/>
            <w:tcMar>
              <w:top w:w="57" w:type="dxa"/>
              <w:left w:w="108" w:type="dxa"/>
              <w:bottom w:w="0" w:type="dxa"/>
              <w:right w:w="108" w:type="dxa"/>
            </w:tcMar>
            <w:vAlign w:val="center"/>
          </w:tcPr>
          <w:p>
            <w:pPr>
              <w:jc w:val="center"/>
              <w:rPr>
                <w:rFonts w:ascii="宋体" w:hAnsi="宋体" w:cs="宋体"/>
                <w:sz w:val="24"/>
              </w:rPr>
            </w:pPr>
          </w:p>
        </w:tc>
        <w:tc>
          <w:tcPr>
            <w:tcW w:w="934" w:type="dxa"/>
            <w:tcMar>
              <w:top w:w="57" w:type="dxa"/>
              <w:left w:w="108" w:type="dxa"/>
              <w:bottom w:w="0" w:type="dxa"/>
              <w:right w:w="108" w:type="dxa"/>
            </w:tcMar>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宋体" w:hAnsi="宋体" w:cs="宋体"/>
                <w:sz w:val="24"/>
              </w:rPr>
            </w:pPr>
          </w:p>
        </w:tc>
        <w:tc>
          <w:tcPr>
            <w:tcW w:w="3061" w:type="dxa"/>
            <w:tcMar>
              <w:top w:w="57" w:type="dxa"/>
              <w:left w:w="108" w:type="dxa"/>
              <w:bottom w:w="0" w:type="dxa"/>
              <w:right w:w="108" w:type="dxa"/>
            </w:tcMar>
            <w:vAlign w:val="center"/>
          </w:tcPr>
          <w:p>
            <w:pPr>
              <w:jc w:val="center"/>
              <w:rPr>
                <w:rFonts w:ascii="宋体" w:hAnsi="宋体" w:cs="宋体"/>
                <w:sz w:val="24"/>
              </w:rPr>
            </w:pPr>
          </w:p>
        </w:tc>
        <w:tc>
          <w:tcPr>
            <w:tcW w:w="1560" w:type="dxa"/>
            <w:tcMar>
              <w:top w:w="57" w:type="dxa"/>
              <w:left w:w="108" w:type="dxa"/>
              <w:bottom w:w="0" w:type="dxa"/>
              <w:right w:w="108" w:type="dxa"/>
            </w:tcMar>
            <w:vAlign w:val="center"/>
          </w:tcPr>
          <w:p>
            <w:pPr>
              <w:jc w:val="center"/>
              <w:rPr>
                <w:rFonts w:ascii="宋体" w:hAnsi="宋体" w:cs="宋体"/>
                <w:sz w:val="24"/>
              </w:rPr>
            </w:pPr>
          </w:p>
        </w:tc>
        <w:tc>
          <w:tcPr>
            <w:tcW w:w="1401" w:type="dxa"/>
            <w:tcMar>
              <w:top w:w="57" w:type="dxa"/>
              <w:left w:w="108" w:type="dxa"/>
              <w:bottom w:w="0" w:type="dxa"/>
              <w:right w:w="108" w:type="dxa"/>
            </w:tcMar>
            <w:vAlign w:val="center"/>
          </w:tcPr>
          <w:p>
            <w:pPr>
              <w:jc w:val="center"/>
              <w:rPr>
                <w:rFonts w:ascii="宋体" w:hAnsi="宋体" w:cs="宋体"/>
                <w:sz w:val="24"/>
              </w:rPr>
            </w:pPr>
          </w:p>
        </w:tc>
        <w:tc>
          <w:tcPr>
            <w:tcW w:w="1365" w:type="dxa"/>
            <w:tcMar>
              <w:top w:w="57" w:type="dxa"/>
              <w:left w:w="108" w:type="dxa"/>
              <w:bottom w:w="0" w:type="dxa"/>
              <w:right w:w="108" w:type="dxa"/>
            </w:tcMar>
            <w:vAlign w:val="center"/>
          </w:tcPr>
          <w:p>
            <w:pPr>
              <w:jc w:val="center"/>
              <w:rPr>
                <w:rFonts w:ascii="宋体" w:hAnsi="宋体" w:cs="宋体"/>
                <w:sz w:val="24"/>
              </w:rPr>
            </w:pPr>
          </w:p>
        </w:tc>
        <w:tc>
          <w:tcPr>
            <w:tcW w:w="934" w:type="dxa"/>
            <w:tcMar>
              <w:top w:w="57" w:type="dxa"/>
              <w:left w:w="108" w:type="dxa"/>
              <w:bottom w:w="0" w:type="dxa"/>
              <w:right w:w="108" w:type="dxa"/>
            </w:tcMar>
            <w:vAlign w:val="center"/>
          </w:tcPr>
          <w:p>
            <w:pPr>
              <w:jc w:val="center"/>
              <w:rPr>
                <w:rFonts w:ascii="宋体" w:hAnsi="宋体" w:cs="宋体"/>
                <w:sz w:val="24"/>
              </w:rPr>
            </w:pPr>
          </w:p>
        </w:tc>
      </w:tr>
    </w:tbl>
    <w:p>
      <w:pPr>
        <w:pStyle w:val="36"/>
        <w:tabs>
          <w:tab w:val="left" w:pos="360"/>
        </w:tabs>
        <w:spacing w:line="360" w:lineRule="auto"/>
        <w:ind w:right="84" w:rightChars="40"/>
        <w:rPr>
          <w:rFonts w:ascii="宋体"/>
          <w:b/>
          <w:sz w:val="24"/>
          <w:szCs w:val="24"/>
        </w:rPr>
      </w:pPr>
      <w:r>
        <w:rPr>
          <w:rFonts w:hint="eastAsia" w:ascii="宋体"/>
          <w:b/>
          <w:sz w:val="24"/>
          <w:szCs w:val="24"/>
        </w:rPr>
        <w:t>要求：</w:t>
      </w:r>
    </w:p>
    <w:p>
      <w:pPr>
        <w:pStyle w:val="36"/>
        <w:tabs>
          <w:tab w:val="left" w:pos="360"/>
        </w:tabs>
        <w:spacing w:line="360" w:lineRule="auto"/>
        <w:ind w:right="84" w:rightChars="40" w:firstLine="480" w:firstLineChars="200"/>
        <w:rPr>
          <w:rFonts w:ascii="宋体"/>
          <w:sz w:val="24"/>
          <w:szCs w:val="24"/>
        </w:rPr>
      </w:pPr>
      <w:r>
        <w:rPr>
          <w:rFonts w:hint="eastAsia" w:ascii="宋体"/>
          <w:sz w:val="24"/>
          <w:szCs w:val="24"/>
        </w:rPr>
        <w:t>1. 本表的名称须与《报价明细表》一致。</w:t>
      </w:r>
    </w:p>
    <w:p>
      <w:pPr>
        <w:pStyle w:val="36"/>
        <w:spacing w:line="360" w:lineRule="auto"/>
        <w:ind w:right="84" w:rightChars="40" w:firstLine="480" w:firstLineChars="200"/>
        <w:rPr>
          <w:rFonts w:ascii="宋体"/>
          <w:sz w:val="24"/>
          <w:szCs w:val="24"/>
        </w:rPr>
      </w:pPr>
      <w:r>
        <w:rPr>
          <w:rFonts w:hint="eastAsia" w:ascii="宋体"/>
          <w:sz w:val="24"/>
          <w:szCs w:val="24"/>
        </w:rPr>
        <w:t>2.本表参照本招标文件第二部分“招标需求”内第二条“具体技术需求”填制，投标人应根据投标设备的性能指标、服务指标，对照招标文件要求在“偏离情况”栏注明“正偏离”、“负偏离”或“无偏离”。</w:t>
      </w:r>
    </w:p>
    <w:p>
      <w:pPr>
        <w:pStyle w:val="36"/>
        <w:spacing w:line="360" w:lineRule="auto"/>
        <w:ind w:right="84" w:rightChars="40" w:firstLine="480" w:firstLineChars="200"/>
        <w:rPr>
          <w:rFonts w:ascii="宋体"/>
          <w:sz w:val="24"/>
          <w:szCs w:val="24"/>
        </w:rPr>
      </w:pPr>
      <w:r>
        <w:rPr>
          <w:rFonts w:hint="eastAsia" w:ascii="宋体"/>
          <w:sz w:val="24"/>
          <w:szCs w:val="24"/>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法定代表人（单位负责人）或授权委托代理人（签字或盖章）：</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sz w:val="24"/>
        </w:rPr>
      </w:pPr>
      <w:r>
        <w:rPr>
          <w:rFonts w:hint="eastAsia" w:ascii="宋体" w:hAnsi="宋体"/>
          <w:b/>
          <w:sz w:val="28"/>
        </w:rPr>
        <w:t>附件5</w:t>
      </w:r>
    </w:p>
    <w:p>
      <w:pPr>
        <w:snapToGrid w:val="0"/>
        <w:spacing w:line="360" w:lineRule="auto"/>
        <w:jc w:val="center"/>
        <w:rPr>
          <w:rFonts w:ascii="宋体" w:hAnsi="宋体"/>
          <w:b/>
          <w:sz w:val="32"/>
          <w:szCs w:val="32"/>
        </w:rPr>
      </w:pPr>
      <w:bookmarkStart w:id="52" w:name="_Toc23671_WPSOffice_Level1"/>
      <w:bookmarkStart w:id="53" w:name="_Toc20569_WPSOffice_Level1"/>
      <w:r>
        <w:rPr>
          <w:rFonts w:hint="eastAsia" w:ascii="宋体" w:hAnsi="宋体"/>
          <w:b/>
          <w:sz w:val="32"/>
          <w:szCs w:val="32"/>
        </w:rPr>
        <w:t>项目实施人员一览表</w:t>
      </w:r>
      <w:bookmarkEnd w:id="52"/>
      <w:bookmarkEnd w:id="53"/>
      <w:r>
        <w:rPr>
          <w:rFonts w:hint="eastAsia" w:ascii="宋体" w:hAnsi="宋体" w:cs="宋体"/>
          <w:b/>
          <w:sz w:val="32"/>
          <w:szCs w:val="32"/>
        </w:rPr>
        <w:t>（标项  ）</w:t>
      </w:r>
    </w:p>
    <w:p>
      <w:pPr>
        <w:snapToGrid w:val="0"/>
        <w:spacing w:line="360" w:lineRule="auto"/>
        <w:jc w:val="center"/>
        <w:rPr>
          <w:rFonts w:ascii="宋体" w:hAnsi="宋体"/>
          <w:sz w:val="24"/>
        </w:rPr>
      </w:pPr>
      <w:r>
        <w:rPr>
          <w:rFonts w:hint="eastAsia" w:ascii="宋体" w:hAnsi="宋体"/>
          <w:sz w:val="24"/>
        </w:rPr>
        <w:t>（主要从业人员及其技术资格）</w:t>
      </w:r>
    </w:p>
    <w:p>
      <w:pPr>
        <w:spacing w:line="360" w:lineRule="auto"/>
      </w:pPr>
      <w:r>
        <w:rPr>
          <w:rFonts w:hint="eastAsia" w:ascii="宋体" w:hAnsi="宋体" w:cs="宋体"/>
          <w:sz w:val="24"/>
        </w:rPr>
        <w:t>采购项目：                                           项目编号：</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20"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20"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5"/>
        <w:spacing w:line="360" w:lineRule="auto"/>
        <w:ind w:left="424" w:leftChars="202"/>
        <w:rPr>
          <w:rFonts w:ascii="宋体" w:hAnsi="宋体"/>
          <w:szCs w:val="21"/>
        </w:rPr>
      </w:pPr>
      <w:r>
        <w:rPr>
          <w:rFonts w:hint="eastAsia" w:ascii="宋体" w:hAnsi="宋体"/>
          <w:szCs w:val="21"/>
        </w:rPr>
        <w:t>2.附人员证书。</w:t>
      </w:r>
    </w:p>
    <w:p>
      <w:pPr>
        <w:pStyle w:val="35"/>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投标截至日之前</w:t>
      </w:r>
      <w:r>
        <w:rPr>
          <w:rFonts w:hint="eastAsia" w:ascii="宋体" w:hAnsi="宋体"/>
          <w:szCs w:val="21"/>
        </w:rPr>
        <w:t>三</w:t>
      </w:r>
      <w:r>
        <w:rPr>
          <w:rFonts w:ascii="宋体" w:hAnsi="宋体"/>
          <w:szCs w:val="21"/>
        </w:rPr>
        <w:t>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法定代表人（单位负责人）或授权委托代理人（签字或盖章）：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2"/>
      </w:pPr>
    </w:p>
    <w:p>
      <w:pPr>
        <w:spacing w:line="360" w:lineRule="auto"/>
        <w:rPr>
          <w:rFonts w:ascii="宋体" w:hAnsi="宋体"/>
        </w:rPr>
      </w:pPr>
      <w:r>
        <w:rPr>
          <w:rFonts w:hint="eastAsia" w:ascii="宋体" w:hAnsi="宋体"/>
          <w:b/>
          <w:sz w:val="28"/>
        </w:rPr>
        <w:t>附件6</w:t>
      </w:r>
    </w:p>
    <w:p>
      <w:pPr>
        <w:spacing w:before="120" w:beforeLines="50" w:after="120" w:afterLines="50" w:line="360" w:lineRule="auto"/>
        <w:ind w:right="-10"/>
        <w:jc w:val="center"/>
        <w:rPr>
          <w:rFonts w:ascii="宋体" w:hAnsi="宋体" w:cs="宋体"/>
          <w:b/>
          <w:sz w:val="32"/>
          <w:szCs w:val="32"/>
        </w:rPr>
      </w:pPr>
      <w:r>
        <w:rPr>
          <w:rFonts w:hint="eastAsia" w:ascii="宋体" w:hAnsi="宋体"/>
          <w:b/>
          <w:bCs/>
          <w:sz w:val="32"/>
          <w:szCs w:val="32"/>
        </w:rPr>
        <w:t>服务（部门）机构总负责人情况表</w:t>
      </w:r>
      <w:r>
        <w:rPr>
          <w:rFonts w:hint="eastAsia" w:ascii="宋体" w:hAnsi="宋体" w:cs="宋体"/>
          <w:b/>
          <w:sz w:val="32"/>
          <w:szCs w:val="32"/>
        </w:rPr>
        <w:t>（标项  ）</w:t>
      </w:r>
    </w:p>
    <w:p>
      <w:pPr>
        <w:spacing w:line="360" w:lineRule="auto"/>
        <w:rPr>
          <w:rFonts w:ascii="宋体" w:hAnsi="宋体" w:cs="宋体"/>
          <w:sz w:val="24"/>
        </w:rPr>
      </w:pPr>
      <w:r>
        <w:rPr>
          <w:rFonts w:hint="eastAsia" w:ascii="宋体" w:hAnsi="宋体" w:cs="宋体"/>
          <w:sz w:val="24"/>
        </w:rPr>
        <w:t>采购项目：                                           项目编号：</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法定代表人（单位负责人）或授权委托代理人（签字或盖章）：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hint="eastAsia" w:ascii="宋体" w:hAnsi="宋体"/>
          <w:b/>
          <w:sz w:val="28"/>
        </w:rPr>
        <w:t xml:space="preserve">附件7                 </w:t>
      </w:r>
    </w:p>
    <w:p>
      <w:pPr>
        <w:snapToGrid w:val="0"/>
        <w:spacing w:before="50" w:after="50" w:line="360" w:lineRule="auto"/>
        <w:jc w:val="center"/>
        <w:rPr>
          <w:rFonts w:ascii="宋体" w:hAnsi="宋体" w:cs="宋体"/>
          <w:b/>
          <w:sz w:val="32"/>
          <w:szCs w:val="32"/>
        </w:rPr>
      </w:pPr>
      <w:r>
        <w:rPr>
          <w:rFonts w:hint="eastAsia" w:ascii="宋体" w:hAnsi="宋体" w:cs="宋体"/>
          <w:b/>
          <w:sz w:val="32"/>
          <w:szCs w:val="32"/>
        </w:rPr>
        <w:t>投标人类似项目实施情况一览表（标项  ）</w:t>
      </w:r>
    </w:p>
    <w:p>
      <w:pPr>
        <w:spacing w:line="360" w:lineRule="auto"/>
        <w:rPr>
          <w:rFonts w:ascii="宋体" w:hAnsi="宋体" w:cs="宋体"/>
          <w:sz w:val="24"/>
        </w:rPr>
      </w:pPr>
      <w:r>
        <w:rPr>
          <w:rFonts w:hint="eastAsia" w:ascii="宋体" w:hAnsi="宋体" w:cs="宋体"/>
          <w:sz w:val="24"/>
        </w:rPr>
        <w:t>采购项目：                                           项目编号：</w:t>
      </w:r>
    </w:p>
    <w:tbl>
      <w:tblPr>
        <w:tblStyle w:val="23"/>
        <w:tblW w:w="8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2127"/>
        <w:gridCol w:w="1408"/>
        <w:gridCol w:w="1311"/>
        <w:gridCol w:w="1230"/>
        <w:gridCol w:w="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5"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序号</w:t>
            </w:r>
          </w:p>
        </w:tc>
        <w:tc>
          <w:tcPr>
            <w:tcW w:w="2127"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项目名称</w:t>
            </w:r>
          </w:p>
        </w:tc>
        <w:tc>
          <w:tcPr>
            <w:tcW w:w="1408"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项目地址</w:t>
            </w:r>
          </w:p>
        </w:tc>
        <w:tc>
          <w:tcPr>
            <w:tcW w:w="1311"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保费金额</w:t>
            </w:r>
          </w:p>
        </w:tc>
        <w:tc>
          <w:tcPr>
            <w:tcW w:w="1230"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实施时间</w:t>
            </w:r>
          </w:p>
        </w:tc>
        <w:tc>
          <w:tcPr>
            <w:tcW w:w="1989"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宋体"/>
                <w:sz w:val="24"/>
              </w:rPr>
            </w:pPr>
            <w:r>
              <w:rPr>
                <w:rFonts w:hint="eastAsia" w:ascii="宋体" w:hAnsi="宋体" w:cs="宋体"/>
                <w:sz w:val="24"/>
              </w:rPr>
              <w:t>1</w:t>
            </w: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宋体"/>
                <w:sz w:val="24"/>
              </w:rPr>
            </w:pPr>
            <w:r>
              <w:rPr>
                <w:rFonts w:hint="eastAsia" w:ascii="宋体" w:hAnsi="宋体" w:cs="宋体"/>
                <w:sz w:val="24"/>
              </w:rPr>
              <w:t>2</w:t>
            </w: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宋体"/>
                <w:sz w:val="24"/>
              </w:rPr>
            </w:pPr>
            <w:r>
              <w:rPr>
                <w:rFonts w:hint="eastAsia" w:ascii="宋体" w:hAnsi="宋体" w:cs="宋体"/>
                <w:sz w:val="24"/>
              </w:rPr>
              <w:t>3</w:t>
            </w: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宋体"/>
                <w:sz w:val="24"/>
              </w:rPr>
            </w:pPr>
            <w:r>
              <w:rPr>
                <w:rFonts w:hint="eastAsia" w:ascii="宋体" w:hAnsi="宋体" w:cs="宋体"/>
                <w:sz w:val="24"/>
              </w:rPr>
              <w:t>…</w:t>
            </w: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bl>
    <w:p>
      <w:pPr>
        <w:autoSpaceDE w:val="0"/>
        <w:autoSpaceDN w:val="0"/>
        <w:adjustRightInd w:val="0"/>
        <w:spacing w:before="120" w:beforeLines="50" w:line="360" w:lineRule="auto"/>
        <w:rPr>
          <w:rFonts w:ascii="宋体" w:hAnsi="宋体" w:cs="宋体"/>
          <w:b/>
          <w:sz w:val="24"/>
        </w:rPr>
      </w:pPr>
      <w:r>
        <w:rPr>
          <w:rFonts w:hint="eastAsia" w:ascii="宋体" w:hAnsi="宋体" w:cs="宋体"/>
          <w:b/>
          <w:sz w:val="24"/>
        </w:rPr>
        <w:t>要求：</w:t>
      </w:r>
    </w:p>
    <w:p>
      <w:pPr>
        <w:autoSpaceDE w:val="0"/>
        <w:autoSpaceDN w:val="0"/>
        <w:adjustRightInd w:val="0"/>
        <w:spacing w:before="120" w:beforeLines="50" w:line="360" w:lineRule="auto"/>
        <w:ind w:firstLine="484" w:firstLineChars="202"/>
        <w:rPr>
          <w:rFonts w:ascii="宋体" w:hAnsi="宋体" w:cs="宋体"/>
          <w:b/>
          <w:sz w:val="24"/>
        </w:rPr>
      </w:pPr>
      <w:r>
        <w:rPr>
          <w:rFonts w:hint="eastAsia" w:ascii="宋体" w:hAnsi="宋体" w:cs="宋体"/>
          <w:sz w:val="24"/>
        </w:rPr>
        <w:t>1.业绩证明应提供证明材料（合同复印件可只提供首页、含保险费金额页、保险责任页、盖章页并加盖投标人公章，开标时带原件备查）；</w:t>
      </w:r>
    </w:p>
    <w:p>
      <w:pPr>
        <w:spacing w:line="360" w:lineRule="auto"/>
        <w:ind w:firstLine="484" w:firstLineChars="202"/>
        <w:jc w:val="left"/>
        <w:rPr>
          <w:rFonts w:ascii="宋体" w:hAnsi="宋体" w:cs="宋体"/>
          <w:sz w:val="24"/>
        </w:rPr>
      </w:pPr>
      <w:r>
        <w:rPr>
          <w:rFonts w:hint="eastAsia" w:ascii="宋体" w:hAnsi="宋体" w:cs="宋体"/>
          <w:sz w:val="24"/>
        </w:rPr>
        <w:t>2.报价供应商可按此表格式复制。</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法定代表人（单位负责人）或授权委托代理人（签字或盖章）：</w:t>
      </w:r>
    </w:p>
    <w:p>
      <w:pPr>
        <w:spacing w:line="360" w:lineRule="auto"/>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日        期：</w:t>
      </w:r>
    </w:p>
    <w:p>
      <w:pPr>
        <w:spacing w:line="360" w:lineRule="auto"/>
        <w:jc w:val="center"/>
        <w:rPr>
          <w:rFonts w:ascii="宋体" w:hAnsi="宋体" w:cs="宋体"/>
          <w:snapToGrid w:val="0"/>
          <w:kern w:val="0"/>
          <w:sz w:val="24"/>
        </w:rPr>
      </w:pPr>
    </w:p>
    <w:p>
      <w:pPr>
        <w:pStyle w:val="11"/>
        <w:ind w:firstLine="562"/>
        <w:rPr>
          <w:rFonts w:ascii="宋体" w:hAnsi="宋体"/>
          <w:b/>
          <w:sz w:val="28"/>
        </w:rPr>
      </w:pPr>
    </w:p>
    <w:p>
      <w:pPr>
        <w:pStyle w:val="12"/>
        <w:rPr>
          <w:rFonts w:ascii="宋体" w:hAnsi="宋体"/>
          <w:b/>
          <w:sz w:val="28"/>
        </w:rPr>
      </w:pPr>
    </w:p>
    <w:p/>
    <w:p>
      <w:pPr>
        <w:pStyle w:val="37"/>
        <w:spacing w:line="360" w:lineRule="auto"/>
        <w:jc w:val="left"/>
        <w:rPr>
          <w:rFonts w:ascii="宋体" w:hAnsi="宋体"/>
          <w:b/>
          <w:sz w:val="28"/>
        </w:rPr>
      </w:pPr>
      <w:r>
        <w:rPr>
          <w:rFonts w:hint="eastAsia" w:ascii="宋体" w:hAnsi="宋体"/>
          <w:b/>
          <w:sz w:val="28"/>
        </w:rPr>
        <w:t>附件8</w:t>
      </w:r>
    </w:p>
    <w:p>
      <w:pPr>
        <w:spacing w:line="360" w:lineRule="auto"/>
        <w:ind w:left="549" w:hanging="549" w:hangingChars="171"/>
        <w:jc w:val="center"/>
        <w:rPr>
          <w:rFonts w:ascii="宋体" w:hAnsi="宋体" w:cs="宋体"/>
          <w:b/>
          <w:sz w:val="32"/>
          <w:szCs w:val="32"/>
        </w:rPr>
      </w:pPr>
      <w:bookmarkStart w:id="54" w:name="_Toc11030_WPSOffice_Level1"/>
      <w:bookmarkStart w:id="55" w:name="_Toc17604_WPSOffice_Level1"/>
      <w:r>
        <w:rPr>
          <w:rFonts w:hint="eastAsia" w:ascii="宋体" w:hAnsi="宋体" w:cs="宋体"/>
          <w:b/>
          <w:sz w:val="32"/>
          <w:szCs w:val="32"/>
        </w:rPr>
        <w:t>资信及商务需求响应表（标项  ）</w:t>
      </w:r>
    </w:p>
    <w:p>
      <w:pPr>
        <w:spacing w:line="360" w:lineRule="auto"/>
        <w:ind w:left="481" w:leftChars="229" w:firstLine="813" w:firstLineChars="450"/>
        <w:rPr>
          <w:rFonts w:ascii="宋体" w:hAnsi="宋体" w:cs="宋体"/>
          <w:b/>
          <w:sz w:val="18"/>
          <w:szCs w:val="18"/>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pPr>
              <w:spacing w:line="360" w:lineRule="auto"/>
              <w:rPr>
                <w:rFonts w:ascii="宋体" w:hAnsi="宋体" w:cs="宋体"/>
                <w:b/>
                <w:sz w:val="24"/>
              </w:rPr>
            </w:pPr>
            <w:r>
              <w:rPr>
                <w:rFonts w:hint="eastAsia" w:ascii="宋体" w:hAnsi="宋体" w:cs="宋体"/>
                <w:b/>
                <w:sz w:val="24"/>
              </w:rPr>
              <w:t>序号</w:t>
            </w:r>
          </w:p>
        </w:tc>
        <w:tc>
          <w:tcPr>
            <w:tcW w:w="2029" w:type="dxa"/>
            <w:vAlign w:val="center"/>
          </w:tcPr>
          <w:p>
            <w:pPr>
              <w:spacing w:line="360" w:lineRule="auto"/>
              <w:rPr>
                <w:rFonts w:ascii="宋体" w:hAnsi="宋体" w:cs="宋体"/>
                <w:b/>
                <w:sz w:val="24"/>
              </w:rPr>
            </w:pPr>
            <w:r>
              <w:rPr>
                <w:rFonts w:hint="eastAsia" w:ascii="宋体" w:hAnsi="宋体" w:cs="宋体"/>
                <w:b/>
                <w:sz w:val="24"/>
              </w:rPr>
              <w:t xml:space="preserve">   内容</w:t>
            </w:r>
          </w:p>
        </w:tc>
        <w:tc>
          <w:tcPr>
            <w:tcW w:w="1541" w:type="dxa"/>
            <w:vAlign w:val="center"/>
          </w:tcPr>
          <w:p>
            <w:pPr>
              <w:spacing w:line="360" w:lineRule="auto"/>
              <w:ind w:left="53" w:leftChars="25" w:firstLine="241" w:firstLineChars="100"/>
              <w:rPr>
                <w:rFonts w:ascii="宋体" w:hAnsi="宋体" w:cs="宋体"/>
                <w:b/>
                <w:sz w:val="24"/>
              </w:rPr>
            </w:pPr>
            <w:r>
              <w:rPr>
                <w:rFonts w:hint="eastAsia" w:ascii="宋体" w:hAnsi="宋体" w:cs="宋体"/>
                <w:b/>
                <w:sz w:val="24"/>
              </w:rPr>
              <w:t>招标需求</w:t>
            </w:r>
          </w:p>
        </w:tc>
        <w:tc>
          <w:tcPr>
            <w:tcW w:w="1365" w:type="dxa"/>
            <w:vAlign w:val="center"/>
          </w:tcPr>
          <w:p>
            <w:pPr>
              <w:spacing w:line="360" w:lineRule="auto"/>
              <w:ind w:left="152"/>
              <w:rPr>
                <w:rFonts w:ascii="宋体" w:hAnsi="宋体" w:cs="宋体"/>
                <w:b/>
                <w:sz w:val="24"/>
              </w:rPr>
            </w:pPr>
            <w:r>
              <w:rPr>
                <w:rFonts w:hint="eastAsia" w:ascii="宋体" w:hAnsi="宋体" w:cs="宋体"/>
                <w:b/>
                <w:sz w:val="24"/>
              </w:rPr>
              <w:t>是否响应</w:t>
            </w:r>
          </w:p>
        </w:tc>
        <w:tc>
          <w:tcPr>
            <w:tcW w:w="2625" w:type="dxa"/>
            <w:vAlign w:val="center"/>
          </w:tcPr>
          <w:p>
            <w:pPr>
              <w:spacing w:line="360" w:lineRule="auto"/>
              <w:jc w:val="center"/>
              <w:rPr>
                <w:rFonts w:ascii="宋体" w:hAnsi="宋体" w:cs="宋体"/>
                <w:b/>
                <w:sz w:val="24"/>
              </w:rPr>
            </w:pPr>
            <w:r>
              <w:rPr>
                <w:rFonts w:hint="eastAsia" w:ascii="宋体" w:hAnsi="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s="宋体"/>
                <w:sz w:val="24"/>
              </w:rPr>
            </w:pPr>
          </w:p>
        </w:tc>
        <w:tc>
          <w:tcPr>
            <w:tcW w:w="2029" w:type="dxa"/>
          </w:tcPr>
          <w:p>
            <w:pPr>
              <w:snapToGrid w:val="0"/>
              <w:spacing w:line="360" w:lineRule="auto"/>
              <w:rPr>
                <w:rFonts w:ascii="宋体" w:hAnsi="宋体" w:cs="宋体"/>
                <w:sz w:val="24"/>
              </w:rPr>
            </w:pPr>
            <w:r>
              <w:rPr>
                <w:rFonts w:hint="eastAsia" w:ascii="宋体" w:hAnsi="宋体" w:cs="宋体"/>
                <w:sz w:val="24"/>
              </w:rPr>
              <w:t>服务保障要求</w:t>
            </w:r>
          </w:p>
        </w:tc>
        <w:tc>
          <w:tcPr>
            <w:tcW w:w="1541" w:type="dxa"/>
            <w:vAlign w:val="center"/>
          </w:tcPr>
          <w:p>
            <w:pPr>
              <w:spacing w:line="360" w:lineRule="auto"/>
              <w:rPr>
                <w:rFonts w:ascii="宋体" w:hAnsi="宋体" w:cs="宋体"/>
                <w:sz w:val="24"/>
              </w:rPr>
            </w:pPr>
          </w:p>
        </w:tc>
        <w:tc>
          <w:tcPr>
            <w:tcW w:w="1365" w:type="dxa"/>
            <w:vAlign w:val="center"/>
          </w:tcPr>
          <w:p>
            <w:pPr>
              <w:spacing w:line="360" w:lineRule="auto"/>
              <w:rPr>
                <w:rFonts w:ascii="宋体" w:hAnsi="宋体" w:cs="宋体"/>
                <w:sz w:val="24"/>
              </w:rPr>
            </w:pPr>
          </w:p>
        </w:tc>
        <w:tc>
          <w:tcPr>
            <w:tcW w:w="2625"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sz w:val="24"/>
              </w:rPr>
            </w:pPr>
          </w:p>
        </w:tc>
        <w:tc>
          <w:tcPr>
            <w:tcW w:w="2029" w:type="dxa"/>
          </w:tcPr>
          <w:p>
            <w:pPr>
              <w:snapToGrid w:val="0"/>
              <w:spacing w:line="360" w:lineRule="auto"/>
              <w:rPr>
                <w:rFonts w:ascii="宋体" w:hAnsi="宋体" w:cs="宋体"/>
                <w:sz w:val="24"/>
              </w:rPr>
            </w:pPr>
            <w:r>
              <w:rPr>
                <w:rFonts w:hint="eastAsia" w:ascii="宋体" w:hAnsi="宋体" w:cs="宋体"/>
                <w:sz w:val="24"/>
              </w:rPr>
              <w:t>服务期</w:t>
            </w:r>
          </w:p>
        </w:tc>
        <w:tc>
          <w:tcPr>
            <w:tcW w:w="1541" w:type="dxa"/>
            <w:vAlign w:val="center"/>
          </w:tcPr>
          <w:p>
            <w:pPr>
              <w:spacing w:line="360" w:lineRule="auto"/>
              <w:rPr>
                <w:rFonts w:ascii="宋体" w:hAnsi="宋体" w:cs="宋体"/>
                <w:sz w:val="24"/>
              </w:rPr>
            </w:pPr>
          </w:p>
        </w:tc>
        <w:tc>
          <w:tcPr>
            <w:tcW w:w="1365" w:type="dxa"/>
            <w:vAlign w:val="center"/>
          </w:tcPr>
          <w:p>
            <w:pPr>
              <w:spacing w:line="360" w:lineRule="auto"/>
              <w:rPr>
                <w:rFonts w:ascii="宋体" w:hAnsi="宋体" w:cs="宋体"/>
                <w:sz w:val="24"/>
              </w:rPr>
            </w:pPr>
          </w:p>
        </w:tc>
        <w:tc>
          <w:tcPr>
            <w:tcW w:w="2625"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sz w:val="24"/>
              </w:rPr>
            </w:pPr>
          </w:p>
        </w:tc>
        <w:tc>
          <w:tcPr>
            <w:tcW w:w="2029" w:type="dxa"/>
          </w:tcPr>
          <w:p>
            <w:pPr>
              <w:snapToGrid w:val="0"/>
              <w:spacing w:line="360" w:lineRule="auto"/>
              <w:rPr>
                <w:rFonts w:ascii="宋体" w:hAnsi="宋体" w:cs="宋体"/>
                <w:sz w:val="24"/>
              </w:rPr>
            </w:pPr>
            <w:r>
              <w:rPr>
                <w:rFonts w:hint="eastAsia" w:ascii="宋体" w:hAnsi="宋体" w:cs="宋体"/>
                <w:sz w:val="24"/>
              </w:rPr>
              <w:t>服务时间及地点</w:t>
            </w:r>
          </w:p>
        </w:tc>
        <w:tc>
          <w:tcPr>
            <w:tcW w:w="1541" w:type="dxa"/>
            <w:vAlign w:val="center"/>
          </w:tcPr>
          <w:p>
            <w:pPr>
              <w:spacing w:line="360" w:lineRule="auto"/>
              <w:rPr>
                <w:rFonts w:ascii="宋体" w:hAnsi="宋体" w:cs="宋体"/>
                <w:sz w:val="24"/>
              </w:rPr>
            </w:pPr>
          </w:p>
        </w:tc>
        <w:tc>
          <w:tcPr>
            <w:tcW w:w="1365" w:type="dxa"/>
            <w:vAlign w:val="center"/>
          </w:tcPr>
          <w:p>
            <w:pPr>
              <w:spacing w:line="360" w:lineRule="auto"/>
              <w:rPr>
                <w:rFonts w:ascii="宋体" w:hAnsi="宋体" w:cs="宋体"/>
                <w:sz w:val="24"/>
              </w:rPr>
            </w:pPr>
          </w:p>
        </w:tc>
        <w:tc>
          <w:tcPr>
            <w:tcW w:w="2625"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spacing w:line="360" w:lineRule="auto"/>
              <w:rPr>
                <w:rFonts w:ascii="宋体" w:hAnsi="宋体" w:cs="宋体"/>
                <w:sz w:val="24"/>
              </w:rPr>
            </w:pPr>
          </w:p>
        </w:tc>
        <w:tc>
          <w:tcPr>
            <w:tcW w:w="2029" w:type="dxa"/>
          </w:tcPr>
          <w:p>
            <w:pPr>
              <w:snapToGrid w:val="0"/>
              <w:spacing w:line="360" w:lineRule="auto"/>
              <w:rPr>
                <w:rFonts w:ascii="宋体" w:hAnsi="宋体" w:cs="宋体"/>
                <w:sz w:val="24"/>
              </w:rPr>
            </w:pPr>
            <w:r>
              <w:rPr>
                <w:rFonts w:hint="eastAsia" w:ascii="宋体" w:hAnsi="宋体" w:cs="宋体"/>
                <w:sz w:val="24"/>
              </w:rPr>
              <w:t>付款条件</w:t>
            </w:r>
          </w:p>
        </w:tc>
        <w:tc>
          <w:tcPr>
            <w:tcW w:w="1541" w:type="dxa"/>
            <w:vAlign w:val="center"/>
          </w:tcPr>
          <w:p>
            <w:pPr>
              <w:spacing w:line="360" w:lineRule="auto"/>
              <w:rPr>
                <w:rFonts w:ascii="宋体" w:hAnsi="宋体" w:cs="宋体"/>
                <w:sz w:val="24"/>
              </w:rPr>
            </w:pPr>
          </w:p>
        </w:tc>
        <w:tc>
          <w:tcPr>
            <w:tcW w:w="1365" w:type="dxa"/>
            <w:vAlign w:val="center"/>
          </w:tcPr>
          <w:p>
            <w:pPr>
              <w:spacing w:line="360" w:lineRule="auto"/>
              <w:rPr>
                <w:rFonts w:ascii="宋体" w:hAnsi="宋体" w:cs="宋体"/>
                <w:sz w:val="24"/>
              </w:rPr>
            </w:pPr>
          </w:p>
        </w:tc>
        <w:tc>
          <w:tcPr>
            <w:tcW w:w="2625"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spacing w:line="360" w:lineRule="auto"/>
              <w:rPr>
                <w:rFonts w:ascii="宋体" w:hAnsi="宋体" w:cs="宋体"/>
                <w:sz w:val="24"/>
              </w:rPr>
            </w:pPr>
          </w:p>
        </w:tc>
        <w:tc>
          <w:tcPr>
            <w:tcW w:w="2029" w:type="dxa"/>
          </w:tcPr>
          <w:p>
            <w:pPr>
              <w:snapToGrid w:val="0"/>
              <w:spacing w:line="360" w:lineRule="auto"/>
              <w:rPr>
                <w:rFonts w:ascii="宋体" w:hAnsi="宋体" w:cs="宋体"/>
                <w:sz w:val="24"/>
              </w:rPr>
            </w:pPr>
            <w:r>
              <w:rPr>
                <w:rFonts w:hint="eastAsia" w:ascii="宋体" w:hAnsi="宋体" w:cs="宋体"/>
                <w:sz w:val="24"/>
              </w:rPr>
              <w:t>……</w:t>
            </w:r>
          </w:p>
        </w:tc>
        <w:tc>
          <w:tcPr>
            <w:tcW w:w="1541" w:type="dxa"/>
            <w:vAlign w:val="center"/>
          </w:tcPr>
          <w:p>
            <w:pPr>
              <w:spacing w:line="360" w:lineRule="auto"/>
              <w:rPr>
                <w:rFonts w:ascii="宋体" w:hAnsi="宋体" w:cs="宋体"/>
                <w:sz w:val="24"/>
              </w:rPr>
            </w:pPr>
          </w:p>
        </w:tc>
        <w:tc>
          <w:tcPr>
            <w:tcW w:w="1365" w:type="dxa"/>
            <w:vAlign w:val="center"/>
          </w:tcPr>
          <w:p>
            <w:pPr>
              <w:spacing w:line="360" w:lineRule="auto"/>
              <w:rPr>
                <w:rFonts w:ascii="宋体" w:hAnsi="宋体" w:cs="宋体"/>
                <w:sz w:val="24"/>
              </w:rPr>
            </w:pPr>
          </w:p>
        </w:tc>
        <w:tc>
          <w:tcPr>
            <w:tcW w:w="2625"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735" w:type="dxa"/>
            <w:vAlign w:val="center"/>
          </w:tcPr>
          <w:p>
            <w:pPr>
              <w:spacing w:line="360" w:lineRule="auto"/>
              <w:rPr>
                <w:rFonts w:ascii="宋体" w:hAnsi="宋体" w:cs="宋体"/>
                <w:sz w:val="24"/>
              </w:rPr>
            </w:pPr>
          </w:p>
        </w:tc>
        <w:tc>
          <w:tcPr>
            <w:tcW w:w="2029" w:type="dxa"/>
          </w:tcPr>
          <w:p>
            <w:pPr>
              <w:snapToGrid w:val="0"/>
              <w:spacing w:line="360" w:lineRule="auto"/>
              <w:rPr>
                <w:rFonts w:ascii="宋体" w:hAnsi="宋体" w:cs="宋体"/>
                <w:sz w:val="24"/>
              </w:rPr>
            </w:pPr>
          </w:p>
        </w:tc>
        <w:tc>
          <w:tcPr>
            <w:tcW w:w="1541" w:type="dxa"/>
            <w:vAlign w:val="center"/>
          </w:tcPr>
          <w:p>
            <w:pPr>
              <w:spacing w:line="360" w:lineRule="auto"/>
              <w:rPr>
                <w:rFonts w:ascii="宋体" w:hAnsi="宋体" w:cs="宋体"/>
                <w:sz w:val="24"/>
              </w:rPr>
            </w:pPr>
          </w:p>
        </w:tc>
        <w:tc>
          <w:tcPr>
            <w:tcW w:w="1365" w:type="dxa"/>
            <w:vAlign w:val="center"/>
          </w:tcPr>
          <w:p>
            <w:pPr>
              <w:spacing w:line="360" w:lineRule="auto"/>
              <w:rPr>
                <w:rFonts w:ascii="宋体" w:hAnsi="宋体" w:cs="宋体"/>
                <w:sz w:val="24"/>
              </w:rPr>
            </w:pPr>
          </w:p>
        </w:tc>
        <w:tc>
          <w:tcPr>
            <w:tcW w:w="2625"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spacing w:line="360" w:lineRule="auto"/>
              <w:rPr>
                <w:rFonts w:ascii="宋体" w:hAnsi="宋体" w:cs="宋体"/>
                <w:sz w:val="24"/>
              </w:rPr>
            </w:pPr>
          </w:p>
        </w:tc>
        <w:tc>
          <w:tcPr>
            <w:tcW w:w="2029" w:type="dxa"/>
          </w:tcPr>
          <w:p>
            <w:pPr>
              <w:snapToGrid w:val="0"/>
              <w:spacing w:line="360" w:lineRule="auto"/>
              <w:rPr>
                <w:rFonts w:ascii="宋体" w:hAnsi="宋体" w:cs="宋体"/>
                <w:sz w:val="24"/>
              </w:rPr>
            </w:pPr>
          </w:p>
        </w:tc>
        <w:tc>
          <w:tcPr>
            <w:tcW w:w="1541" w:type="dxa"/>
            <w:vAlign w:val="center"/>
          </w:tcPr>
          <w:p>
            <w:pPr>
              <w:spacing w:line="360" w:lineRule="auto"/>
              <w:rPr>
                <w:rFonts w:ascii="宋体" w:hAnsi="宋体" w:cs="宋体"/>
                <w:sz w:val="24"/>
              </w:rPr>
            </w:pPr>
          </w:p>
        </w:tc>
        <w:tc>
          <w:tcPr>
            <w:tcW w:w="1365" w:type="dxa"/>
            <w:vAlign w:val="center"/>
          </w:tcPr>
          <w:p>
            <w:pPr>
              <w:spacing w:line="360" w:lineRule="auto"/>
              <w:rPr>
                <w:rFonts w:ascii="宋体" w:hAnsi="宋体" w:cs="宋体"/>
                <w:sz w:val="24"/>
              </w:rPr>
            </w:pPr>
          </w:p>
        </w:tc>
        <w:tc>
          <w:tcPr>
            <w:tcW w:w="2625" w:type="dxa"/>
            <w:vAlign w:val="center"/>
          </w:tcPr>
          <w:p>
            <w:pPr>
              <w:spacing w:line="360" w:lineRule="auto"/>
              <w:rPr>
                <w:rFonts w:ascii="宋体" w:hAnsi="宋体" w:cs="宋体"/>
                <w:sz w:val="24"/>
              </w:rPr>
            </w:pPr>
          </w:p>
        </w:tc>
      </w:tr>
    </w:tbl>
    <w:p>
      <w:pPr>
        <w:spacing w:line="360" w:lineRule="auto"/>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法定代表人（单位负责人）或授权委托代理人（签字或盖章）：</w:t>
      </w:r>
    </w:p>
    <w:p>
      <w:pPr>
        <w:spacing w:line="360" w:lineRule="auto"/>
        <w:ind w:firstLine="435"/>
        <w:rPr>
          <w:rFonts w:ascii="宋体" w:hAnsi="宋体" w:cs="宋体"/>
          <w:sz w:val="24"/>
        </w:rPr>
      </w:pPr>
    </w:p>
    <w:p>
      <w:pPr>
        <w:spacing w:line="360" w:lineRule="auto"/>
        <w:ind w:firstLine="435"/>
        <w:rPr>
          <w:rFonts w:ascii="宋体" w:hAnsi="宋体" w:cs="宋体"/>
          <w:sz w:val="24"/>
          <w:u w:val="single"/>
        </w:rPr>
      </w:pPr>
      <w:r>
        <w:rPr>
          <w:rFonts w:hint="eastAsia" w:ascii="宋体" w:hAnsi="宋体" w:cs="宋体"/>
          <w:sz w:val="24"/>
        </w:rPr>
        <w:t>日        期：</w:t>
      </w:r>
    </w:p>
    <w:p>
      <w:pPr>
        <w:pStyle w:val="38"/>
        <w:spacing w:line="360" w:lineRule="auto"/>
        <w:jc w:val="center"/>
        <w:rPr>
          <w:rFonts w:ascii="宋体" w:hAnsi="宋体"/>
          <w:b/>
          <w:sz w:val="32"/>
          <w:szCs w:val="32"/>
        </w:rPr>
      </w:pPr>
    </w:p>
    <w:p>
      <w:pPr>
        <w:pStyle w:val="38"/>
        <w:spacing w:line="360" w:lineRule="auto"/>
        <w:jc w:val="center"/>
        <w:rPr>
          <w:rFonts w:ascii="宋体" w:hAnsi="宋体"/>
          <w:b/>
          <w:sz w:val="32"/>
          <w:szCs w:val="32"/>
        </w:rPr>
      </w:pPr>
    </w:p>
    <w:p>
      <w:pPr>
        <w:pStyle w:val="38"/>
        <w:spacing w:line="360" w:lineRule="auto"/>
        <w:jc w:val="center"/>
        <w:rPr>
          <w:rFonts w:ascii="宋体" w:hAnsi="宋体"/>
          <w:b/>
          <w:sz w:val="32"/>
          <w:szCs w:val="32"/>
        </w:rPr>
      </w:pPr>
    </w:p>
    <w:p>
      <w:pPr>
        <w:pStyle w:val="38"/>
        <w:spacing w:line="360" w:lineRule="auto"/>
        <w:jc w:val="center"/>
        <w:rPr>
          <w:rFonts w:ascii="宋体" w:hAnsi="宋体"/>
          <w:b/>
          <w:sz w:val="32"/>
          <w:szCs w:val="32"/>
        </w:rPr>
      </w:pPr>
    </w:p>
    <w:p>
      <w:pPr>
        <w:pStyle w:val="38"/>
        <w:spacing w:line="360" w:lineRule="auto"/>
        <w:jc w:val="center"/>
        <w:rPr>
          <w:rFonts w:ascii="宋体" w:hAnsi="宋体"/>
          <w:b/>
          <w:sz w:val="32"/>
          <w:szCs w:val="32"/>
        </w:rPr>
      </w:pPr>
    </w:p>
    <w:p>
      <w:pPr>
        <w:pStyle w:val="38"/>
        <w:spacing w:line="360" w:lineRule="auto"/>
        <w:jc w:val="center"/>
        <w:rPr>
          <w:rFonts w:ascii="宋体" w:hAnsi="宋体"/>
          <w:b/>
          <w:sz w:val="32"/>
          <w:szCs w:val="32"/>
        </w:rPr>
      </w:pPr>
    </w:p>
    <w:p>
      <w:pPr>
        <w:pStyle w:val="38"/>
        <w:spacing w:line="360" w:lineRule="auto"/>
        <w:jc w:val="center"/>
        <w:rPr>
          <w:rFonts w:ascii="宋体" w:hAnsi="宋体"/>
          <w:b/>
          <w:sz w:val="32"/>
          <w:szCs w:val="32"/>
        </w:rPr>
      </w:pPr>
    </w:p>
    <w:p>
      <w:pPr>
        <w:pStyle w:val="37"/>
        <w:spacing w:line="360" w:lineRule="auto"/>
        <w:jc w:val="left"/>
        <w:rPr>
          <w:rFonts w:ascii="宋体" w:hAnsi="宋体"/>
          <w:b/>
          <w:sz w:val="28"/>
        </w:rPr>
      </w:pPr>
      <w:r>
        <w:rPr>
          <w:rFonts w:hint="eastAsia" w:ascii="宋体" w:hAnsi="宋体"/>
          <w:b/>
          <w:sz w:val="28"/>
        </w:rPr>
        <w:t>附件9</w:t>
      </w:r>
    </w:p>
    <w:p>
      <w:pPr>
        <w:pStyle w:val="38"/>
        <w:spacing w:line="360" w:lineRule="auto"/>
        <w:jc w:val="center"/>
        <w:rPr>
          <w:rFonts w:ascii="宋体" w:hAnsi="宋体" w:cs="Arial"/>
          <w:sz w:val="28"/>
          <w:szCs w:val="28"/>
        </w:rPr>
      </w:pPr>
      <w:r>
        <w:rPr>
          <w:rFonts w:hint="eastAsia" w:ascii="宋体" w:hAnsi="宋体"/>
          <w:b/>
          <w:sz w:val="32"/>
          <w:szCs w:val="32"/>
        </w:rPr>
        <w:t>证书一览表</w:t>
      </w:r>
      <w:bookmarkEnd w:id="54"/>
      <w:bookmarkEnd w:id="55"/>
      <w:r>
        <w:rPr>
          <w:rFonts w:hint="eastAsia" w:ascii="宋体" w:hAnsi="宋体" w:cs="宋体"/>
          <w:b/>
          <w:sz w:val="32"/>
          <w:szCs w:val="32"/>
        </w:rPr>
        <w:t>（标项  ）</w:t>
      </w:r>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8"/>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8"/>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8"/>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8"/>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bl>
    <w:p>
      <w:pPr>
        <w:pStyle w:val="38"/>
        <w:tabs>
          <w:tab w:val="left" w:pos="1050"/>
        </w:tabs>
        <w:spacing w:line="360" w:lineRule="auto"/>
        <w:rPr>
          <w:rFonts w:ascii="宋体" w:hAnsi="宋体"/>
          <w:sz w:val="24"/>
        </w:rPr>
      </w:pPr>
      <w:r>
        <w:rPr>
          <w:rFonts w:hint="eastAsia" w:ascii="宋体" w:hAnsi="宋体"/>
          <w:b/>
          <w:sz w:val="24"/>
        </w:rPr>
        <w:t>要求：</w:t>
      </w:r>
    </w:p>
    <w:p>
      <w:pPr>
        <w:pStyle w:val="38"/>
        <w:tabs>
          <w:tab w:val="left" w:pos="1050"/>
        </w:tabs>
        <w:spacing w:line="360" w:lineRule="auto"/>
        <w:ind w:firstLine="484" w:firstLineChars="202"/>
        <w:rPr>
          <w:rFonts w:ascii="宋体" w:hAnsi="宋体"/>
          <w:sz w:val="24"/>
        </w:rPr>
      </w:pPr>
      <w:r>
        <w:rPr>
          <w:rFonts w:hint="eastAsia" w:ascii="宋体" w:hAnsi="宋体"/>
          <w:sz w:val="24"/>
        </w:rPr>
        <w:t>1.填写投标人获得资质、认证或企业信誉证书。</w:t>
      </w:r>
    </w:p>
    <w:p>
      <w:pPr>
        <w:pStyle w:val="38"/>
        <w:tabs>
          <w:tab w:val="left" w:pos="1050"/>
        </w:tabs>
        <w:spacing w:line="360" w:lineRule="auto"/>
        <w:ind w:firstLine="484" w:firstLineChars="202"/>
        <w:rPr>
          <w:rFonts w:ascii="宋体" w:hAnsi="宋体"/>
          <w:sz w:val="24"/>
        </w:rPr>
      </w:pPr>
      <w:r>
        <w:rPr>
          <w:rFonts w:hint="eastAsia" w:ascii="宋体" w:hAnsi="宋体"/>
          <w:sz w:val="24"/>
        </w:rPr>
        <w:t>2.附所列证书或其他证明材料。</w:t>
      </w:r>
    </w:p>
    <w:p>
      <w:pPr>
        <w:pStyle w:val="38"/>
        <w:tabs>
          <w:tab w:val="left" w:pos="1050"/>
        </w:tabs>
        <w:spacing w:line="360" w:lineRule="auto"/>
        <w:rPr>
          <w:rFonts w:ascii="仿宋_GB2312" w:hAnsi="宋体" w:eastAsia="仿宋_GB2312"/>
          <w:sz w:val="24"/>
        </w:rPr>
      </w:pPr>
    </w:p>
    <w:p>
      <w:pPr>
        <w:pStyle w:val="3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法定代表人（单位负责人）或授权委托代理人（签字或盖章）：</w:t>
      </w:r>
    </w:p>
    <w:p>
      <w:pPr>
        <w:spacing w:line="360" w:lineRule="auto"/>
        <w:ind w:firstLine="435"/>
        <w:rPr>
          <w:rFonts w:ascii="宋体" w:hAnsi="宋体"/>
          <w:sz w:val="24"/>
        </w:rPr>
      </w:pPr>
    </w:p>
    <w:p>
      <w:pPr>
        <w:spacing w:line="360" w:lineRule="auto"/>
        <w:ind w:firstLine="424" w:firstLineChars="177"/>
        <w:rPr>
          <w:rFonts w:ascii="宋体" w:hAnsi="宋体"/>
          <w:sz w:val="24"/>
        </w:rPr>
      </w:pPr>
      <w:r>
        <w:rPr>
          <w:rFonts w:hint="eastAsia" w:ascii="宋体" w:hAnsi="宋体"/>
          <w:sz w:val="24"/>
        </w:rPr>
        <w:t>职        务：</w:t>
      </w:r>
    </w:p>
    <w:p>
      <w:pPr>
        <w:spacing w:line="360" w:lineRule="auto"/>
        <w:ind w:firstLine="424" w:firstLineChars="177"/>
        <w:rPr>
          <w:rFonts w:ascii="宋体" w:hAnsi="宋体"/>
          <w:sz w:val="24"/>
        </w:rPr>
      </w:pPr>
    </w:p>
    <w:p>
      <w:pPr>
        <w:spacing w:line="360" w:lineRule="auto"/>
        <w:ind w:firstLine="424" w:firstLineChars="177"/>
        <w:rPr>
          <w:rFonts w:ascii="宋体" w:hAnsi="宋体"/>
          <w:sz w:val="24"/>
        </w:rPr>
      </w:pPr>
      <w:r>
        <w:rPr>
          <w:rFonts w:hint="eastAsia" w:ascii="宋体" w:hAnsi="宋体"/>
          <w:sz w:val="24"/>
        </w:rPr>
        <w:t>日        期：</w:t>
      </w:r>
    </w:p>
    <w:p>
      <w:pPr>
        <w:spacing w:line="360" w:lineRule="auto"/>
        <w:ind w:firstLine="424" w:firstLineChars="177"/>
        <w:rPr>
          <w:rFonts w:ascii="宋体" w:hAnsi="宋体"/>
          <w:sz w:val="24"/>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2"/>
        <w:rPr>
          <w:rFonts w:ascii="宋体" w:hAnsi="宋体"/>
          <w:b/>
          <w:sz w:val="28"/>
        </w:rPr>
      </w:pPr>
    </w:p>
    <w:p>
      <w:pPr>
        <w:pStyle w:val="22"/>
        <w:rPr>
          <w:rFonts w:ascii="宋体" w:hAnsi="宋体"/>
          <w:b/>
          <w:sz w:val="28"/>
        </w:rPr>
      </w:pPr>
    </w:p>
    <w:p>
      <w:pPr>
        <w:pStyle w:val="38"/>
        <w:tabs>
          <w:tab w:val="left" w:pos="1050"/>
        </w:tabs>
        <w:spacing w:line="360" w:lineRule="auto"/>
        <w:rPr>
          <w:rFonts w:ascii="仿宋_GB2312" w:hAnsi="宋体"/>
          <w:sz w:val="24"/>
        </w:rPr>
      </w:pPr>
      <w:r>
        <w:rPr>
          <w:rFonts w:hint="eastAsia" w:ascii="宋体" w:hAnsi="宋体"/>
          <w:b/>
          <w:sz w:val="28"/>
        </w:rPr>
        <w:t>附件10</w:t>
      </w:r>
    </w:p>
    <w:p>
      <w:pPr>
        <w:spacing w:line="360" w:lineRule="auto"/>
        <w:ind w:left="549" w:hanging="549" w:hangingChars="171"/>
        <w:jc w:val="center"/>
        <w:rPr>
          <w:rFonts w:ascii="宋体" w:hAnsi="宋体"/>
          <w:b/>
          <w:sz w:val="18"/>
          <w:szCs w:val="18"/>
        </w:rPr>
      </w:pPr>
      <w:bookmarkStart w:id="56" w:name="_Toc3068_WPSOffice_Level1"/>
      <w:bookmarkStart w:id="57" w:name="_Toc21582_WPSOffice_Level1"/>
      <w:r>
        <w:rPr>
          <w:rFonts w:hint="eastAsia" w:ascii="宋体" w:hAnsi="宋体"/>
          <w:b/>
          <w:sz w:val="32"/>
          <w:szCs w:val="32"/>
        </w:rPr>
        <w:t>投标人类似项目实施情况一览表</w:t>
      </w:r>
      <w:bookmarkEnd w:id="56"/>
      <w:bookmarkEnd w:id="57"/>
      <w:r>
        <w:rPr>
          <w:rFonts w:hint="eastAsia" w:ascii="宋体" w:hAnsi="宋体"/>
          <w:b/>
          <w:sz w:val="32"/>
          <w:szCs w:val="32"/>
        </w:rPr>
        <w:t>（标项  ）</w:t>
      </w:r>
    </w:p>
    <w:tbl>
      <w:tblPr>
        <w:tblStyle w:val="23"/>
        <w:tblW w:w="8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2127"/>
        <w:gridCol w:w="1408"/>
        <w:gridCol w:w="1311"/>
        <w:gridCol w:w="1230"/>
        <w:gridCol w:w="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5"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序号</w:t>
            </w:r>
          </w:p>
        </w:tc>
        <w:tc>
          <w:tcPr>
            <w:tcW w:w="2127"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项目名称</w:t>
            </w:r>
          </w:p>
        </w:tc>
        <w:tc>
          <w:tcPr>
            <w:tcW w:w="1408"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项目地址</w:t>
            </w:r>
          </w:p>
        </w:tc>
        <w:tc>
          <w:tcPr>
            <w:tcW w:w="1311"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保费金额</w:t>
            </w:r>
          </w:p>
        </w:tc>
        <w:tc>
          <w:tcPr>
            <w:tcW w:w="1230"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实施时间</w:t>
            </w:r>
          </w:p>
        </w:tc>
        <w:tc>
          <w:tcPr>
            <w:tcW w:w="1989"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宋体"/>
                <w:b/>
                <w:bCs/>
                <w:sz w:val="24"/>
              </w:rPr>
            </w:pPr>
            <w:r>
              <w:rPr>
                <w:rFonts w:hint="eastAsia" w:ascii="宋体" w:hAnsi="宋体" w:cs="宋体"/>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宋体"/>
                <w:sz w:val="24"/>
              </w:rPr>
            </w:pPr>
            <w:r>
              <w:rPr>
                <w:rFonts w:hint="eastAsia" w:ascii="宋体" w:hAnsi="宋体" w:cs="宋体"/>
                <w:sz w:val="24"/>
              </w:rPr>
              <w:t>1</w:t>
            </w: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宋体"/>
                <w:sz w:val="24"/>
              </w:rPr>
            </w:pPr>
            <w:r>
              <w:rPr>
                <w:rFonts w:hint="eastAsia" w:ascii="宋体" w:hAnsi="宋体" w:cs="宋体"/>
                <w:sz w:val="24"/>
              </w:rPr>
              <w:t>2</w:t>
            </w: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宋体"/>
                <w:sz w:val="24"/>
              </w:rPr>
            </w:pPr>
            <w:r>
              <w:rPr>
                <w:rFonts w:hint="eastAsia" w:ascii="宋体" w:hAnsi="宋体" w:cs="宋体"/>
                <w:sz w:val="24"/>
              </w:rPr>
              <w:t>3</w:t>
            </w: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宋体"/>
                <w:sz w:val="24"/>
              </w:rPr>
            </w:pPr>
            <w:r>
              <w:rPr>
                <w:rFonts w:hint="eastAsia" w:ascii="宋体" w:hAnsi="宋体" w:cs="宋体"/>
                <w:sz w:val="24"/>
              </w:rPr>
              <w:t>…</w:t>
            </w: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212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40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31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23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c>
          <w:tcPr>
            <w:tcW w:w="19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宋体"/>
                <w:sz w:val="24"/>
              </w:rPr>
            </w:pPr>
          </w:p>
        </w:tc>
      </w:tr>
    </w:tbl>
    <w:p>
      <w:pPr>
        <w:autoSpaceDE w:val="0"/>
        <w:autoSpaceDN w:val="0"/>
        <w:adjustRightInd w:val="0"/>
        <w:spacing w:before="120" w:beforeLines="50" w:line="360" w:lineRule="auto"/>
        <w:rPr>
          <w:rFonts w:ascii="宋体" w:hAnsi="宋体" w:cs="宋体"/>
          <w:b/>
          <w:sz w:val="24"/>
        </w:rPr>
      </w:pPr>
      <w:r>
        <w:rPr>
          <w:rFonts w:hint="eastAsia" w:ascii="宋体" w:hAnsi="宋体" w:cs="宋体"/>
          <w:b/>
          <w:sz w:val="24"/>
        </w:rPr>
        <w:t>要求：</w:t>
      </w:r>
    </w:p>
    <w:p>
      <w:pPr>
        <w:autoSpaceDE w:val="0"/>
        <w:autoSpaceDN w:val="0"/>
        <w:adjustRightInd w:val="0"/>
        <w:spacing w:before="120" w:beforeLines="50" w:line="360" w:lineRule="auto"/>
        <w:ind w:firstLine="484" w:firstLineChars="202"/>
        <w:rPr>
          <w:rFonts w:ascii="宋体" w:hAnsi="宋体" w:cs="宋体"/>
          <w:b/>
          <w:sz w:val="24"/>
        </w:rPr>
      </w:pPr>
      <w:r>
        <w:rPr>
          <w:rFonts w:hint="eastAsia" w:ascii="宋体" w:hAnsi="宋体" w:cs="宋体"/>
          <w:sz w:val="24"/>
        </w:rPr>
        <w:t>1.业绩证明应提供证明材料（合同复印件可只提供首页、含保险费金额页、保险责任页、盖章页并加盖投标人公章，开标时带原件备查）；</w:t>
      </w:r>
    </w:p>
    <w:p>
      <w:pPr>
        <w:spacing w:line="360" w:lineRule="auto"/>
        <w:ind w:firstLine="484" w:firstLineChars="202"/>
        <w:jc w:val="left"/>
        <w:rPr>
          <w:rFonts w:ascii="宋体" w:hAnsi="宋体" w:cs="宋体"/>
          <w:sz w:val="24"/>
        </w:rPr>
      </w:pPr>
      <w:r>
        <w:rPr>
          <w:rFonts w:hint="eastAsia" w:ascii="宋体" w:hAnsi="宋体" w:cs="宋体"/>
          <w:sz w:val="24"/>
        </w:rPr>
        <w:t>2.报价供应商可按此表格式复制。</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法定代表人（单位负责人）或授权委托代理人（签字或盖章）：</w:t>
      </w:r>
    </w:p>
    <w:p>
      <w:pPr>
        <w:spacing w:line="360" w:lineRule="auto"/>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日        期：</w:t>
      </w:r>
    </w:p>
    <w:p>
      <w:pPr>
        <w:spacing w:line="360" w:lineRule="auto"/>
        <w:rPr>
          <w:rFonts w:ascii="宋体" w:hAnsi="宋体"/>
          <w:sz w:val="24"/>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sz w:val="52"/>
          <w:szCs w:val="52"/>
        </w:rPr>
      </w:pPr>
      <w:bookmarkStart w:id="58" w:name="_Toc21322_WPSOffice_Level1"/>
      <w:bookmarkStart w:id="59" w:name="_Toc4615_WPSOffice_Level1"/>
      <w:bookmarkStart w:id="60" w:name="_Toc30468_WPSOffice_Level1"/>
    </w:p>
    <w:p>
      <w:pPr>
        <w:pStyle w:val="22"/>
      </w:pPr>
    </w:p>
    <w:p>
      <w:pPr>
        <w:pStyle w:val="22"/>
      </w:pPr>
    </w:p>
    <w:p>
      <w:pPr>
        <w:jc w:val="center"/>
        <w:rPr>
          <w:sz w:val="52"/>
          <w:szCs w:val="52"/>
        </w:rPr>
      </w:pPr>
    </w:p>
    <w:p>
      <w:pPr>
        <w:jc w:val="center"/>
        <w:rPr>
          <w:sz w:val="52"/>
          <w:szCs w:val="52"/>
        </w:rPr>
      </w:pPr>
      <w:r>
        <w:rPr>
          <w:rFonts w:hint="eastAsia"/>
          <w:sz w:val="52"/>
          <w:szCs w:val="52"/>
        </w:rPr>
        <w:t>项目名称</w:t>
      </w:r>
      <w:bookmarkEnd w:id="58"/>
      <w:bookmarkEnd w:id="59"/>
      <w:bookmarkEnd w:id="60"/>
    </w:p>
    <w:p>
      <w:pPr>
        <w:spacing w:before="240" w:beforeLines="100" w:line="360" w:lineRule="auto"/>
        <w:ind w:right="-108"/>
        <w:jc w:val="center"/>
        <w:rPr>
          <w:rFonts w:ascii="宋体" w:hAnsi="宋体"/>
          <w:sz w:val="36"/>
          <w:szCs w:val="36"/>
        </w:rPr>
      </w:pPr>
      <w:r>
        <w:rPr>
          <w:rFonts w:hint="eastAsia" w:ascii="宋体" w:hAnsi="宋体"/>
          <w:sz w:val="36"/>
          <w:szCs w:val="36"/>
        </w:rPr>
        <w:t>项目编号：（标项  ）</w:t>
      </w:r>
    </w:p>
    <w:p>
      <w:pPr>
        <w:pStyle w:val="22"/>
      </w:pPr>
    </w:p>
    <w:p>
      <w:pPr>
        <w:jc w:val="center"/>
        <w:rPr>
          <w:sz w:val="84"/>
          <w:szCs w:val="84"/>
        </w:rPr>
      </w:pPr>
      <w:bookmarkStart w:id="61" w:name="_Toc9453_WPSOffice_Level1"/>
      <w:bookmarkStart w:id="62" w:name="_Toc8885_WPSOffice_Level1"/>
      <w:r>
        <w:rPr>
          <w:rFonts w:hint="eastAsia"/>
          <w:sz w:val="84"/>
          <w:szCs w:val="84"/>
        </w:rPr>
        <w:t>报</w:t>
      </w:r>
      <w:bookmarkEnd w:id="61"/>
      <w:bookmarkEnd w:id="62"/>
    </w:p>
    <w:p>
      <w:pPr>
        <w:jc w:val="center"/>
        <w:rPr>
          <w:sz w:val="84"/>
          <w:szCs w:val="84"/>
        </w:rPr>
      </w:pPr>
      <w:bookmarkStart w:id="63" w:name="_Toc7485_WPSOffice_Level1"/>
      <w:bookmarkStart w:id="64" w:name="_Toc10910_WPSOffice_Level1"/>
      <w:r>
        <w:rPr>
          <w:rFonts w:hint="eastAsia"/>
          <w:sz w:val="84"/>
          <w:szCs w:val="84"/>
        </w:rPr>
        <w:t>价</w:t>
      </w:r>
      <w:bookmarkEnd w:id="63"/>
      <w:bookmarkEnd w:id="64"/>
    </w:p>
    <w:p>
      <w:pPr>
        <w:jc w:val="center"/>
        <w:rPr>
          <w:sz w:val="84"/>
          <w:szCs w:val="84"/>
        </w:rPr>
      </w:pPr>
      <w:bookmarkStart w:id="65" w:name="_Toc14572_WPSOffice_Level1"/>
      <w:bookmarkStart w:id="66" w:name="_Toc3932_WPSOffice_Level1"/>
      <w:r>
        <w:rPr>
          <w:rFonts w:hint="eastAsia"/>
          <w:sz w:val="84"/>
          <w:szCs w:val="84"/>
        </w:rPr>
        <w:t>文</w:t>
      </w:r>
      <w:bookmarkEnd w:id="65"/>
      <w:bookmarkEnd w:id="66"/>
    </w:p>
    <w:p>
      <w:pPr>
        <w:jc w:val="center"/>
        <w:rPr>
          <w:sz w:val="84"/>
          <w:szCs w:val="84"/>
        </w:rPr>
      </w:pPr>
      <w:bookmarkStart w:id="67" w:name="_Toc16973_WPSOffice_Level1"/>
      <w:bookmarkStart w:id="68" w:name="_Toc7562_WPSOffice_Level1"/>
      <w:r>
        <w:rPr>
          <w:rFonts w:hint="eastAsia"/>
          <w:sz w:val="84"/>
          <w:szCs w:val="84"/>
        </w:rPr>
        <w:t>件</w:t>
      </w:r>
      <w:bookmarkEnd w:id="67"/>
      <w:bookmarkEnd w:id="68"/>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9" w:name="_Toc4603_WPSOffice_Level1"/>
      <w:bookmarkStart w:id="70" w:name="_Toc26700_WPSOffice_Level1"/>
      <w:r>
        <w:rPr>
          <w:rFonts w:hint="eastAsia" w:ascii="宋体" w:hAnsi="宋体"/>
          <w:sz w:val="36"/>
          <w:szCs w:val="36"/>
        </w:rPr>
        <w:t>投标人全称（公章）：</w:t>
      </w:r>
      <w:bookmarkEnd w:id="69"/>
      <w:bookmarkEnd w:id="70"/>
    </w:p>
    <w:p>
      <w:pPr>
        <w:spacing w:line="360" w:lineRule="auto"/>
        <w:ind w:right="-108" w:firstLine="720" w:firstLineChars="200"/>
        <w:rPr>
          <w:rFonts w:ascii="宋体" w:hAnsi="宋体"/>
          <w:sz w:val="36"/>
          <w:szCs w:val="36"/>
        </w:rPr>
      </w:pPr>
      <w:bookmarkStart w:id="71" w:name="_Toc1391_WPSOffice_Level1"/>
      <w:bookmarkStart w:id="72" w:name="_Toc32593_WPSOffice_Level1"/>
      <w:r>
        <w:rPr>
          <w:rFonts w:hint="eastAsia" w:ascii="宋体" w:hAnsi="宋体"/>
          <w:sz w:val="36"/>
          <w:szCs w:val="36"/>
        </w:rPr>
        <w:t>地    址：</w:t>
      </w:r>
      <w:bookmarkEnd w:id="71"/>
      <w:bookmarkEnd w:id="72"/>
    </w:p>
    <w:p>
      <w:pPr>
        <w:spacing w:line="360" w:lineRule="auto"/>
        <w:ind w:right="-108" w:firstLine="720" w:firstLineChars="200"/>
        <w:rPr>
          <w:rFonts w:ascii="宋体" w:hAnsi="宋体"/>
          <w:sz w:val="36"/>
          <w:szCs w:val="36"/>
        </w:rPr>
      </w:pPr>
      <w:bookmarkStart w:id="73" w:name="_Toc3791_WPSOffice_Level1"/>
      <w:bookmarkStart w:id="74" w:name="_Toc20938_WPSOffice_Level1"/>
      <w:r>
        <w:rPr>
          <w:rFonts w:hint="eastAsia" w:ascii="宋体" w:hAnsi="宋体"/>
          <w:sz w:val="36"/>
          <w:szCs w:val="36"/>
        </w:rPr>
        <w:t>时    间：</w:t>
      </w:r>
      <w:bookmarkEnd w:id="73"/>
      <w:bookmarkEnd w:id="74"/>
    </w:p>
    <w:p>
      <w:pPr>
        <w:spacing w:line="360" w:lineRule="auto"/>
        <w:ind w:right="-108"/>
        <w:jc w:val="center"/>
        <w:rPr>
          <w:rFonts w:ascii="仿宋_GB2312" w:hAnsi="宋体" w:eastAsia="仿宋_GB2312"/>
          <w:b/>
          <w:sz w:val="36"/>
          <w:szCs w:val="36"/>
        </w:rPr>
      </w:pPr>
    </w:p>
    <w:p>
      <w:pPr>
        <w:pStyle w:val="10"/>
      </w:pPr>
    </w:p>
    <w:p>
      <w:pPr>
        <w:pStyle w:val="22"/>
      </w:pPr>
    </w:p>
    <w:p>
      <w:pPr>
        <w:pStyle w:val="22"/>
      </w:pPr>
    </w:p>
    <w:p>
      <w:pPr>
        <w:pStyle w:val="22"/>
      </w:pPr>
    </w:p>
    <w:p>
      <w:pPr>
        <w:spacing w:line="480" w:lineRule="auto"/>
        <w:jc w:val="center"/>
        <w:rPr>
          <w:rFonts w:ascii="宋体" w:hAnsi="宋体"/>
          <w:b/>
          <w:bCs/>
          <w:sz w:val="36"/>
          <w:szCs w:val="36"/>
        </w:rPr>
      </w:pPr>
      <w:bookmarkStart w:id="75" w:name="_Toc19972_WPSOffice_Level1"/>
      <w:bookmarkStart w:id="76" w:name="_Toc29537_WPSOffice_Level1"/>
      <w:r>
        <w:rPr>
          <w:rFonts w:hint="eastAsia" w:ascii="宋体" w:hAnsi="宋体"/>
          <w:b/>
          <w:bCs/>
          <w:sz w:val="36"/>
          <w:szCs w:val="36"/>
        </w:rPr>
        <w:t>报价文件目录</w:t>
      </w:r>
      <w:bookmarkEnd w:id="75"/>
      <w:bookmarkEnd w:id="76"/>
    </w:p>
    <w:p>
      <w:pPr>
        <w:pStyle w:val="22"/>
      </w:pPr>
    </w:p>
    <w:p>
      <w:pPr>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bookmarkStart w:id="77" w:name="_Toc29988_WPSOffice_Level1"/>
      <w:bookmarkStart w:id="78" w:name="_Toc6778_WPSOffice_Level1"/>
      <w:r>
        <w:rPr>
          <w:rFonts w:hint="eastAsia" w:asciiTheme="minorEastAsia" w:hAnsiTheme="minorEastAsia" w:eastAsiaTheme="minorEastAsia" w:cstheme="minorEastAsia"/>
          <w:sz w:val="28"/>
          <w:szCs w:val="28"/>
        </w:rPr>
        <w:t>1.开标一览表（附件11）</w:t>
      </w:r>
      <w:bookmarkEnd w:id="77"/>
      <w:bookmarkEnd w:id="78"/>
    </w:p>
    <w:p>
      <w:pPr>
        <w:spacing w:line="360" w:lineRule="auto"/>
        <w:rPr>
          <w:rFonts w:asciiTheme="minorEastAsia" w:hAnsiTheme="minorEastAsia" w:eastAsiaTheme="minorEastAsia" w:cstheme="minorEastAsia"/>
          <w:sz w:val="28"/>
          <w:szCs w:val="28"/>
        </w:rPr>
      </w:pPr>
      <w:bookmarkStart w:id="79" w:name="_Toc11601_WPSOffice_Level1"/>
      <w:bookmarkStart w:id="80" w:name="_Toc15601_WPSOffice_Level1"/>
      <w:r>
        <w:rPr>
          <w:rFonts w:hint="eastAsia" w:asciiTheme="minorEastAsia" w:hAnsiTheme="minorEastAsia" w:eastAsiaTheme="minorEastAsia" w:cstheme="minorEastAsia"/>
          <w:sz w:val="28"/>
          <w:szCs w:val="28"/>
        </w:rPr>
        <w:t>2.报价明细表（附件12）</w:t>
      </w:r>
      <w:bookmarkEnd w:id="79"/>
      <w:bookmarkEnd w:id="80"/>
    </w:p>
    <w:p>
      <w:pPr>
        <w:pStyle w:val="14"/>
        <w:spacing w:line="360" w:lineRule="auto"/>
        <w:outlineLvl w:val="1"/>
        <w:rPr>
          <w:rFonts w:asciiTheme="minorEastAsia" w:hAnsiTheme="minorEastAsia" w:eastAsiaTheme="minorEastAsia" w:cstheme="minorEastAsia"/>
          <w:sz w:val="28"/>
          <w:szCs w:val="28"/>
        </w:rPr>
      </w:pPr>
      <w:bookmarkStart w:id="81" w:name="_Toc45_WPSOffice_Level1"/>
      <w:bookmarkStart w:id="82" w:name="_Toc17543_WPSOffice_Level1"/>
      <w:r>
        <w:rPr>
          <w:rFonts w:hint="eastAsia" w:asciiTheme="minorEastAsia" w:hAnsiTheme="minorEastAsia" w:eastAsiaTheme="minorEastAsia" w:cstheme="minorEastAsia"/>
          <w:sz w:val="28"/>
          <w:szCs w:val="28"/>
        </w:rPr>
        <w:t>3.中小企业声明函、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（附件13）</w:t>
      </w:r>
      <w:bookmarkEnd w:id="81"/>
      <w:bookmarkEnd w:id="82"/>
    </w:p>
    <w:p>
      <w:pPr>
        <w:spacing w:line="360" w:lineRule="auto"/>
        <w:rPr>
          <w:rFonts w:asciiTheme="minorEastAsia" w:hAnsiTheme="minorEastAsia" w:eastAsiaTheme="minorEastAsia" w:cstheme="minorEastAsia"/>
          <w:sz w:val="28"/>
          <w:szCs w:val="28"/>
        </w:rPr>
      </w:pPr>
      <w:bookmarkStart w:id="83" w:name="_Toc14672_WPSOffice_Level1"/>
      <w:bookmarkStart w:id="84" w:name="_Toc3001_WPSOffice_Level1"/>
      <w:r>
        <w:rPr>
          <w:rFonts w:hint="eastAsia" w:asciiTheme="minorEastAsia" w:hAnsiTheme="minorEastAsia" w:eastAsiaTheme="minorEastAsia" w:cstheme="minorEastAsia"/>
          <w:sz w:val="28"/>
          <w:szCs w:val="28"/>
        </w:rPr>
        <w:t>4.针对报价投标人认为其他需要说明的</w:t>
      </w:r>
      <w:bookmarkEnd w:id="83"/>
      <w:bookmarkEnd w:id="84"/>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widowControl/>
        <w:jc w:val="left"/>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附件11</w:t>
      </w:r>
    </w:p>
    <w:p>
      <w:pPr>
        <w:spacing w:line="360" w:lineRule="auto"/>
        <w:ind w:left="-2" w:hanging="2"/>
        <w:jc w:val="center"/>
        <w:rPr>
          <w:rFonts w:ascii="宋体" w:hAnsi="宋体" w:cs="宋体"/>
          <w:b/>
          <w:sz w:val="32"/>
          <w:szCs w:val="32"/>
        </w:rPr>
      </w:pPr>
      <w:r>
        <w:rPr>
          <w:rFonts w:hint="eastAsia" w:ascii="宋体" w:hAnsi="宋体" w:cs="宋体"/>
          <w:b/>
          <w:sz w:val="32"/>
          <w:szCs w:val="32"/>
        </w:rPr>
        <w:t>开标一览表 (标项一)</w:t>
      </w:r>
    </w:p>
    <w:p>
      <w:pPr>
        <w:spacing w:line="360" w:lineRule="auto"/>
        <w:ind w:left="-2" w:hanging="2"/>
        <w:jc w:val="center"/>
        <w:rPr>
          <w:rFonts w:ascii="宋体" w:hAnsi="宋体" w:cs="宋体"/>
          <w:b/>
          <w:sz w:val="32"/>
          <w:szCs w:val="32"/>
        </w:rPr>
      </w:pPr>
    </w:p>
    <w:p>
      <w:pPr>
        <w:pStyle w:val="14"/>
        <w:spacing w:line="360" w:lineRule="auto"/>
        <w:rPr>
          <w:rFonts w:hAnsi="宋体" w:cs="宋体"/>
          <w:b/>
          <w:sz w:val="24"/>
        </w:rPr>
      </w:pPr>
      <w:r>
        <w:rPr>
          <w:rFonts w:hint="eastAsia" w:hAnsi="宋体" w:cs="宋体"/>
          <w:b/>
          <w:sz w:val="24"/>
        </w:rPr>
        <w:t>项目编号：</w:t>
      </w:r>
    </w:p>
    <w:p>
      <w:pPr>
        <w:pStyle w:val="43"/>
        <w:spacing w:line="360" w:lineRule="auto"/>
        <w:ind w:right="480"/>
        <w:jc w:val="left"/>
        <w:rPr>
          <w:rFonts w:ascii="宋体" w:hAnsi="宋体" w:cs="宋体"/>
          <w:b/>
          <w:bCs/>
          <w:szCs w:val="21"/>
        </w:rPr>
      </w:pPr>
      <w:r>
        <w:rPr>
          <w:rFonts w:hint="eastAsia" w:ascii="宋体" w:hAnsi="宋体" w:cs="宋体"/>
          <w:b/>
          <w:sz w:val="24"/>
        </w:rPr>
        <w:t>项目名称：</w:t>
      </w:r>
      <w:r>
        <w:rPr>
          <w:rFonts w:hint="eastAsia" w:ascii="宋体" w:hAnsi="宋体" w:cs="宋体"/>
          <w:sz w:val="24"/>
        </w:rPr>
        <w:t xml:space="preserve">                                     [货币单位：人民币元]</w:t>
      </w:r>
      <w:r>
        <w:rPr>
          <w:rFonts w:hint="eastAsia" w:ascii="宋体" w:hAnsi="宋体" w:cs="宋体"/>
          <w:b/>
          <w:bCs/>
          <w:szCs w:val="21"/>
        </w:rPr>
        <w:t>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1548"/>
        <w:gridCol w:w="1680"/>
        <w:gridCol w:w="127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214" w:type="dxa"/>
            <w:vAlign w:val="center"/>
          </w:tcPr>
          <w:p>
            <w:pPr>
              <w:spacing w:line="360" w:lineRule="auto"/>
              <w:jc w:val="center"/>
              <w:rPr>
                <w:rFonts w:ascii="宋体" w:hAnsi="宋体" w:cs="宋体"/>
                <w:b/>
                <w:bCs/>
                <w:sz w:val="24"/>
              </w:rPr>
            </w:pPr>
            <w:r>
              <w:rPr>
                <w:rFonts w:hint="eastAsia" w:ascii="宋体" w:hAnsi="宋体" w:cs="宋体"/>
                <w:b/>
                <w:bCs/>
                <w:sz w:val="24"/>
              </w:rPr>
              <w:t>项目名称</w:t>
            </w:r>
          </w:p>
        </w:tc>
        <w:tc>
          <w:tcPr>
            <w:tcW w:w="1548" w:type="dxa"/>
            <w:vAlign w:val="center"/>
          </w:tcPr>
          <w:p>
            <w:pPr>
              <w:pStyle w:val="14"/>
              <w:spacing w:before="120" w:after="120" w:line="360" w:lineRule="auto"/>
              <w:jc w:val="center"/>
              <w:rPr>
                <w:rFonts w:hAnsi="宋体" w:cs="宋体"/>
                <w:b/>
                <w:bCs/>
                <w:sz w:val="24"/>
              </w:rPr>
            </w:pPr>
            <w:r>
              <w:rPr>
                <w:rFonts w:hint="eastAsia" w:hAnsi="宋体" w:cs="宋体"/>
                <w:b/>
                <w:bCs/>
                <w:sz w:val="24"/>
              </w:rPr>
              <w:t>单价</w:t>
            </w:r>
          </w:p>
          <w:p>
            <w:pPr>
              <w:pStyle w:val="14"/>
              <w:spacing w:before="120" w:after="120" w:line="360" w:lineRule="auto"/>
              <w:jc w:val="center"/>
              <w:rPr>
                <w:rFonts w:hAnsi="宋体" w:cs="宋体"/>
                <w:b/>
                <w:bCs/>
                <w:sz w:val="24"/>
              </w:rPr>
            </w:pPr>
            <w:r>
              <w:rPr>
                <w:rFonts w:hint="eastAsia" w:hAnsi="宋体" w:cs="宋体"/>
                <w:b/>
                <w:bCs/>
                <w:sz w:val="24"/>
              </w:rPr>
              <w:t>（元/人/年）</w:t>
            </w:r>
          </w:p>
        </w:tc>
        <w:tc>
          <w:tcPr>
            <w:tcW w:w="1680" w:type="dxa"/>
            <w:vAlign w:val="center"/>
          </w:tcPr>
          <w:p>
            <w:pPr>
              <w:pStyle w:val="14"/>
              <w:spacing w:before="120" w:after="120" w:line="360" w:lineRule="auto"/>
              <w:jc w:val="center"/>
              <w:rPr>
                <w:rFonts w:hAnsi="宋体" w:cs="宋体"/>
                <w:b/>
                <w:bCs/>
                <w:sz w:val="24"/>
              </w:rPr>
            </w:pPr>
            <w:r>
              <w:rPr>
                <w:rFonts w:hint="eastAsia" w:hAnsi="宋体" w:cs="宋体"/>
                <w:b/>
                <w:bCs/>
                <w:sz w:val="24"/>
              </w:rPr>
              <w:t>人数</w:t>
            </w:r>
          </w:p>
          <w:p>
            <w:pPr>
              <w:pStyle w:val="14"/>
              <w:spacing w:before="120" w:after="120" w:line="360" w:lineRule="auto"/>
              <w:jc w:val="center"/>
              <w:rPr>
                <w:rFonts w:hAnsi="宋体" w:cs="宋体"/>
                <w:b/>
                <w:bCs/>
                <w:sz w:val="24"/>
              </w:rPr>
            </w:pPr>
            <w:r>
              <w:rPr>
                <w:rFonts w:hint="eastAsia" w:hAnsi="宋体" w:cs="宋体"/>
                <w:b/>
                <w:bCs/>
                <w:sz w:val="24"/>
              </w:rPr>
              <w:t>（人）</w:t>
            </w:r>
          </w:p>
        </w:tc>
        <w:tc>
          <w:tcPr>
            <w:tcW w:w="1277" w:type="dxa"/>
            <w:vAlign w:val="center"/>
          </w:tcPr>
          <w:p>
            <w:pPr>
              <w:pStyle w:val="14"/>
              <w:spacing w:before="120" w:after="120" w:line="360" w:lineRule="auto"/>
              <w:jc w:val="center"/>
              <w:rPr>
                <w:rFonts w:hAnsi="宋体" w:cs="宋体"/>
                <w:b/>
                <w:bCs/>
                <w:sz w:val="24"/>
              </w:rPr>
            </w:pPr>
            <w:r>
              <w:rPr>
                <w:rFonts w:hint="eastAsia" w:hAnsi="宋体" w:cs="宋体"/>
                <w:b/>
                <w:bCs/>
                <w:sz w:val="24"/>
              </w:rPr>
              <w:t>服务期</w:t>
            </w:r>
          </w:p>
        </w:tc>
        <w:tc>
          <w:tcPr>
            <w:tcW w:w="1219" w:type="dxa"/>
            <w:vAlign w:val="center"/>
          </w:tcPr>
          <w:p>
            <w:pPr>
              <w:pStyle w:val="14"/>
              <w:spacing w:before="120" w:after="120" w:line="360" w:lineRule="auto"/>
              <w:jc w:val="center"/>
              <w:rPr>
                <w:rFonts w:hAnsi="宋体" w:cs="宋体"/>
                <w:b/>
                <w:bCs/>
                <w:sz w:val="24"/>
              </w:rPr>
            </w:pPr>
            <w:r>
              <w:rPr>
                <w:rFonts w:hint="eastAsia"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3214" w:type="dxa"/>
            <w:vAlign w:val="center"/>
          </w:tcPr>
          <w:p>
            <w:pPr>
              <w:pStyle w:val="10"/>
              <w:rPr>
                <w:rFonts w:ascii="宋体" w:hAnsi="宋体" w:cs="宋体"/>
                <w:b/>
              </w:rPr>
            </w:pPr>
            <w:r>
              <w:rPr>
                <w:rFonts w:hint="eastAsia" w:ascii="宋体" w:hAnsi="宋体" w:cs="宋体"/>
                <w:kern w:val="0"/>
                <w:lang w:bidi="ar"/>
              </w:rPr>
              <w:t>2022-2023年度黄岩区城乡居民基本医疗保险意外伤害住院医疗费用再保险项目（承担65%赔付责任）</w:t>
            </w:r>
          </w:p>
        </w:tc>
        <w:tc>
          <w:tcPr>
            <w:tcW w:w="1548" w:type="dxa"/>
            <w:vAlign w:val="center"/>
          </w:tcPr>
          <w:p>
            <w:pPr>
              <w:pStyle w:val="14"/>
              <w:spacing w:before="120" w:after="120" w:line="360" w:lineRule="auto"/>
              <w:jc w:val="center"/>
              <w:rPr>
                <w:rFonts w:hAnsi="宋体" w:cs="宋体"/>
                <w:sz w:val="24"/>
              </w:rPr>
            </w:pPr>
          </w:p>
        </w:tc>
        <w:tc>
          <w:tcPr>
            <w:tcW w:w="1680" w:type="dxa"/>
            <w:vAlign w:val="center"/>
          </w:tcPr>
          <w:p>
            <w:pPr>
              <w:pStyle w:val="14"/>
              <w:spacing w:before="120" w:after="120" w:line="360" w:lineRule="auto"/>
              <w:jc w:val="center"/>
              <w:rPr>
                <w:rFonts w:hAnsi="宋体" w:cs="宋体"/>
                <w:sz w:val="24"/>
              </w:rPr>
            </w:pPr>
            <w:r>
              <w:rPr>
                <w:rFonts w:hint="eastAsia" w:hAnsi="宋体" w:cs="宋体"/>
                <w:kern w:val="0"/>
                <w:sz w:val="24"/>
                <w:lang w:bidi="ar"/>
              </w:rPr>
              <w:t>397000人</w:t>
            </w:r>
          </w:p>
        </w:tc>
        <w:tc>
          <w:tcPr>
            <w:tcW w:w="1277" w:type="dxa"/>
            <w:vAlign w:val="center"/>
          </w:tcPr>
          <w:p>
            <w:pPr>
              <w:pStyle w:val="14"/>
              <w:spacing w:before="120" w:after="120" w:line="360" w:lineRule="auto"/>
              <w:jc w:val="center"/>
              <w:rPr>
                <w:rFonts w:hAnsi="宋体" w:cs="宋体"/>
                <w:sz w:val="24"/>
              </w:rPr>
            </w:pPr>
            <w:r>
              <w:rPr>
                <w:rFonts w:hint="eastAsia" w:hAnsi="宋体" w:cs="宋体"/>
                <w:sz w:val="24"/>
              </w:rPr>
              <w:t>两年</w:t>
            </w:r>
          </w:p>
        </w:tc>
        <w:tc>
          <w:tcPr>
            <w:tcW w:w="1219" w:type="dxa"/>
            <w:vAlign w:val="center"/>
          </w:tcPr>
          <w:p>
            <w:pPr>
              <w:pStyle w:val="14"/>
              <w:spacing w:before="120" w:after="120"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938" w:type="dxa"/>
            <w:gridSpan w:val="5"/>
            <w:vAlign w:val="center"/>
          </w:tcPr>
          <w:p>
            <w:pPr>
              <w:pStyle w:val="14"/>
              <w:spacing w:before="120" w:after="120" w:line="360" w:lineRule="auto"/>
              <w:rPr>
                <w:rFonts w:hAnsi="宋体" w:cs="宋体"/>
                <w:sz w:val="24"/>
              </w:rPr>
            </w:pPr>
            <w:r>
              <w:rPr>
                <w:rFonts w:hint="eastAsia" w:hAnsi="宋体" w:cs="宋体"/>
                <w:b/>
                <w:bCs/>
                <w:sz w:val="24"/>
                <w:lang w:val="zh-CN"/>
              </w:rPr>
              <w:t>投标总报价</w:t>
            </w:r>
            <w:r>
              <w:rPr>
                <w:rFonts w:hint="eastAsia" w:hAnsi="宋体" w:cs="宋体"/>
                <w:b/>
                <w:bCs/>
                <w:sz w:val="24"/>
              </w:rPr>
              <w:t xml:space="preserve"> </w:t>
            </w:r>
            <w:r>
              <w:rPr>
                <w:rFonts w:hint="eastAsia" w:hAnsi="宋体" w:cs="宋体"/>
                <w:sz w:val="24"/>
              </w:rPr>
              <w:t>大写（人民币）：                元；小写：              元</w:t>
            </w:r>
          </w:p>
        </w:tc>
      </w:tr>
    </w:tbl>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注：1、投标报价为完成本项目的所有费用，人数为暂定数，具体按实结算。</w:t>
      </w:r>
    </w:p>
    <w:p>
      <w:pPr>
        <w:spacing w:line="360" w:lineRule="auto"/>
        <w:ind w:firstLine="480" w:firstLineChars="200"/>
        <w:rPr>
          <w:rFonts w:ascii="宋体" w:hAnsi="宋体" w:cs="宋体"/>
          <w:kern w:val="0"/>
          <w:sz w:val="24"/>
        </w:rPr>
      </w:pPr>
      <w:r>
        <w:rPr>
          <w:rFonts w:hint="eastAsia" w:ascii="宋体" w:hAnsi="宋体" w:cs="宋体"/>
          <w:kern w:val="0"/>
          <w:sz w:val="24"/>
        </w:rPr>
        <w:t>2、开标一览表，要求按格式填写，统一规范，不得自行增减内容。</w:t>
      </w:r>
    </w:p>
    <w:p>
      <w:pPr>
        <w:spacing w:line="360" w:lineRule="auto"/>
        <w:ind w:firstLine="480" w:firstLineChars="200"/>
        <w:rPr>
          <w:rFonts w:ascii="宋体" w:hAnsi="宋体" w:cs="宋体"/>
          <w:b/>
          <w:i/>
          <w:sz w:val="24"/>
          <w:u w:val="single"/>
        </w:rPr>
      </w:pPr>
      <w:r>
        <w:rPr>
          <w:rFonts w:hint="eastAsia" w:ascii="宋体" w:hAnsi="宋体" w:cs="宋体"/>
          <w:kern w:val="0"/>
          <w:sz w:val="24"/>
        </w:rPr>
        <w:t>3、报价一经涂改，应在涂改处加盖单位公章，或者由法定代表人（单位负责人）或全权代表签字或盖章，否则其投标作无效标处理。</w:t>
      </w:r>
    </w:p>
    <w:p>
      <w:pPr>
        <w:spacing w:line="360" w:lineRule="auto"/>
        <w:ind w:left="420"/>
        <w:rPr>
          <w:rFonts w:ascii="宋体" w:hAnsi="宋体" w:cs="宋体"/>
          <w:sz w:val="24"/>
        </w:rPr>
      </w:pPr>
    </w:p>
    <w:p>
      <w:pPr>
        <w:spacing w:line="360" w:lineRule="auto"/>
        <w:ind w:left="420"/>
        <w:rPr>
          <w:rFonts w:ascii="宋体" w:hAnsi="宋体" w:cs="宋体"/>
          <w:sz w:val="24"/>
        </w:rPr>
      </w:pPr>
    </w:p>
    <w:p>
      <w:pPr>
        <w:spacing w:line="360" w:lineRule="auto"/>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法定代表人（单位负责人）或授权委托代理人（签字或盖章）：</w:t>
      </w:r>
    </w:p>
    <w:p>
      <w:pPr>
        <w:spacing w:line="360" w:lineRule="auto"/>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日        期：</w:t>
      </w:r>
    </w:p>
    <w:p>
      <w:pPr>
        <w:spacing w:line="360" w:lineRule="auto"/>
        <w:rPr>
          <w:rFonts w:ascii="宋体" w:hAnsi="宋体" w:cs="宋体"/>
          <w:b/>
          <w:sz w:val="28"/>
        </w:rPr>
      </w:pPr>
    </w:p>
    <w:p>
      <w:pPr>
        <w:pStyle w:val="10"/>
        <w:rPr>
          <w:rFonts w:ascii="宋体" w:hAnsi="宋体" w:cs="宋体"/>
        </w:rPr>
      </w:pPr>
    </w:p>
    <w:p>
      <w:pPr>
        <w:spacing w:line="360" w:lineRule="auto"/>
        <w:ind w:left="-2" w:hanging="2"/>
        <w:jc w:val="center"/>
        <w:rPr>
          <w:rFonts w:ascii="宋体" w:hAnsi="宋体" w:cs="宋体"/>
          <w:b/>
          <w:sz w:val="32"/>
          <w:szCs w:val="32"/>
        </w:rPr>
      </w:pPr>
      <w:r>
        <w:rPr>
          <w:rFonts w:hint="eastAsia" w:ascii="宋体" w:hAnsi="宋体" w:cs="宋体"/>
          <w:b/>
          <w:sz w:val="32"/>
          <w:szCs w:val="32"/>
        </w:rPr>
        <w:t>开标一览表 (标项二)</w:t>
      </w:r>
    </w:p>
    <w:p>
      <w:pPr>
        <w:spacing w:line="360" w:lineRule="auto"/>
        <w:ind w:left="-2" w:hanging="2"/>
        <w:jc w:val="center"/>
        <w:rPr>
          <w:rFonts w:ascii="宋体" w:hAnsi="宋体" w:cs="宋体"/>
          <w:b/>
          <w:sz w:val="32"/>
          <w:szCs w:val="32"/>
        </w:rPr>
      </w:pPr>
    </w:p>
    <w:p>
      <w:pPr>
        <w:pStyle w:val="14"/>
        <w:spacing w:line="360" w:lineRule="auto"/>
        <w:rPr>
          <w:rFonts w:hAnsi="宋体" w:cs="宋体"/>
          <w:b/>
          <w:sz w:val="24"/>
        </w:rPr>
      </w:pPr>
      <w:r>
        <w:rPr>
          <w:rFonts w:hint="eastAsia" w:hAnsi="宋体" w:cs="宋体"/>
          <w:b/>
          <w:sz w:val="24"/>
        </w:rPr>
        <w:t>项目编号：</w:t>
      </w:r>
    </w:p>
    <w:p>
      <w:pPr>
        <w:pStyle w:val="43"/>
        <w:spacing w:line="360" w:lineRule="auto"/>
        <w:ind w:right="480"/>
        <w:jc w:val="left"/>
        <w:rPr>
          <w:rFonts w:ascii="宋体" w:hAnsi="宋体" w:cs="宋体"/>
          <w:sz w:val="24"/>
        </w:rPr>
      </w:pPr>
      <w:r>
        <w:rPr>
          <w:rFonts w:hint="eastAsia" w:ascii="宋体" w:hAnsi="宋体" w:cs="宋体"/>
          <w:b/>
          <w:sz w:val="24"/>
        </w:rPr>
        <w:t>项目名称：</w:t>
      </w:r>
      <w:r>
        <w:rPr>
          <w:rFonts w:hint="eastAsia" w:ascii="宋体" w:hAnsi="宋体" w:cs="宋体"/>
          <w:sz w:val="24"/>
        </w:rPr>
        <w:t xml:space="preserve">                                     [货币单位：人民币元]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1548"/>
        <w:gridCol w:w="1680"/>
        <w:gridCol w:w="127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214" w:type="dxa"/>
            <w:vAlign w:val="center"/>
          </w:tcPr>
          <w:p>
            <w:pPr>
              <w:spacing w:line="360" w:lineRule="auto"/>
              <w:jc w:val="center"/>
              <w:rPr>
                <w:rFonts w:ascii="宋体" w:hAnsi="宋体" w:cs="宋体"/>
                <w:b/>
                <w:bCs/>
                <w:sz w:val="24"/>
              </w:rPr>
            </w:pPr>
            <w:r>
              <w:rPr>
                <w:rFonts w:hint="eastAsia" w:ascii="宋体" w:hAnsi="宋体" w:cs="宋体"/>
                <w:b/>
                <w:bCs/>
                <w:sz w:val="24"/>
              </w:rPr>
              <w:t>项目名称</w:t>
            </w:r>
          </w:p>
        </w:tc>
        <w:tc>
          <w:tcPr>
            <w:tcW w:w="1548" w:type="dxa"/>
            <w:vAlign w:val="center"/>
          </w:tcPr>
          <w:p>
            <w:pPr>
              <w:pStyle w:val="14"/>
              <w:spacing w:before="120" w:after="120" w:line="360" w:lineRule="auto"/>
              <w:jc w:val="center"/>
              <w:rPr>
                <w:rFonts w:hAnsi="宋体" w:cs="宋体"/>
                <w:b/>
                <w:bCs/>
                <w:sz w:val="24"/>
              </w:rPr>
            </w:pPr>
            <w:r>
              <w:rPr>
                <w:rFonts w:hint="eastAsia" w:hAnsi="宋体" w:cs="宋体"/>
                <w:b/>
                <w:bCs/>
                <w:sz w:val="24"/>
              </w:rPr>
              <w:t>单价</w:t>
            </w:r>
          </w:p>
          <w:p>
            <w:pPr>
              <w:pStyle w:val="14"/>
              <w:spacing w:before="120" w:after="120" w:line="360" w:lineRule="auto"/>
              <w:jc w:val="center"/>
              <w:rPr>
                <w:rFonts w:hAnsi="宋体" w:cs="宋体"/>
                <w:b/>
                <w:bCs/>
                <w:sz w:val="24"/>
              </w:rPr>
            </w:pPr>
            <w:r>
              <w:rPr>
                <w:rFonts w:hint="eastAsia" w:hAnsi="宋体" w:cs="宋体"/>
                <w:b/>
                <w:bCs/>
                <w:sz w:val="24"/>
              </w:rPr>
              <w:t>（元/人/年）</w:t>
            </w:r>
          </w:p>
        </w:tc>
        <w:tc>
          <w:tcPr>
            <w:tcW w:w="1680" w:type="dxa"/>
            <w:vAlign w:val="center"/>
          </w:tcPr>
          <w:p>
            <w:pPr>
              <w:pStyle w:val="14"/>
              <w:spacing w:before="120" w:after="120" w:line="360" w:lineRule="auto"/>
              <w:jc w:val="center"/>
              <w:rPr>
                <w:rFonts w:hAnsi="宋体" w:cs="宋体"/>
                <w:b/>
                <w:bCs/>
                <w:sz w:val="24"/>
              </w:rPr>
            </w:pPr>
            <w:r>
              <w:rPr>
                <w:rFonts w:hint="eastAsia" w:hAnsi="宋体" w:cs="宋体"/>
                <w:b/>
                <w:bCs/>
                <w:sz w:val="24"/>
              </w:rPr>
              <w:t>人数</w:t>
            </w:r>
          </w:p>
          <w:p>
            <w:pPr>
              <w:pStyle w:val="14"/>
              <w:spacing w:before="120" w:after="120" w:line="360" w:lineRule="auto"/>
              <w:jc w:val="center"/>
              <w:rPr>
                <w:rFonts w:hAnsi="宋体" w:cs="宋体"/>
                <w:b/>
                <w:bCs/>
                <w:sz w:val="24"/>
              </w:rPr>
            </w:pPr>
            <w:r>
              <w:rPr>
                <w:rFonts w:hint="eastAsia" w:hAnsi="宋体" w:cs="宋体"/>
                <w:b/>
                <w:bCs/>
                <w:sz w:val="24"/>
              </w:rPr>
              <w:t>（人）</w:t>
            </w:r>
          </w:p>
        </w:tc>
        <w:tc>
          <w:tcPr>
            <w:tcW w:w="1277" w:type="dxa"/>
            <w:vAlign w:val="center"/>
          </w:tcPr>
          <w:p>
            <w:pPr>
              <w:pStyle w:val="14"/>
              <w:spacing w:before="120" w:after="120" w:line="360" w:lineRule="auto"/>
              <w:jc w:val="center"/>
              <w:rPr>
                <w:rFonts w:hAnsi="宋体" w:cs="宋体"/>
                <w:b/>
                <w:bCs/>
                <w:sz w:val="24"/>
              </w:rPr>
            </w:pPr>
            <w:r>
              <w:rPr>
                <w:rFonts w:hint="eastAsia" w:hAnsi="宋体" w:cs="宋体"/>
                <w:b/>
                <w:bCs/>
                <w:sz w:val="24"/>
              </w:rPr>
              <w:t>服务期</w:t>
            </w:r>
          </w:p>
        </w:tc>
        <w:tc>
          <w:tcPr>
            <w:tcW w:w="1219" w:type="dxa"/>
            <w:vAlign w:val="center"/>
          </w:tcPr>
          <w:p>
            <w:pPr>
              <w:pStyle w:val="14"/>
              <w:spacing w:before="120" w:after="120" w:line="360" w:lineRule="auto"/>
              <w:jc w:val="center"/>
              <w:rPr>
                <w:rFonts w:hAnsi="宋体" w:cs="宋体"/>
                <w:b/>
                <w:bCs/>
                <w:sz w:val="24"/>
              </w:rPr>
            </w:pPr>
            <w:r>
              <w:rPr>
                <w:rFonts w:hint="eastAsia"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3214" w:type="dxa"/>
            <w:vAlign w:val="center"/>
          </w:tcPr>
          <w:p>
            <w:pPr>
              <w:spacing w:line="360" w:lineRule="auto"/>
              <w:jc w:val="center"/>
              <w:rPr>
                <w:rFonts w:ascii="宋体" w:hAnsi="宋体" w:cs="宋体"/>
                <w:b/>
                <w:sz w:val="24"/>
              </w:rPr>
            </w:pPr>
            <w:r>
              <w:rPr>
                <w:rFonts w:hint="eastAsia" w:ascii="宋体" w:hAnsi="宋体" w:cs="宋体"/>
                <w:kern w:val="0"/>
                <w:sz w:val="24"/>
                <w:lang w:bidi="ar"/>
              </w:rPr>
              <w:t>2022-2023年度黄岩区城乡居民基本医疗保险意外伤害住院医疗费用再保险项目（承担35%赔付责任）</w:t>
            </w:r>
          </w:p>
        </w:tc>
        <w:tc>
          <w:tcPr>
            <w:tcW w:w="1548" w:type="dxa"/>
            <w:vAlign w:val="center"/>
          </w:tcPr>
          <w:p>
            <w:pPr>
              <w:pStyle w:val="14"/>
              <w:spacing w:before="120" w:after="120" w:line="360" w:lineRule="auto"/>
              <w:jc w:val="center"/>
              <w:rPr>
                <w:rFonts w:hAnsi="宋体" w:cs="宋体"/>
                <w:sz w:val="24"/>
              </w:rPr>
            </w:pPr>
          </w:p>
        </w:tc>
        <w:tc>
          <w:tcPr>
            <w:tcW w:w="1680" w:type="dxa"/>
            <w:vAlign w:val="center"/>
          </w:tcPr>
          <w:p>
            <w:pPr>
              <w:pStyle w:val="14"/>
              <w:spacing w:before="120" w:after="120" w:line="360" w:lineRule="auto"/>
              <w:jc w:val="center"/>
              <w:rPr>
                <w:rFonts w:hAnsi="宋体" w:cs="宋体"/>
                <w:sz w:val="24"/>
              </w:rPr>
            </w:pPr>
            <w:r>
              <w:rPr>
                <w:rFonts w:hint="eastAsia" w:hAnsi="宋体" w:cs="宋体"/>
                <w:kern w:val="0"/>
                <w:sz w:val="24"/>
                <w:lang w:bidi="ar"/>
              </w:rPr>
              <w:t>397000人</w:t>
            </w:r>
          </w:p>
        </w:tc>
        <w:tc>
          <w:tcPr>
            <w:tcW w:w="1277" w:type="dxa"/>
            <w:vAlign w:val="center"/>
          </w:tcPr>
          <w:p>
            <w:pPr>
              <w:pStyle w:val="14"/>
              <w:spacing w:before="120" w:after="120" w:line="360" w:lineRule="auto"/>
              <w:jc w:val="center"/>
              <w:rPr>
                <w:rFonts w:hAnsi="宋体" w:cs="宋体"/>
                <w:sz w:val="24"/>
              </w:rPr>
            </w:pPr>
            <w:r>
              <w:rPr>
                <w:rFonts w:hint="eastAsia" w:hAnsi="宋体" w:cs="宋体"/>
                <w:sz w:val="24"/>
              </w:rPr>
              <w:t>两年</w:t>
            </w:r>
          </w:p>
        </w:tc>
        <w:tc>
          <w:tcPr>
            <w:tcW w:w="1219" w:type="dxa"/>
            <w:vAlign w:val="center"/>
          </w:tcPr>
          <w:p>
            <w:pPr>
              <w:pStyle w:val="14"/>
              <w:spacing w:before="120" w:after="120"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938" w:type="dxa"/>
            <w:gridSpan w:val="5"/>
            <w:vAlign w:val="center"/>
          </w:tcPr>
          <w:p>
            <w:pPr>
              <w:pStyle w:val="14"/>
              <w:spacing w:before="120" w:after="120" w:line="360" w:lineRule="auto"/>
              <w:rPr>
                <w:rFonts w:hAnsi="宋体" w:cs="宋体"/>
                <w:sz w:val="24"/>
              </w:rPr>
            </w:pPr>
            <w:r>
              <w:rPr>
                <w:rFonts w:hint="eastAsia" w:hAnsi="宋体" w:cs="宋体"/>
                <w:b/>
                <w:bCs/>
                <w:sz w:val="24"/>
                <w:lang w:val="zh-CN"/>
              </w:rPr>
              <w:t>投标总报价</w:t>
            </w:r>
            <w:r>
              <w:rPr>
                <w:rFonts w:hint="eastAsia" w:hAnsi="宋体" w:cs="宋体"/>
                <w:b/>
                <w:bCs/>
                <w:sz w:val="24"/>
              </w:rPr>
              <w:t xml:space="preserve"> </w:t>
            </w:r>
            <w:r>
              <w:rPr>
                <w:rFonts w:hint="eastAsia" w:hAnsi="宋体" w:cs="宋体"/>
                <w:sz w:val="24"/>
              </w:rPr>
              <w:t>大写（人民币）：                元；小写：              元</w:t>
            </w:r>
          </w:p>
        </w:tc>
      </w:tr>
    </w:tbl>
    <w:p>
      <w:pPr>
        <w:snapToGrid w:val="0"/>
        <w:spacing w:line="380" w:lineRule="exact"/>
        <w:rPr>
          <w:rFonts w:ascii="宋体" w:hAnsi="宋体" w:cs="宋体"/>
          <w:b/>
          <w:bCs/>
          <w:szCs w:val="21"/>
        </w:rPr>
      </w:pPr>
      <w:r>
        <w:rPr>
          <w:rFonts w:hint="eastAsia" w:ascii="宋体" w:hAnsi="宋体" w:cs="宋体"/>
          <w:b/>
          <w:bCs/>
          <w:szCs w:val="21"/>
        </w:rPr>
        <w:t> </w:t>
      </w:r>
    </w:p>
    <w:p>
      <w:pPr>
        <w:spacing w:line="360" w:lineRule="auto"/>
        <w:ind w:firstLine="480" w:firstLineChars="200"/>
        <w:rPr>
          <w:rFonts w:ascii="宋体" w:hAnsi="宋体" w:cs="宋体"/>
          <w:kern w:val="0"/>
          <w:sz w:val="24"/>
        </w:rPr>
      </w:pPr>
      <w:r>
        <w:rPr>
          <w:rFonts w:hint="eastAsia" w:ascii="宋体" w:hAnsi="宋体" w:cs="宋体"/>
          <w:kern w:val="0"/>
          <w:sz w:val="24"/>
        </w:rPr>
        <w:t>注：1、投标报价为完成本项目的所有费用，人数为暂定数，结算时按照实际参保人数结算。</w:t>
      </w:r>
    </w:p>
    <w:p>
      <w:pPr>
        <w:spacing w:line="360" w:lineRule="auto"/>
        <w:ind w:firstLine="480" w:firstLineChars="200"/>
        <w:rPr>
          <w:rFonts w:ascii="宋体" w:hAnsi="宋体" w:cs="宋体"/>
          <w:kern w:val="0"/>
          <w:sz w:val="24"/>
        </w:rPr>
      </w:pPr>
      <w:r>
        <w:rPr>
          <w:rFonts w:hint="eastAsia" w:ascii="宋体" w:hAnsi="宋体" w:cs="宋体"/>
          <w:kern w:val="0"/>
          <w:sz w:val="24"/>
        </w:rPr>
        <w:t>2、开标一览表，要求按格式填写，统一规范，不得自行增减内容。</w:t>
      </w:r>
    </w:p>
    <w:p>
      <w:pPr>
        <w:spacing w:line="360" w:lineRule="auto"/>
        <w:ind w:firstLine="480" w:firstLineChars="200"/>
        <w:rPr>
          <w:rFonts w:ascii="宋体" w:hAnsi="宋体" w:cs="宋体"/>
          <w:b/>
          <w:i/>
          <w:sz w:val="24"/>
          <w:u w:val="single"/>
        </w:rPr>
      </w:pPr>
      <w:r>
        <w:rPr>
          <w:rFonts w:hint="eastAsia" w:ascii="宋体" w:hAnsi="宋体" w:cs="宋体"/>
          <w:kern w:val="0"/>
          <w:sz w:val="24"/>
        </w:rPr>
        <w:t>3、报价一经涂改，应在涂改处加盖单位公章，或者由法定代表人（单位负责人）或全权代表签字或盖章，否则其投标作无效标处理。</w:t>
      </w:r>
    </w:p>
    <w:p>
      <w:pPr>
        <w:spacing w:line="360" w:lineRule="auto"/>
        <w:ind w:left="420"/>
        <w:rPr>
          <w:rFonts w:ascii="宋体" w:hAnsi="宋体" w:cs="宋体"/>
          <w:sz w:val="24"/>
        </w:rPr>
      </w:pPr>
    </w:p>
    <w:p>
      <w:pPr>
        <w:spacing w:line="360" w:lineRule="auto"/>
        <w:ind w:left="420"/>
        <w:rPr>
          <w:rFonts w:ascii="宋体" w:hAnsi="宋体" w:cs="宋体"/>
          <w:sz w:val="24"/>
        </w:rPr>
      </w:pPr>
    </w:p>
    <w:p>
      <w:pPr>
        <w:spacing w:line="360" w:lineRule="auto"/>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投标人名称（盖章）：</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法定代表人（单位负责人）或授权委托代理人（签字或盖章）：</w:t>
      </w:r>
    </w:p>
    <w:p>
      <w:pPr>
        <w:spacing w:line="360" w:lineRule="auto"/>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日        期：</w:t>
      </w:r>
    </w:p>
    <w:p>
      <w:pPr>
        <w:spacing w:line="360" w:lineRule="auto"/>
        <w:rPr>
          <w:rFonts w:ascii="宋体" w:hAnsi="宋体"/>
          <w:b/>
          <w:sz w:val="28"/>
        </w:rPr>
      </w:pPr>
      <w:r>
        <w:rPr>
          <w:rFonts w:hint="eastAsia" w:ascii="宋体" w:hAnsi="宋体"/>
          <w:b/>
          <w:sz w:val="28"/>
        </w:rPr>
        <w:t>附件12</w:t>
      </w:r>
    </w:p>
    <w:p>
      <w:pPr>
        <w:spacing w:line="360" w:lineRule="auto"/>
        <w:ind w:left="480"/>
        <w:jc w:val="center"/>
        <w:rPr>
          <w:rFonts w:ascii="宋体" w:hAnsi="宋体"/>
        </w:rPr>
      </w:pPr>
      <w:r>
        <w:rPr>
          <w:rFonts w:hint="eastAsia" w:ascii="宋体" w:hAnsi="宋体"/>
          <w:b/>
          <w:sz w:val="32"/>
          <w:szCs w:val="32"/>
        </w:rPr>
        <w:t xml:space="preserve">报价明细表（标项  ） </w:t>
      </w:r>
      <w:r>
        <w:rPr>
          <w:rFonts w:hint="eastAsia" w:ascii="宋体" w:hAnsi="宋体"/>
          <w:sz w:val="24"/>
        </w:rPr>
        <w:t xml:space="preserve">                                                                                                                                     </w:t>
      </w:r>
    </w:p>
    <w:p>
      <w:pPr>
        <w:pStyle w:val="14"/>
        <w:spacing w:line="360" w:lineRule="auto"/>
        <w:ind w:firstLine="482" w:firstLineChars="200"/>
        <w:rPr>
          <w:rFonts w:hAnsi="宋体"/>
          <w:b/>
          <w:sz w:val="24"/>
        </w:rPr>
      </w:pPr>
      <w:r>
        <w:rPr>
          <w:rFonts w:hAnsi="宋体"/>
          <w:b/>
          <w:sz w:val="24"/>
        </w:rPr>
        <w:t>项目编号：</w:t>
      </w:r>
    </w:p>
    <w:p>
      <w:pPr>
        <w:pStyle w:val="43"/>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3"/>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556"/>
        <w:gridCol w:w="1670"/>
        <w:gridCol w:w="135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96"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556" w:type="dxa"/>
            <w:vAlign w:val="center"/>
          </w:tcPr>
          <w:p>
            <w:pPr>
              <w:spacing w:line="360" w:lineRule="auto"/>
              <w:ind w:left="52"/>
              <w:jc w:val="center"/>
              <w:rPr>
                <w:rFonts w:ascii="宋体" w:hAnsi="宋体" w:cs="宋体"/>
                <w:b/>
                <w:sz w:val="24"/>
              </w:rPr>
            </w:pPr>
            <w:r>
              <w:rPr>
                <w:rFonts w:hint="eastAsia" w:ascii="宋体" w:hAnsi="宋体" w:cs="宋体"/>
                <w:b/>
                <w:sz w:val="24"/>
              </w:rPr>
              <w:t>报价项目</w:t>
            </w:r>
          </w:p>
        </w:tc>
        <w:tc>
          <w:tcPr>
            <w:tcW w:w="1670"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352"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739" w:type="dxa"/>
            <w:tcBorders>
              <w:bottom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96" w:type="dxa"/>
            <w:vAlign w:val="center"/>
          </w:tcPr>
          <w:p>
            <w:pPr>
              <w:spacing w:line="360" w:lineRule="auto"/>
              <w:jc w:val="center"/>
              <w:rPr>
                <w:rFonts w:ascii="宋体" w:hAnsi="宋体" w:cs="宋体"/>
                <w:b/>
                <w:sz w:val="24"/>
              </w:rPr>
            </w:pPr>
            <w:r>
              <w:rPr>
                <w:rFonts w:hint="eastAsia" w:ascii="宋体" w:hAnsi="宋体" w:cs="宋体"/>
                <w:sz w:val="24"/>
              </w:rPr>
              <w:t>1</w:t>
            </w:r>
          </w:p>
        </w:tc>
        <w:tc>
          <w:tcPr>
            <w:tcW w:w="2556" w:type="dxa"/>
            <w:vAlign w:val="center"/>
          </w:tcPr>
          <w:p>
            <w:pPr>
              <w:widowControl/>
              <w:jc w:val="center"/>
              <w:rPr>
                <w:rFonts w:ascii="宋体" w:hAnsi="宋体" w:cs="宋体"/>
                <w:b/>
                <w:sz w:val="24"/>
              </w:rPr>
            </w:pPr>
          </w:p>
        </w:tc>
        <w:tc>
          <w:tcPr>
            <w:tcW w:w="1670" w:type="dxa"/>
            <w:vAlign w:val="center"/>
          </w:tcPr>
          <w:p>
            <w:pPr>
              <w:widowControl/>
              <w:jc w:val="center"/>
              <w:rPr>
                <w:rFonts w:ascii="宋体" w:hAnsi="宋体" w:cs="宋体"/>
                <w:b/>
                <w:sz w:val="24"/>
              </w:rPr>
            </w:pPr>
          </w:p>
        </w:tc>
        <w:tc>
          <w:tcPr>
            <w:tcW w:w="1352" w:type="dxa"/>
            <w:vAlign w:val="center"/>
          </w:tcPr>
          <w:p>
            <w:pPr>
              <w:widowControl/>
              <w:jc w:val="center"/>
              <w:rPr>
                <w:rFonts w:ascii="宋体" w:hAnsi="宋体" w:cs="宋体"/>
                <w:b/>
                <w:sz w:val="24"/>
              </w:rPr>
            </w:pPr>
          </w:p>
        </w:tc>
        <w:tc>
          <w:tcPr>
            <w:tcW w:w="1739" w:type="dxa"/>
            <w:tcBorders>
              <w:bottom w:val="single" w:color="auto" w:sz="4" w:space="0"/>
            </w:tcBorders>
            <w:vAlign w:val="center"/>
          </w:tcPr>
          <w:p>
            <w:pPr>
              <w:widowControl/>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96" w:type="dxa"/>
            <w:vAlign w:val="center"/>
          </w:tcPr>
          <w:p>
            <w:pPr>
              <w:spacing w:line="360" w:lineRule="auto"/>
              <w:jc w:val="center"/>
              <w:rPr>
                <w:rFonts w:ascii="宋体" w:hAnsi="宋体" w:cs="宋体"/>
                <w:b/>
                <w:sz w:val="24"/>
              </w:rPr>
            </w:pPr>
            <w:r>
              <w:rPr>
                <w:rFonts w:hint="eastAsia" w:ascii="宋体" w:hAnsi="宋体" w:cs="宋体"/>
                <w:sz w:val="24"/>
              </w:rPr>
              <w:t>2</w:t>
            </w:r>
          </w:p>
        </w:tc>
        <w:tc>
          <w:tcPr>
            <w:tcW w:w="2556" w:type="dxa"/>
            <w:vAlign w:val="center"/>
          </w:tcPr>
          <w:p>
            <w:pPr>
              <w:widowControl/>
              <w:jc w:val="center"/>
              <w:rPr>
                <w:rFonts w:ascii="宋体" w:hAnsi="宋体" w:cs="宋体"/>
                <w:b/>
                <w:sz w:val="24"/>
              </w:rPr>
            </w:pPr>
          </w:p>
        </w:tc>
        <w:tc>
          <w:tcPr>
            <w:tcW w:w="1670" w:type="dxa"/>
            <w:vAlign w:val="center"/>
          </w:tcPr>
          <w:p>
            <w:pPr>
              <w:widowControl/>
              <w:jc w:val="center"/>
              <w:rPr>
                <w:rFonts w:ascii="宋体" w:hAnsi="宋体" w:cs="宋体"/>
                <w:b/>
                <w:sz w:val="24"/>
              </w:rPr>
            </w:pPr>
          </w:p>
        </w:tc>
        <w:tc>
          <w:tcPr>
            <w:tcW w:w="1352" w:type="dxa"/>
            <w:vAlign w:val="center"/>
          </w:tcPr>
          <w:p>
            <w:pPr>
              <w:widowControl/>
              <w:jc w:val="center"/>
              <w:rPr>
                <w:rFonts w:ascii="宋体" w:hAnsi="宋体" w:cs="宋体"/>
                <w:b/>
                <w:sz w:val="24"/>
              </w:rPr>
            </w:pPr>
          </w:p>
        </w:tc>
        <w:tc>
          <w:tcPr>
            <w:tcW w:w="1739" w:type="dxa"/>
            <w:tcBorders>
              <w:bottom w:val="single" w:color="auto" w:sz="4" w:space="0"/>
            </w:tcBorders>
            <w:vAlign w:val="center"/>
          </w:tcPr>
          <w:p>
            <w:pPr>
              <w:widowControl/>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96" w:type="dxa"/>
            <w:vAlign w:val="center"/>
          </w:tcPr>
          <w:p>
            <w:pPr>
              <w:spacing w:line="360" w:lineRule="auto"/>
              <w:jc w:val="center"/>
              <w:rPr>
                <w:rFonts w:ascii="宋体" w:hAnsi="宋体" w:cs="宋体"/>
                <w:b/>
                <w:sz w:val="24"/>
              </w:rPr>
            </w:pPr>
            <w:r>
              <w:rPr>
                <w:rFonts w:hint="eastAsia" w:ascii="宋体" w:hAnsi="宋体" w:cs="宋体"/>
                <w:bCs/>
                <w:sz w:val="24"/>
              </w:rPr>
              <w:t>3</w:t>
            </w:r>
          </w:p>
        </w:tc>
        <w:tc>
          <w:tcPr>
            <w:tcW w:w="2556" w:type="dxa"/>
            <w:vAlign w:val="center"/>
          </w:tcPr>
          <w:p>
            <w:pPr>
              <w:spacing w:line="360" w:lineRule="auto"/>
              <w:ind w:left="52"/>
              <w:rPr>
                <w:rFonts w:ascii="宋体" w:hAnsi="宋体" w:cs="宋体"/>
                <w:b/>
                <w:sz w:val="24"/>
              </w:rPr>
            </w:pPr>
            <w:r>
              <w:rPr>
                <w:rFonts w:hint="eastAsia" w:ascii="宋体" w:hAnsi="宋体" w:cs="宋体"/>
                <w:sz w:val="24"/>
              </w:rPr>
              <w:t>……</w:t>
            </w:r>
          </w:p>
        </w:tc>
        <w:tc>
          <w:tcPr>
            <w:tcW w:w="1670" w:type="dxa"/>
            <w:vAlign w:val="center"/>
          </w:tcPr>
          <w:p>
            <w:pPr>
              <w:spacing w:line="360" w:lineRule="auto"/>
              <w:ind w:left="152"/>
              <w:jc w:val="center"/>
              <w:rPr>
                <w:rFonts w:ascii="宋体" w:hAnsi="宋体" w:cs="宋体"/>
                <w:b/>
                <w:sz w:val="24"/>
              </w:rPr>
            </w:pPr>
          </w:p>
        </w:tc>
        <w:tc>
          <w:tcPr>
            <w:tcW w:w="1352" w:type="dxa"/>
            <w:vAlign w:val="center"/>
          </w:tcPr>
          <w:p>
            <w:pPr>
              <w:spacing w:line="360" w:lineRule="auto"/>
              <w:jc w:val="center"/>
              <w:rPr>
                <w:rFonts w:ascii="宋体" w:hAnsi="宋体" w:cs="宋体"/>
                <w:b/>
                <w:sz w:val="24"/>
              </w:rPr>
            </w:pPr>
          </w:p>
        </w:tc>
        <w:tc>
          <w:tcPr>
            <w:tcW w:w="1739"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96" w:type="dxa"/>
            <w:vAlign w:val="center"/>
          </w:tcPr>
          <w:p>
            <w:pPr>
              <w:spacing w:line="360" w:lineRule="auto"/>
              <w:jc w:val="center"/>
              <w:rPr>
                <w:rFonts w:ascii="宋体" w:hAnsi="宋体" w:cs="宋体"/>
                <w:bCs/>
                <w:sz w:val="24"/>
              </w:rPr>
            </w:pPr>
          </w:p>
        </w:tc>
        <w:tc>
          <w:tcPr>
            <w:tcW w:w="7317" w:type="dxa"/>
            <w:gridSpan w:val="4"/>
            <w:vAlign w:val="center"/>
          </w:tcPr>
          <w:p>
            <w:pPr>
              <w:spacing w:line="360" w:lineRule="auto"/>
              <w:jc w:val="left"/>
              <w:rPr>
                <w:rFonts w:ascii="宋体" w:hAnsi="宋体" w:cs="宋体"/>
                <w:b/>
                <w:sz w:val="24"/>
              </w:rPr>
            </w:pPr>
            <w:r>
              <w:rPr>
                <w:rFonts w:hint="eastAsia" w:ascii="宋体" w:hAnsi="宋体" w:cs="宋体"/>
                <w:b/>
                <w:sz w:val="24"/>
              </w:rPr>
              <w:t>合计：</w:t>
            </w:r>
          </w:p>
        </w:tc>
      </w:tr>
    </w:tbl>
    <w:p>
      <w:pPr>
        <w:spacing w:line="360" w:lineRule="auto"/>
        <w:rPr>
          <w:rFonts w:ascii="宋体" w:hAnsi="宋体" w:cs="宋体"/>
          <w:b/>
          <w:sz w:val="24"/>
        </w:rPr>
      </w:pPr>
      <w:r>
        <w:rPr>
          <w:rFonts w:hint="eastAsia" w:ascii="宋体" w:hAnsi="宋体" w:cs="宋体"/>
          <w:b/>
          <w:sz w:val="24"/>
        </w:rPr>
        <w:t>要求：</w:t>
      </w:r>
    </w:p>
    <w:p>
      <w:pPr>
        <w:spacing w:line="360" w:lineRule="auto"/>
        <w:ind w:left="435"/>
        <w:rPr>
          <w:rFonts w:ascii="宋体" w:hAnsi="宋体" w:cs="宋体"/>
          <w:sz w:val="24"/>
        </w:rPr>
      </w:pPr>
      <w:r>
        <w:rPr>
          <w:rFonts w:hint="eastAsia" w:ascii="宋体" w:hAnsi="宋体" w:cs="宋体"/>
          <w:sz w:val="24"/>
        </w:rPr>
        <w:t>1. 本表为《开标一览表》的报价明细表，如有缺项、漏项，视为投标报价中已包含相关费用，采购人无需另外支付任何费用。</w:t>
      </w:r>
    </w:p>
    <w:p>
      <w:pPr>
        <w:spacing w:line="360" w:lineRule="auto"/>
        <w:ind w:left="435"/>
        <w:rPr>
          <w:rFonts w:ascii="宋体" w:hAnsi="宋体" w:cs="宋体"/>
          <w:sz w:val="24"/>
          <w:lang w:val="zh-CN"/>
        </w:rPr>
      </w:pPr>
      <w:r>
        <w:rPr>
          <w:rFonts w:hint="eastAsia" w:ascii="宋体" w:hAnsi="宋体" w:cs="宋体"/>
          <w:sz w:val="24"/>
        </w:rPr>
        <w:t>2.</w:t>
      </w:r>
      <w:r>
        <w:rPr>
          <w:rFonts w:hint="eastAsia" w:ascii="宋体" w:hAnsi="宋体" w:cs="宋体"/>
          <w:sz w:val="24"/>
          <w:lang w:val="zh-CN"/>
        </w:rPr>
        <w:t>“报价明细表”中的报价合计应与“开标一览表”中的投标总报价相一致，不一致时，以开标一览表为准。</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Cs/>
          <w:sz w:val="24"/>
        </w:rPr>
        <w:t>注：</w:t>
      </w:r>
      <w:r>
        <w:rPr>
          <w:rFonts w:hint="eastAsia" w:ascii="宋体" w:hAnsi="宋体" w:cs="宋体"/>
          <w:sz w:val="24"/>
        </w:rPr>
        <w:t>本次数量均为暂估量，结算时按照实际参保人数结算。</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法定代表人（单位负责人）或授权委托代理人（签字或盖章）：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120" w:beforeLines="50" w:after="50" w:line="360" w:lineRule="auto"/>
        <w:rPr>
          <w:rFonts w:ascii="宋体" w:hAnsi="宋体"/>
          <w:b/>
          <w:sz w:val="28"/>
          <w:szCs w:val="28"/>
        </w:rPr>
      </w:pPr>
      <w:r>
        <w:rPr>
          <w:rFonts w:hint="eastAsia" w:ascii="宋体" w:hAnsi="宋体"/>
          <w:b/>
          <w:sz w:val="28"/>
        </w:rPr>
        <w:t>附件13</w:t>
      </w:r>
    </w:p>
    <w:p>
      <w:pPr>
        <w:pStyle w:val="44"/>
        <w:spacing w:line="360" w:lineRule="auto"/>
        <w:jc w:val="center"/>
        <w:rPr>
          <w:rFonts w:ascii="宋体" w:hAnsi="宋体"/>
          <w:b/>
          <w:sz w:val="32"/>
          <w:szCs w:val="32"/>
          <w:lang w:val="en-GB"/>
        </w:rPr>
      </w:pPr>
      <w:r>
        <w:rPr>
          <w:rFonts w:hint="eastAsia" w:ascii="宋体" w:hAnsi="宋体"/>
          <w:b/>
          <w:sz w:val="32"/>
          <w:szCs w:val="32"/>
          <w:lang w:val="en-GB"/>
        </w:rPr>
        <w:t>中小企业声明函（</w:t>
      </w:r>
      <w:r>
        <w:rPr>
          <w:rFonts w:hint="eastAsia" w:ascii="宋体" w:hAnsi="宋体"/>
          <w:b/>
          <w:sz w:val="32"/>
          <w:szCs w:val="32"/>
        </w:rPr>
        <w:t>服务</w:t>
      </w:r>
      <w:r>
        <w:rPr>
          <w:rFonts w:hint="eastAsia" w:ascii="宋体" w:hAnsi="宋体"/>
          <w:b/>
          <w:sz w:val="32"/>
          <w:szCs w:val="32"/>
          <w:lang w:val="en-GB"/>
        </w:rPr>
        <w:t>）</w:t>
      </w:r>
    </w:p>
    <w:p>
      <w:pPr>
        <w:pStyle w:val="44"/>
        <w:spacing w:line="360" w:lineRule="auto"/>
        <w:jc w:val="center"/>
        <w:rPr>
          <w:rFonts w:ascii="宋体" w:hAnsi="宋体"/>
          <w:b/>
          <w:sz w:val="24"/>
          <w:lang w:val="en-GB"/>
        </w:rPr>
      </w:pP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本公司郑重声明，根据《政府采购促进中小企业发展管理办法》（财库﹝2020﹞46 号）的规定，本公司参加</w:t>
      </w:r>
      <w:r>
        <w:rPr>
          <w:rFonts w:hint="eastAsia" w:ascii="宋体" w:hAnsi="宋体" w:cs="宋体"/>
          <w:bCs/>
          <w:color w:val="000000"/>
          <w:sz w:val="24"/>
          <w:u w:val="single"/>
        </w:rPr>
        <w:t>（单位名称）</w:t>
      </w:r>
      <w:r>
        <w:rPr>
          <w:rFonts w:hint="eastAsia" w:ascii="宋体" w:hAnsi="宋体" w:cs="宋体"/>
          <w:bCs/>
          <w:color w:val="000000"/>
          <w:sz w:val="24"/>
        </w:rPr>
        <w:t>的</w:t>
      </w:r>
      <w:r>
        <w:rPr>
          <w:rFonts w:hint="eastAsia" w:ascii="宋体" w:hAnsi="宋体" w:cs="宋体"/>
          <w:bCs/>
          <w:color w:val="000000"/>
          <w:sz w:val="24"/>
          <w:u w:val="single"/>
        </w:rPr>
        <w:t>（项目名称）</w:t>
      </w:r>
      <w:r>
        <w:rPr>
          <w:rFonts w:hint="eastAsia" w:ascii="宋体" w:hAnsi="宋体" w:cs="宋体"/>
          <w:bCs/>
          <w:color w:val="000000"/>
          <w:sz w:val="24"/>
        </w:rPr>
        <w:t>采购活动，工程的施工单位全部为符合政策要求的中小企业（或者：服务全部由符合政策要求的中小企业承接）。相关企业的具体情况如下：</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u w:val="single"/>
        </w:rPr>
        <w:t>（标的名称）</w:t>
      </w:r>
      <w:r>
        <w:rPr>
          <w:rFonts w:hint="eastAsia" w:ascii="宋体" w:hAnsi="宋体" w:cs="宋体"/>
          <w:bCs/>
          <w:color w:val="000000"/>
          <w:sz w:val="24"/>
        </w:rPr>
        <w:t>，属于</w:t>
      </w:r>
      <w:r>
        <w:rPr>
          <w:rFonts w:hint="eastAsia" w:ascii="宋体" w:hAnsi="宋体" w:cs="宋体"/>
          <w:bCs/>
          <w:color w:val="000000"/>
          <w:sz w:val="24"/>
          <w:u w:val="single"/>
        </w:rPr>
        <w:t>（采购文件中明确的所属行业）</w:t>
      </w:r>
      <w:r>
        <w:rPr>
          <w:rFonts w:hint="eastAsia" w:ascii="宋体" w:hAnsi="宋体" w:cs="宋体"/>
          <w:bCs/>
          <w:color w:val="000000"/>
          <w:sz w:val="24"/>
        </w:rPr>
        <w:t>；承建（承接）企业为</w:t>
      </w:r>
      <w:r>
        <w:rPr>
          <w:rFonts w:hint="eastAsia" w:ascii="宋体" w:hAnsi="宋体" w:cs="宋体"/>
          <w:bCs/>
          <w:color w:val="000000"/>
          <w:sz w:val="24"/>
          <w:u w:val="single"/>
        </w:rPr>
        <w:t>（企业名称）</w:t>
      </w:r>
      <w:r>
        <w:rPr>
          <w:rFonts w:hint="eastAsia" w:ascii="宋体" w:hAnsi="宋体" w:cs="宋体"/>
          <w:bCs/>
          <w:color w:val="000000"/>
          <w:sz w:val="24"/>
        </w:rPr>
        <w:t>，从业人员</w:t>
      </w:r>
      <w:r>
        <w:rPr>
          <w:rFonts w:hint="eastAsia" w:ascii="宋体" w:hAnsi="宋体" w:cs="宋体"/>
          <w:bCs/>
          <w:color w:val="000000"/>
          <w:sz w:val="24"/>
          <w:u w:val="single"/>
        </w:rPr>
        <w:t xml:space="preserve">     </w:t>
      </w:r>
      <w:r>
        <w:rPr>
          <w:rFonts w:hint="eastAsia" w:ascii="宋体" w:hAnsi="宋体" w:cs="宋体"/>
          <w:bCs/>
          <w:color w:val="000000"/>
          <w:sz w:val="24"/>
        </w:rPr>
        <w:t>人，营业收入为</w:t>
      </w:r>
      <w:r>
        <w:rPr>
          <w:rFonts w:hint="eastAsia" w:ascii="宋体" w:hAnsi="宋体" w:cs="宋体"/>
          <w:bCs/>
          <w:color w:val="000000"/>
          <w:sz w:val="24"/>
          <w:u w:val="single"/>
        </w:rPr>
        <w:t xml:space="preserve">     </w:t>
      </w:r>
      <w:r>
        <w:rPr>
          <w:rFonts w:hint="eastAsia" w:ascii="宋体" w:hAnsi="宋体" w:cs="宋体"/>
          <w:bCs/>
          <w:color w:val="000000"/>
          <w:sz w:val="24"/>
        </w:rPr>
        <w:t>万元，资产总额为</w:t>
      </w:r>
      <w:r>
        <w:rPr>
          <w:rFonts w:hint="eastAsia" w:ascii="宋体" w:hAnsi="宋体" w:cs="宋体"/>
          <w:bCs/>
          <w:color w:val="000000"/>
          <w:sz w:val="24"/>
          <w:u w:val="single"/>
        </w:rPr>
        <w:t xml:space="preserve">     </w:t>
      </w:r>
      <w:r>
        <w:rPr>
          <w:rFonts w:hint="eastAsia" w:ascii="宋体" w:hAnsi="宋体" w:cs="宋体"/>
          <w:bCs/>
          <w:color w:val="000000"/>
          <w:sz w:val="24"/>
        </w:rPr>
        <w:t>万元</w:t>
      </w:r>
      <w:r>
        <w:rPr>
          <w:rStyle w:val="29"/>
          <w:rFonts w:hint="eastAsia" w:ascii="宋体" w:hAnsi="宋体" w:cs="宋体"/>
          <w:bCs/>
          <w:color w:val="000000"/>
          <w:sz w:val="24"/>
        </w:rPr>
        <w:footnoteReference w:id="0"/>
      </w:r>
      <w:r>
        <w:rPr>
          <w:rFonts w:hint="eastAsia" w:ascii="宋体" w:hAnsi="宋体" w:cs="宋体"/>
          <w:bCs/>
          <w:color w:val="000000"/>
          <w:sz w:val="24"/>
        </w:rPr>
        <w:t>，属于</w:t>
      </w:r>
      <w:r>
        <w:rPr>
          <w:rFonts w:hint="eastAsia" w:ascii="宋体" w:hAnsi="宋体" w:cs="宋体"/>
          <w:bCs/>
          <w:color w:val="000000"/>
          <w:sz w:val="24"/>
          <w:u w:val="single"/>
        </w:rPr>
        <w:t>（中型企业、小型企业、微型企业）</w:t>
      </w:r>
      <w:r>
        <w:rPr>
          <w:rFonts w:hint="eastAsia" w:ascii="宋体" w:hAnsi="宋体" w:cs="宋体"/>
          <w:bCs/>
          <w:color w:val="000000"/>
          <w:sz w:val="24"/>
        </w:rPr>
        <w:t>；</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s="宋体"/>
          <w:bCs/>
          <w:color w:val="000000"/>
          <w:sz w:val="24"/>
          <w:u w:val="single"/>
        </w:rPr>
        <w:t>（标的名称）</w:t>
      </w:r>
      <w:r>
        <w:rPr>
          <w:rFonts w:hint="eastAsia" w:ascii="宋体" w:hAnsi="宋体" w:cs="宋体"/>
          <w:bCs/>
          <w:color w:val="000000"/>
          <w:sz w:val="24"/>
        </w:rPr>
        <w:t>，属于</w:t>
      </w:r>
      <w:r>
        <w:rPr>
          <w:rFonts w:hint="eastAsia" w:ascii="宋体" w:hAnsi="宋体" w:cs="宋体"/>
          <w:bCs/>
          <w:color w:val="000000"/>
          <w:sz w:val="24"/>
          <w:u w:val="single"/>
        </w:rPr>
        <w:t>（采购文件中明确的所属行业）</w:t>
      </w:r>
      <w:r>
        <w:rPr>
          <w:rFonts w:hint="eastAsia" w:ascii="宋体" w:hAnsi="宋体" w:cs="宋体"/>
          <w:bCs/>
          <w:color w:val="000000"/>
          <w:sz w:val="24"/>
        </w:rPr>
        <w:t>；承建（承接）企业为</w:t>
      </w:r>
      <w:r>
        <w:rPr>
          <w:rFonts w:hint="eastAsia" w:ascii="宋体" w:hAnsi="宋体" w:cs="宋体"/>
          <w:bCs/>
          <w:color w:val="000000"/>
          <w:sz w:val="24"/>
          <w:u w:val="single"/>
        </w:rPr>
        <w:t>（企业名称）</w:t>
      </w:r>
      <w:r>
        <w:rPr>
          <w:rFonts w:hint="eastAsia" w:ascii="宋体" w:hAnsi="宋体" w:cs="宋体"/>
          <w:bCs/>
          <w:color w:val="000000"/>
          <w:sz w:val="24"/>
        </w:rPr>
        <w:t>，从业人员</w:t>
      </w:r>
      <w:r>
        <w:rPr>
          <w:rFonts w:hint="eastAsia" w:ascii="宋体" w:hAnsi="宋体" w:cs="宋体"/>
          <w:bCs/>
          <w:color w:val="000000"/>
          <w:sz w:val="24"/>
          <w:u w:val="single"/>
        </w:rPr>
        <w:t xml:space="preserve">     </w:t>
      </w:r>
      <w:r>
        <w:rPr>
          <w:rFonts w:hint="eastAsia" w:ascii="宋体" w:hAnsi="宋体" w:cs="宋体"/>
          <w:bCs/>
          <w:color w:val="000000"/>
          <w:sz w:val="24"/>
        </w:rPr>
        <w:t>人，营业收入为</w:t>
      </w:r>
      <w:r>
        <w:rPr>
          <w:rFonts w:hint="eastAsia" w:ascii="宋体" w:hAnsi="宋体" w:cs="宋体"/>
          <w:bCs/>
          <w:color w:val="000000"/>
          <w:sz w:val="24"/>
          <w:u w:val="single"/>
        </w:rPr>
        <w:t xml:space="preserve">     </w:t>
      </w:r>
      <w:r>
        <w:rPr>
          <w:rFonts w:hint="eastAsia" w:ascii="宋体" w:hAnsi="宋体" w:cs="宋体"/>
          <w:bCs/>
          <w:color w:val="000000"/>
          <w:sz w:val="24"/>
        </w:rPr>
        <w:t>万元，资产总额为</w:t>
      </w:r>
      <w:r>
        <w:rPr>
          <w:rFonts w:hint="eastAsia" w:ascii="宋体" w:hAnsi="宋体" w:cs="宋体"/>
          <w:bCs/>
          <w:color w:val="000000"/>
          <w:sz w:val="24"/>
          <w:u w:val="single"/>
        </w:rPr>
        <w:t xml:space="preserve">     </w:t>
      </w:r>
      <w:r>
        <w:rPr>
          <w:rFonts w:hint="eastAsia" w:ascii="宋体" w:hAnsi="宋体" w:cs="宋体"/>
          <w:bCs/>
          <w:color w:val="000000"/>
          <w:sz w:val="24"/>
        </w:rPr>
        <w:t>万元，属于</w:t>
      </w:r>
      <w:r>
        <w:rPr>
          <w:rFonts w:hint="eastAsia" w:ascii="宋体" w:hAnsi="宋体" w:cs="宋体"/>
          <w:bCs/>
          <w:color w:val="000000"/>
          <w:sz w:val="24"/>
          <w:u w:val="single"/>
        </w:rPr>
        <w:t>（中型企业、小型企业、微型企业）</w:t>
      </w:r>
      <w:r>
        <w:rPr>
          <w:rFonts w:hint="eastAsia" w:ascii="宋体" w:hAnsi="宋体" w:cs="宋体"/>
          <w:bCs/>
          <w:color w:val="000000"/>
          <w:sz w:val="24"/>
        </w:rPr>
        <w:t>；</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本企业对上述声明内容的真实性负责。如有虚假，将依法承担相应责任。 </w:t>
      </w:r>
    </w:p>
    <w:p>
      <w:pPr>
        <w:spacing w:line="360" w:lineRule="auto"/>
        <w:rPr>
          <w:rFonts w:ascii="宋体" w:hAnsi="宋体" w:cs="宋体"/>
          <w:bCs/>
          <w:color w:val="000000"/>
          <w:sz w:val="24"/>
        </w:rPr>
      </w:pPr>
    </w:p>
    <w:p>
      <w:pPr>
        <w:spacing w:line="360" w:lineRule="auto"/>
        <w:ind w:firstLine="4800" w:firstLineChars="2000"/>
        <w:rPr>
          <w:rFonts w:ascii="宋体" w:hAnsi="宋体" w:cs="宋体"/>
          <w:bCs/>
          <w:color w:val="000000"/>
          <w:sz w:val="24"/>
        </w:rPr>
      </w:pPr>
      <w:r>
        <w:rPr>
          <w:rFonts w:hint="eastAsia" w:ascii="宋体" w:hAnsi="宋体" w:cs="宋体"/>
          <w:bCs/>
          <w:color w:val="000000"/>
          <w:sz w:val="24"/>
        </w:rPr>
        <w:t>企业名称（盖章）：</w:t>
      </w:r>
    </w:p>
    <w:p>
      <w:pPr>
        <w:spacing w:line="360" w:lineRule="auto"/>
        <w:ind w:firstLine="4800" w:firstLineChars="2000"/>
        <w:rPr>
          <w:rFonts w:ascii="宋体" w:hAnsi="宋体" w:cs="宋体"/>
          <w:bCs/>
          <w:color w:val="000000"/>
          <w:sz w:val="24"/>
        </w:rPr>
      </w:pPr>
      <w:r>
        <w:rPr>
          <w:rFonts w:hint="eastAsia" w:ascii="宋体" w:hAnsi="宋体" w:cs="宋体"/>
          <w:bCs/>
          <w:color w:val="000000"/>
          <w:sz w:val="24"/>
        </w:rPr>
        <w:t>日 期：</w:t>
      </w:r>
    </w:p>
    <w:p>
      <w:pPr>
        <w:spacing w:line="360" w:lineRule="auto"/>
        <w:rPr>
          <w:rFonts w:ascii="宋体" w:hAnsi="宋体"/>
          <w:spacing w:val="6"/>
          <w:sz w:val="24"/>
        </w:rPr>
      </w:pPr>
    </w:p>
    <w:p>
      <w:pPr>
        <w:pStyle w:val="44"/>
        <w:spacing w:line="360" w:lineRule="auto"/>
        <w:ind w:firstLine="480" w:firstLineChars="200"/>
        <w:rPr>
          <w:rFonts w:ascii="宋体" w:hAnsi="宋体" w:cs="Arial"/>
          <w:bCs/>
          <w:sz w:val="24"/>
        </w:rPr>
      </w:pPr>
    </w:p>
    <w:p>
      <w:pPr>
        <w:pStyle w:val="44"/>
        <w:spacing w:line="360" w:lineRule="auto"/>
        <w:ind w:firstLine="480" w:firstLineChars="200"/>
        <w:rPr>
          <w:rFonts w:ascii="宋体" w:hAnsi="宋体" w:cs="Arial"/>
          <w:bCs/>
          <w:sz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Ansi="宋体" w:cs="宋体"/>
          <w:b/>
          <w:sz w:val="32"/>
          <w:szCs w:val="32"/>
          <w:lang w:val="en-GB"/>
        </w:rPr>
      </w:pPr>
      <w:bookmarkStart w:id="85" w:name="_Toc17646_WPSOffice_Level1"/>
      <w:bookmarkStart w:id="86" w:name="_Toc27483_WPSOffice_Level1"/>
      <w:r>
        <w:rPr>
          <w:rFonts w:hint="eastAsia" w:hAnsi="宋体" w:cs="宋体"/>
          <w:b/>
          <w:sz w:val="32"/>
          <w:szCs w:val="32"/>
          <w:lang w:val="en-GB"/>
        </w:rPr>
        <w:t>残疾人福利性单位声明函</w:t>
      </w:r>
      <w:bookmarkEnd w:id="85"/>
      <w:bookmarkEnd w:id="86"/>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22"/>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4"/>
        <w:spacing w:line="360" w:lineRule="auto"/>
        <w:ind w:left="4788" w:leftChars="2280"/>
        <w:rPr>
          <w:rFonts w:ascii="宋体" w:hAnsi="宋体" w:cs="宋体"/>
          <w:sz w:val="24"/>
        </w:rPr>
      </w:pPr>
      <w:r>
        <w:rPr>
          <w:rFonts w:hint="eastAsia" w:ascii="宋体" w:hAnsi="宋体" w:cs="宋体"/>
          <w:sz w:val="24"/>
        </w:rPr>
        <w:t xml:space="preserve">       </w:t>
      </w:r>
    </w:p>
    <w:p>
      <w:pPr>
        <w:pStyle w:val="44"/>
        <w:spacing w:line="360" w:lineRule="auto"/>
        <w:ind w:left="4788" w:leftChars="2280"/>
        <w:rPr>
          <w:rFonts w:ascii="宋体" w:hAnsi="宋体"/>
          <w:sz w:val="24"/>
        </w:rPr>
      </w:pPr>
      <w:r>
        <w:rPr>
          <w:rFonts w:hint="eastAsia" w:ascii="宋体" w:hAnsi="宋体"/>
          <w:sz w:val="24"/>
        </w:rPr>
        <w:t>单位名称（盖章）：</w:t>
      </w:r>
    </w:p>
    <w:p>
      <w:pPr>
        <w:pStyle w:val="44"/>
        <w:spacing w:line="360" w:lineRule="auto"/>
        <w:ind w:left="3591" w:leftChars="1710" w:firstLine="1200" w:firstLineChars="500"/>
        <w:rPr>
          <w:rFonts w:ascii="宋体" w:hAnsi="宋体"/>
          <w:sz w:val="24"/>
        </w:rPr>
      </w:pPr>
      <w:r>
        <w:rPr>
          <w:rFonts w:hint="eastAsia" w:ascii="宋体" w:hAnsi="宋体"/>
          <w:sz w:val="24"/>
        </w:rPr>
        <w:t>日  期  ：</w:t>
      </w:r>
    </w:p>
    <w:p>
      <w:pPr>
        <w:spacing w:line="360" w:lineRule="auto"/>
        <w:rPr>
          <w:rFonts w:ascii="宋体" w:hAnsi="宋体" w:cs="宋体"/>
          <w:b/>
          <w:bCs/>
          <w:color w:val="000000"/>
          <w:sz w:val="24"/>
        </w:rPr>
      </w:pPr>
    </w:p>
    <w:p>
      <w:pPr>
        <w:spacing w:line="360" w:lineRule="auto"/>
        <w:rPr>
          <w:rFonts w:ascii="宋体" w:hAnsi="宋体" w:cs="宋体"/>
          <w:b/>
          <w:bCs/>
          <w:color w:val="000000"/>
          <w:sz w:val="24"/>
        </w:rPr>
      </w:pPr>
      <w:r>
        <w:rPr>
          <w:rFonts w:hint="eastAsia" w:ascii="宋体" w:hAnsi="宋体" w:cs="宋体"/>
          <w:b/>
          <w:bCs/>
          <w:color w:val="000000"/>
          <w:sz w:val="24"/>
        </w:rPr>
        <w:t>填表说明：</w:t>
      </w:r>
    </w:p>
    <w:p>
      <w:pPr>
        <w:spacing w:line="360" w:lineRule="auto"/>
        <w:rPr>
          <w:rFonts w:ascii="宋体" w:hAnsi="宋体" w:cs="宋体"/>
          <w:b/>
          <w:bCs/>
          <w:color w:val="000000"/>
          <w:sz w:val="24"/>
        </w:rPr>
      </w:pPr>
      <w:r>
        <w:rPr>
          <w:rFonts w:hint="eastAsia" w:ascii="宋体" w:hAnsi="宋体" w:cs="宋体"/>
          <w:b/>
          <w:bCs/>
          <w:color w:val="000000"/>
          <w:sz w:val="24"/>
        </w:rPr>
        <w:t>1、从业人员、营业收入、资产总额填报上一年度数据，无上一年度数据的新成立企业可不填报。</w:t>
      </w:r>
    </w:p>
    <w:p>
      <w:pPr>
        <w:spacing w:line="360" w:lineRule="auto"/>
        <w:rPr>
          <w:rFonts w:hint="eastAsia" w:ascii="宋体" w:hAnsi="宋体" w:cs="宋体"/>
          <w:b/>
          <w:bCs/>
          <w:color w:val="000000"/>
          <w:sz w:val="24"/>
        </w:rPr>
      </w:pPr>
      <w:r>
        <w:rPr>
          <w:rFonts w:hint="eastAsia" w:ascii="宋体" w:hAnsi="宋体" w:cs="宋体"/>
          <w:b/>
          <w:bCs/>
          <w:color w:val="000000"/>
          <w:sz w:val="24"/>
        </w:rPr>
        <w:t>2、为了更加准确判定制造商是否为小微企业，请供应商根据工业和信息化部官方网站---中小企业规模类型自测小程序来辨别制造商企业规模类型，中小企业规模类型自测小程序链接网址</w:t>
      </w:r>
    </w:p>
    <w:p>
      <w:pPr>
        <w:spacing w:line="360" w:lineRule="auto"/>
        <w:rPr>
          <w:rFonts w:ascii="宋体" w:hAnsi="宋体" w:cs="宋体"/>
          <w:b/>
          <w:bCs/>
          <w:color w:val="000000"/>
          <w:sz w:val="24"/>
        </w:rPr>
      </w:pPr>
      <w:r>
        <w:rPr>
          <w:rFonts w:hint="eastAsia" w:ascii="宋体" w:hAnsi="宋体" w:cs="宋体"/>
          <w:b/>
          <w:bCs/>
          <w:color w:val="000000"/>
          <w:sz w:val="24"/>
        </w:rPr>
        <w:t>3、供应商未提供《中小企业声明函》的、《中小企业声明函》中内容应填写而未进行填写或未如实填写的，将不给予供应商小微企业报价优惠扣除。</w:t>
      </w:r>
    </w:p>
    <w:p>
      <w:pPr>
        <w:spacing w:line="360" w:lineRule="auto"/>
        <w:rPr>
          <w:rFonts w:ascii="宋体" w:hAnsi="宋体" w:cs="宋体"/>
          <w:b/>
          <w:bCs/>
          <w:color w:val="000000"/>
          <w:sz w:val="24"/>
        </w:rPr>
      </w:pPr>
      <w:r>
        <w:rPr>
          <w:rFonts w:hint="eastAsia" w:ascii="宋体" w:hAnsi="宋体" w:cs="宋体"/>
          <w:b/>
          <w:bCs/>
          <w:color w:val="000000"/>
          <w:sz w:val="24"/>
        </w:rPr>
        <w:t>预成交供应商享受小微企业报价优惠扣除的，将按规定公开预成交供应商的《中小企业声明函》。</w:t>
      </w:r>
    </w:p>
    <w:p>
      <w:pPr>
        <w:numPr>
          <w:ilvl w:val="0"/>
          <w:numId w:val="13"/>
        </w:numPr>
        <w:spacing w:line="360" w:lineRule="auto"/>
        <w:rPr>
          <w:rFonts w:ascii="宋体" w:hAnsi="宋体" w:cs="宋体"/>
          <w:b/>
          <w:bCs/>
          <w:color w:val="000000"/>
          <w:sz w:val="24"/>
        </w:rPr>
      </w:pPr>
      <w:r>
        <w:rPr>
          <w:rFonts w:hint="eastAsia" w:ascii="宋体" w:hAnsi="宋体" w:cs="宋体"/>
          <w:b/>
          <w:bCs/>
          <w:color w:val="000000"/>
          <w:sz w:val="24"/>
        </w:rPr>
        <w:t>如国家对中小企业划型标准有新的规定的，从其规定。 </w:t>
      </w: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
      <w:pPr>
        <w:pStyle w:val="20"/>
        <w:snapToGrid w:val="0"/>
        <w:ind w:firstLine="0" w:firstLineChars="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政府采购文件公开招标服务类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98BC3B0"/>
    <w:multiLevelType w:val="singleLevel"/>
    <w:tmpl w:val="998BC3B0"/>
    <w:lvl w:ilvl="0" w:tentative="0">
      <w:start w:val="4"/>
      <w:numFmt w:val="decimal"/>
      <w:suff w:val="nothing"/>
      <w:lvlText w:val="%1、"/>
      <w:lvlJc w:val="left"/>
    </w:lvl>
  </w:abstractNum>
  <w:abstractNum w:abstractNumId="2">
    <w:nsid w:val="CBDDF423"/>
    <w:multiLevelType w:val="singleLevel"/>
    <w:tmpl w:val="CBDDF423"/>
    <w:lvl w:ilvl="0" w:tentative="0">
      <w:start w:val="3"/>
      <w:numFmt w:val="chineseCounting"/>
      <w:suff w:val="nothing"/>
      <w:lvlText w:val="（%1）"/>
      <w:lvlJc w:val="left"/>
      <w:rPr>
        <w:rFonts w:hint="eastAsia"/>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5">
    <w:nsid w:val="32B3E939"/>
    <w:multiLevelType w:val="singleLevel"/>
    <w:tmpl w:val="32B3E939"/>
    <w:lvl w:ilvl="0" w:tentative="0">
      <w:start w:val="4"/>
      <w:numFmt w:val="decimal"/>
      <w:suff w:val="nothing"/>
      <w:lvlText w:val="%1、"/>
      <w:lvlJc w:val="left"/>
    </w:lvl>
  </w:abstractNum>
  <w:abstractNum w:abstractNumId="6">
    <w:nsid w:val="361E256B"/>
    <w:multiLevelType w:val="singleLevel"/>
    <w:tmpl w:val="361E256B"/>
    <w:lvl w:ilvl="0" w:tentative="0">
      <w:start w:val="1"/>
      <w:numFmt w:val="decimal"/>
      <w:suff w:val="nothing"/>
      <w:lvlText w:val="（%1）"/>
      <w:lvlJc w:val="left"/>
      <w:pPr>
        <w:ind w:left="150"/>
      </w:pPr>
    </w:lvl>
  </w:abstractNum>
  <w:abstractNum w:abstractNumId="7">
    <w:nsid w:val="3CEB21C5"/>
    <w:multiLevelType w:val="singleLevel"/>
    <w:tmpl w:val="3CEB21C5"/>
    <w:lvl w:ilvl="0" w:tentative="0">
      <w:start w:val="1"/>
      <w:numFmt w:val="decimal"/>
      <w:lvlText w:val="%1."/>
      <w:lvlJc w:val="left"/>
      <w:pPr>
        <w:tabs>
          <w:tab w:val="left" w:pos="312"/>
        </w:tabs>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num w:numId="1">
    <w:abstractNumId w:val="10"/>
  </w:num>
  <w:num w:numId="2">
    <w:abstractNumId w:val="4"/>
  </w:num>
  <w:num w:numId="3">
    <w:abstractNumId w:val="11"/>
  </w:num>
  <w:num w:numId="4">
    <w:abstractNumId w:val="8"/>
  </w:num>
  <w:num w:numId="5">
    <w:abstractNumId w:val="12"/>
  </w:num>
  <w:num w:numId="6">
    <w:abstractNumId w:val="3"/>
  </w:num>
  <w:num w:numId="7">
    <w:abstractNumId w:val="6"/>
  </w:num>
  <w:num w:numId="8">
    <w:abstractNumId w:val="2"/>
  </w:num>
  <w:num w:numId="9">
    <w:abstractNumId w:val="5"/>
  </w:num>
  <w:num w:numId="10">
    <w:abstractNumId w:val="7"/>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YTI2OGIyNDZlM2E2YWYxMTJjOGUyZDMzODBkZTEifQ=="/>
    <w:docVar w:name="IsProcessingDocument" w:val="-1"/>
    <w:docVar w:name="KSO_WPS_MARK_KEY" w:val="11d64e15-72f3-4658-bd07-b3c96114fe59"/>
  </w:docVars>
  <w:rsids>
    <w:rsidRoot w:val="685F2B0C"/>
    <w:rsid w:val="00005867"/>
    <w:rsid w:val="00030D77"/>
    <w:rsid w:val="000707B3"/>
    <w:rsid w:val="00071BA1"/>
    <w:rsid w:val="00092588"/>
    <w:rsid w:val="000A2B60"/>
    <w:rsid w:val="000A5B56"/>
    <w:rsid w:val="000D01A1"/>
    <w:rsid w:val="001146EF"/>
    <w:rsid w:val="00165EE9"/>
    <w:rsid w:val="00186236"/>
    <w:rsid w:val="001D21EB"/>
    <w:rsid w:val="001F22F8"/>
    <w:rsid w:val="00281B5F"/>
    <w:rsid w:val="00291503"/>
    <w:rsid w:val="00293B86"/>
    <w:rsid w:val="002A4B89"/>
    <w:rsid w:val="00315916"/>
    <w:rsid w:val="00342D39"/>
    <w:rsid w:val="00387843"/>
    <w:rsid w:val="0039338E"/>
    <w:rsid w:val="003B07AE"/>
    <w:rsid w:val="003B5760"/>
    <w:rsid w:val="003D4284"/>
    <w:rsid w:val="00452077"/>
    <w:rsid w:val="0049548B"/>
    <w:rsid w:val="004D3C1F"/>
    <w:rsid w:val="005D0DD1"/>
    <w:rsid w:val="005E2FBC"/>
    <w:rsid w:val="00667357"/>
    <w:rsid w:val="006719CF"/>
    <w:rsid w:val="006813C0"/>
    <w:rsid w:val="00692611"/>
    <w:rsid w:val="006B482C"/>
    <w:rsid w:val="006C1ED5"/>
    <w:rsid w:val="006D5C96"/>
    <w:rsid w:val="00724BFF"/>
    <w:rsid w:val="00734CB8"/>
    <w:rsid w:val="007477AD"/>
    <w:rsid w:val="0075433F"/>
    <w:rsid w:val="007822AE"/>
    <w:rsid w:val="007D0A93"/>
    <w:rsid w:val="007F3BD0"/>
    <w:rsid w:val="00805D47"/>
    <w:rsid w:val="008248FA"/>
    <w:rsid w:val="00887B17"/>
    <w:rsid w:val="00887E95"/>
    <w:rsid w:val="008B19A6"/>
    <w:rsid w:val="008C63D7"/>
    <w:rsid w:val="008C667F"/>
    <w:rsid w:val="00905DA1"/>
    <w:rsid w:val="00987EDA"/>
    <w:rsid w:val="009A10E1"/>
    <w:rsid w:val="009D46C4"/>
    <w:rsid w:val="009D6A9E"/>
    <w:rsid w:val="00A025E1"/>
    <w:rsid w:val="00A353C6"/>
    <w:rsid w:val="00A85AC9"/>
    <w:rsid w:val="00A921FD"/>
    <w:rsid w:val="00AB072A"/>
    <w:rsid w:val="00AB49B7"/>
    <w:rsid w:val="00B35D04"/>
    <w:rsid w:val="00B60474"/>
    <w:rsid w:val="00B81358"/>
    <w:rsid w:val="00BF2DF8"/>
    <w:rsid w:val="00C061A0"/>
    <w:rsid w:val="00C11BDD"/>
    <w:rsid w:val="00C50B60"/>
    <w:rsid w:val="00C52A0D"/>
    <w:rsid w:val="00C9364A"/>
    <w:rsid w:val="00CA2C6C"/>
    <w:rsid w:val="00CA6434"/>
    <w:rsid w:val="00CD65DE"/>
    <w:rsid w:val="00D0009A"/>
    <w:rsid w:val="00D14AD5"/>
    <w:rsid w:val="00D325EC"/>
    <w:rsid w:val="00D40771"/>
    <w:rsid w:val="00D81728"/>
    <w:rsid w:val="00DB1553"/>
    <w:rsid w:val="00DE3054"/>
    <w:rsid w:val="00E42018"/>
    <w:rsid w:val="00E82E99"/>
    <w:rsid w:val="00E87D45"/>
    <w:rsid w:val="00EA3BB2"/>
    <w:rsid w:val="00EE278C"/>
    <w:rsid w:val="00EF7155"/>
    <w:rsid w:val="00F41E80"/>
    <w:rsid w:val="00F42543"/>
    <w:rsid w:val="00F53172"/>
    <w:rsid w:val="00F870B3"/>
    <w:rsid w:val="00FA0615"/>
    <w:rsid w:val="00FC1E7F"/>
    <w:rsid w:val="00FF7A94"/>
    <w:rsid w:val="010742D5"/>
    <w:rsid w:val="010F7B98"/>
    <w:rsid w:val="01270A4D"/>
    <w:rsid w:val="01851778"/>
    <w:rsid w:val="01A729ED"/>
    <w:rsid w:val="01AE11E6"/>
    <w:rsid w:val="01B729F0"/>
    <w:rsid w:val="01E96BCD"/>
    <w:rsid w:val="01F53A09"/>
    <w:rsid w:val="02222883"/>
    <w:rsid w:val="02A01370"/>
    <w:rsid w:val="02C62BA9"/>
    <w:rsid w:val="03025DB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A0262C"/>
    <w:rsid w:val="05B01B1D"/>
    <w:rsid w:val="05E17C80"/>
    <w:rsid w:val="05E55725"/>
    <w:rsid w:val="05E5760D"/>
    <w:rsid w:val="05E65C8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995AC4"/>
    <w:rsid w:val="0BCE1370"/>
    <w:rsid w:val="0BCF240A"/>
    <w:rsid w:val="0BD84E5C"/>
    <w:rsid w:val="0BE34CD8"/>
    <w:rsid w:val="0BE83010"/>
    <w:rsid w:val="0BF47D4E"/>
    <w:rsid w:val="0BF86799"/>
    <w:rsid w:val="0C377F1F"/>
    <w:rsid w:val="0C516743"/>
    <w:rsid w:val="0C5D1BDB"/>
    <w:rsid w:val="0C7E2237"/>
    <w:rsid w:val="0CA34118"/>
    <w:rsid w:val="0CA758F8"/>
    <w:rsid w:val="0CB8175A"/>
    <w:rsid w:val="0CC32B45"/>
    <w:rsid w:val="0CCD457A"/>
    <w:rsid w:val="0CED2959"/>
    <w:rsid w:val="0CEF3BF8"/>
    <w:rsid w:val="0D000761"/>
    <w:rsid w:val="0D3F7F2E"/>
    <w:rsid w:val="0D6344EC"/>
    <w:rsid w:val="0D705EC6"/>
    <w:rsid w:val="0D7446FA"/>
    <w:rsid w:val="0DB14507"/>
    <w:rsid w:val="0DB757B9"/>
    <w:rsid w:val="0DE545F3"/>
    <w:rsid w:val="0DE7555E"/>
    <w:rsid w:val="0E0316BF"/>
    <w:rsid w:val="0E072513"/>
    <w:rsid w:val="0F0D0D2C"/>
    <w:rsid w:val="0F191A31"/>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BA7758"/>
    <w:rsid w:val="11C20C82"/>
    <w:rsid w:val="11C8536C"/>
    <w:rsid w:val="11D0460B"/>
    <w:rsid w:val="11DE5C79"/>
    <w:rsid w:val="12101447"/>
    <w:rsid w:val="12215961"/>
    <w:rsid w:val="125F1817"/>
    <w:rsid w:val="128D04EC"/>
    <w:rsid w:val="12AA2320"/>
    <w:rsid w:val="12DB53B1"/>
    <w:rsid w:val="12E81B94"/>
    <w:rsid w:val="13257C63"/>
    <w:rsid w:val="132B2C59"/>
    <w:rsid w:val="133707C2"/>
    <w:rsid w:val="13441C72"/>
    <w:rsid w:val="134C77A5"/>
    <w:rsid w:val="1363532F"/>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00DC2"/>
    <w:rsid w:val="15AF033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235E8A"/>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355BC"/>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735F3"/>
    <w:rsid w:val="2C6B41B7"/>
    <w:rsid w:val="2CAF7AE9"/>
    <w:rsid w:val="2CB550EC"/>
    <w:rsid w:val="2CF947D9"/>
    <w:rsid w:val="2CFA06CC"/>
    <w:rsid w:val="2D3F090C"/>
    <w:rsid w:val="2D473273"/>
    <w:rsid w:val="2D8167C0"/>
    <w:rsid w:val="2D9C1D44"/>
    <w:rsid w:val="2DAB174B"/>
    <w:rsid w:val="2DAC3053"/>
    <w:rsid w:val="2DB40F04"/>
    <w:rsid w:val="2DB55317"/>
    <w:rsid w:val="2DD04A2C"/>
    <w:rsid w:val="2DD120F4"/>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3C3560A"/>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BD2DA4"/>
    <w:rsid w:val="35C33EC5"/>
    <w:rsid w:val="35C81BD5"/>
    <w:rsid w:val="35CF6801"/>
    <w:rsid w:val="35DE1818"/>
    <w:rsid w:val="35ED404E"/>
    <w:rsid w:val="36243C2B"/>
    <w:rsid w:val="36311A00"/>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137C7"/>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0F47F6B"/>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A131AB1"/>
    <w:rsid w:val="4A34760C"/>
    <w:rsid w:val="4A64259A"/>
    <w:rsid w:val="4AA4128B"/>
    <w:rsid w:val="4AAA7028"/>
    <w:rsid w:val="4AD50D4A"/>
    <w:rsid w:val="4ADC75C4"/>
    <w:rsid w:val="4B2977E3"/>
    <w:rsid w:val="4B3A3263"/>
    <w:rsid w:val="4B404F96"/>
    <w:rsid w:val="4B5F395F"/>
    <w:rsid w:val="4BB73A13"/>
    <w:rsid w:val="4BE22955"/>
    <w:rsid w:val="4C491FB6"/>
    <w:rsid w:val="4C60411D"/>
    <w:rsid w:val="4C9743B6"/>
    <w:rsid w:val="4CA56DBD"/>
    <w:rsid w:val="4CCD70EB"/>
    <w:rsid w:val="4CD15334"/>
    <w:rsid w:val="4CDC2AC2"/>
    <w:rsid w:val="4CEF194A"/>
    <w:rsid w:val="4D0F6738"/>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229273F"/>
    <w:rsid w:val="52547228"/>
    <w:rsid w:val="529432E6"/>
    <w:rsid w:val="52A8026E"/>
    <w:rsid w:val="52EC7710"/>
    <w:rsid w:val="530A4B2E"/>
    <w:rsid w:val="532C197B"/>
    <w:rsid w:val="534C6115"/>
    <w:rsid w:val="53561F88"/>
    <w:rsid w:val="536B5C40"/>
    <w:rsid w:val="53BC34C4"/>
    <w:rsid w:val="53CE29B7"/>
    <w:rsid w:val="53E93F16"/>
    <w:rsid w:val="53F04BF7"/>
    <w:rsid w:val="54033792"/>
    <w:rsid w:val="540337E7"/>
    <w:rsid w:val="54142032"/>
    <w:rsid w:val="54143B82"/>
    <w:rsid w:val="54451376"/>
    <w:rsid w:val="54776BE8"/>
    <w:rsid w:val="547B2C44"/>
    <w:rsid w:val="547F7066"/>
    <w:rsid w:val="548C0083"/>
    <w:rsid w:val="54BC10AE"/>
    <w:rsid w:val="54C17723"/>
    <w:rsid w:val="54DE257B"/>
    <w:rsid w:val="54F82DE2"/>
    <w:rsid w:val="55091415"/>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DCC328F"/>
    <w:rsid w:val="5E146811"/>
    <w:rsid w:val="5E3F1ED0"/>
    <w:rsid w:val="5E4A015A"/>
    <w:rsid w:val="5E4E1E2F"/>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CD0005"/>
    <w:rsid w:val="61D41854"/>
    <w:rsid w:val="61F46458"/>
    <w:rsid w:val="62282B27"/>
    <w:rsid w:val="625A6442"/>
    <w:rsid w:val="62C31135"/>
    <w:rsid w:val="62C76106"/>
    <w:rsid w:val="62CC474C"/>
    <w:rsid w:val="637B0B27"/>
    <w:rsid w:val="63874046"/>
    <w:rsid w:val="638B4892"/>
    <w:rsid w:val="63BB45AD"/>
    <w:rsid w:val="63C73E6D"/>
    <w:rsid w:val="63D65F78"/>
    <w:rsid w:val="63DD4529"/>
    <w:rsid w:val="63FC0611"/>
    <w:rsid w:val="64010633"/>
    <w:rsid w:val="641222ED"/>
    <w:rsid w:val="642B5582"/>
    <w:rsid w:val="644878A5"/>
    <w:rsid w:val="64516BFF"/>
    <w:rsid w:val="64643953"/>
    <w:rsid w:val="64963CFA"/>
    <w:rsid w:val="64B31A3E"/>
    <w:rsid w:val="64BB7086"/>
    <w:rsid w:val="64DF720B"/>
    <w:rsid w:val="64FB2F8F"/>
    <w:rsid w:val="6502750F"/>
    <w:rsid w:val="65321D1C"/>
    <w:rsid w:val="655769D7"/>
    <w:rsid w:val="658C66C4"/>
    <w:rsid w:val="65B76CC0"/>
    <w:rsid w:val="65C86337"/>
    <w:rsid w:val="65DC6542"/>
    <w:rsid w:val="65E61395"/>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702EDC"/>
    <w:rsid w:val="76944E76"/>
    <w:rsid w:val="769A26CA"/>
    <w:rsid w:val="76C34928"/>
    <w:rsid w:val="76D17FE1"/>
    <w:rsid w:val="76DF15B8"/>
    <w:rsid w:val="76FB601C"/>
    <w:rsid w:val="7708778F"/>
    <w:rsid w:val="770B7BD2"/>
    <w:rsid w:val="778364BE"/>
    <w:rsid w:val="7799548D"/>
    <w:rsid w:val="77ED1FBE"/>
    <w:rsid w:val="784E6D7F"/>
    <w:rsid w:val="787764A6"/>
    <w:rsid w:val="78867CFB"/>
    <w:rsid w:val="78AE1EE3"/>
    <w:rsid w:val="78D06FA5"/>
    <w:rsid w:val="78F044C0"/>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numPr>
        <w:ilvl w:val="0"/>
        <w:numId w:val="1"/>
      </w:numPr>
      <w:spacing w:before="60" w:after="60"/>
      <w:jc w:val="center"/>
      <w:outlineLvl w:val="0"/>
    </w:pPr>
    <w:rPr>
      <w:b/>
      <w:bCs/>
      <w:kern w:val="44"/>
      <w:sz w:val="44"/>
      <w:szCs w:val="44"/>
    </w:rPr>
  </w:style>
  <w:style w:type="paragraph" w:styleId="4">
    <w:name w:val="heading 2"/>
    <w:basedOn w:val="1"/>
    <w:next w:val="1"/>
    <w:link w:val="6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62"/>
    <w:unhideWhenUsed/>
    <w:qFormat/>
    <w:uiPriority w:val="0"/>
    <w:pPr>
      <w:keepNext/>
      <w:keepLines/>
      <w:tabs>
        <w:tab w:val="left" w:pos="8280"/>
      </w:tabs>
      <w:spacing w:before="260" w:after="260" w:line="416" w:lineRule="auto"/>
      <w:outlineLvl w:val="2"/>
    </w:pPr>
    <w:rPr>
      <w:bCs/>
      <w:szCs w:val="32"/>
    </w:rPr>
  </w:style>
  <w:style w:type="paragraph" w:styleId="2">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unhideWhenUsed/>
    <w:qFormat/>
    <w:uiPriority w:val="0"/>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1"/>
    <w:link w:val="63"/>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0"/>
    <w:pPr>
      <w:ind w:left="1000"/>
    </w:pPr>
    <w:rPr>
      <w:sz w:val="18"/>
    </w:r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3"/>
    <w:qFormat/>
    <w:uiPriority w:val="0"/>
    <w:rPr>
      <w:sz w:val="18"/>
      <w:szCs w:val="18"/>
    </w:rPr>
  </w:style>
  <w:style w:type="paragraph" w:styleId="17">
    <w:name w:val="footer"/>
    <w:basedOn w:val="1"/>
    <w:link w:val="64"/>
    <w:qFormat/>
    <w:uiPriority w:val="0"/>
    <w:pPr>
      <w:tabs>
        <w:tab w:val="center" w:pos="4153"/>
        <w:tab w:val="right" w:pos="8306"/>
      </w:tabs>
      <w:snapToGrid w:val="0"/>
      <w:jc w:val="left"/>
    </w:pPr>
    <w:rPr>
      <w:sz w:val="18"/>
    </w:rPr>
  </w:style>
  <w:style w:type="paragraph" w:styleId="18">
    <w:name w:val="header"/>
    <w:basedOn w:val="1"/>
    <w:link w:val="6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footnote text"/>
    <w:basedOn w:val="1"/>
    <w:qFormat/>
    <w:uiPriority w:val="0"/>
    <w:pPr>
      <w:widowControl/>
      <w:spacing w:line="360" w:lineRule="auto"/>
      <w:ind w:firstLine="200" w:firstLineChars="200"/>
      <w:jc w:val="left"/>
    </w:pPr>
    <w:rPr>
      <w:sz w:val="18"/>
      <w:szCs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13"/>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0"/>
    <w:rPr>
      <w:color w:val="0000FF"/>
      <w:u w:val="single"/>
    </w:rPr>
  </w:style>
  <w:style w:type="character" w:styleId="28">
    <w:name w:val="annotation reference"/>
    <w:basedOn w:val="25"/>
    <w:qFormat/>
    <w:uiPriority w:val="0"/>
    <w:rPr>
      <w:sz w:val="21"/>
      <w:szCs w:val="21"/>
    </w:rPr>
  </w:style>
  <w:style w:type="character" w:styleId="29">
    <w:name w:val="footnote reference"/>
    <w:qFormat/>
    <w:uiPriority w:val="0"/>
    <w:rPr>
      <w:vertAlign w:val="superscript"/>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0"/>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5"/>
    <w:qFormat/>
    <w:uiPriority w:val="0"/>
    <w:rPr>
      <w:rFonts w:hint="default" w:ascii="Arial" w:hAnsi="Arial" w:cs="Arial"/>
      <w:color w:val="000000"/>
      <w:sz w:val="20"/>
      <w:szCs w:val="20"/>
      <w:u w:val="none"/>
    </w:rPr>
  </w:style>
  <w:style w:type="character" w:customStyle="1" w:styleId="47">
    <w:name w:val="font01"/>
    <w:basedOn w:val="25"/>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5"/>
    <w:link w:val="16"/>
    <w:qFormat/>
    <w:uiPriority w:val="0"/>
    <w:rPr>
      <w:kern w:val="2"/>
      <w:sz w:val="18"/>
      <w:szCs w:val="18"/>
    </w:rPr>
  </w:style>
  <w:style w:type="paragraph" w:customStyle="1" w:styleId="54">
    <w:name w:val="英文"/>
    <w:basedOn w:val="1"/>
    <w:link w:val="56"/>
    <w:qFormat/>
    <w:uiPriority w:val="0"/>
    <w:pPr>
      <w:adjustRightInd w:val="0"/>
      <w:snapToGrid w:val="0"/>
      <w:spacing w:line="360" w:lineRule="auto"/>
      <w:ind w:firstLine="480" w:firstLineChars="200"/>
    </w:pPr>
    <w:rPr>
      <w:rFonts w:ascii="Arial" w:hAnsi="Arial" w:cs="Arial"/>
      <w:sz w:val="24"/>
    </w:rPr>
  </w:style>
  <w:style w:type="paragraph" w:customStyle="1" w:styleId="55">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4"/>
    <w:qFormat/>
    <w:uiPriority w:val="0"/>
    <w:rPr>
      <w:rFonts w:ascii="Arial" w:hAnsi="Arial" w:cs="Arial"/>
      <w:sz w:val="24"/>
    </w:rPr>
  </w:style>
  <w:style w:type="paragraph" w:customStyle="1" w:styleId="57">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8">
    <w:name w:val="标题 4 Char"/>
    <w:basedOn w:val="25"/>
    <w:link w:val="2"/>
    <w:qFormat/>
    <w:uiPriority w:val="0"/>
    <w:rPr>
      <w:rFonts w:asciiTheme="majorHAnsi" w:hAnsiTheme="majorHAnsi" w:eastAsiaTheme="majorEastAsia" w:cstheme="majorBidi"/>
      <w:b/>
      <w:bCs/>
      <w:kern w:val="2"/>
      <w:sz w:val="28"/>
      <w:szCs w:val="28"/>
    </w:rPr>
  </w:style>
  <w:style w:type="character" w:customStyle="1" w:styleId="59">
    <w:name w:val="标题 5 Char"/>
    <w:basedOn w:val="25"/>
    <w:link w:val="6"/>
    <w:qFormat/>
    <w:uiPriority w:val="0"/>
    <w:rPr>
      <w:b/>
      <w:bCs/>
      <w:kern w:val="2"/>
      <w:sz w:val="28"/>
      <w:szCs w:val="28"/>
    </w:rPr>
  </w:style>
  <w:style w:type="character" w:customStyle="1" w:styleId="60">
    <w:name w:val="标题 1 Char"/>
    <w:basedOn w:val="25"/>
    <w:link w:val="3"/>
    <w:qFormat/>
    <w:uiPriority w:val="0"/>
    <w:rPr>
      <w:b/>
      <w:bCs/>
      <w:kern w:val="44"/>
      <w:sz w:val="44"/>
      <w:szCs w:val="44"/>
    </w:rPr>
  </w:style>
  <w:style w:type="character" w:customStyle="1" w:styleId="61">
    <w:name w:val="标题 2 Char"/>
    <w:basedOn w:val="25"/>
    <w:link w:val="4"/>
    <w:qFormat/>
    <w:uiPriority w:val="0"/>
    <w:rPr>
      <w:rFonts w:ascii="宋体" w:hAnsi="宋体"/>
      <w:b/>
      <w:kern w:val="2"/>
      <w:sz w:val="32"/>
      <w:szCs w:val="28"/>
    </w:rPr>
  </w:style>
  <w:style w:type="character" w:customStyle="1" w:styleId="62">
    <w:name w:val="标题 3 Char"/>
    <w:basedOn w:val="25"/>
    <w:link w:val="5"/>
    <w:qFormat/>
    <w:uiPriority w:val="0"/>
    <w:rPr>
      <w:bCs/>
      <w:kern w:val="2"/>
      <w:sz w:val="21"/>
      <w:szCs w:val="32"/>
    </w:rPr>
  </w:style>
  <w:style w:type="character" w:customStyle="1" w:styleId="63">
    <w:name w:val="正文文本 Char"/>
    <w:basedOn w:val="25"/>
    <w:link w:val="10"/>
    <w:qFormat/>
    <w:uiPriority w:val="0"/>
    <w:rPr>
      <w:kern w:val="2"/>
      <w:sz w:val="24"/>
      <w:szCs w:val="24"/>
    </w:rPr>
  </w:style>
  <w:style w:type="character" w:customStyle="1" w:styleId="64">
    <w:name w:val="页脚 Char"/>
    <w:basedOn w:val="25"/>
    <w:link w:val="17"/>
    <w:qFormat/>
    <w:uiPriority w:val="0"/>
    <w:rPr>
      <w:kern w:val="2"/>
      <w:sz w:val="18"/>
      <w:szCs w:val="24"/>
    </w:rPr>
  </w:style>
  <w:style w:type="character" w:customStyle="1" w:styleId="65">
    <w:name w:val="页眉 Char"/>
    <w:basedOn w:val="25"/>
    <w:link w:val="18"/>
    <w:qFormat/>
    <w:uiPriority w:val="0"/>
    <w:rPr>
      <w:kern w:val="2"/>
      <w:sz w:val="18"/>
      <w:szCs w:val="24"/>
    </w:rPr>
  </w:style>
  <w:style w:type="paragraph" w:customStyle="1" w:styleId="66">
    <w:name w:val="正文文本1"/>
    <w:basedOn w:val="1"/>
    <w:qFormat/>
    <w:uiPriority w:val="0"/>
    <w:pPr>
      <w:shd w:val="clear" w:color="auto" w:fill="FFFFFF"/>
      <w:spacing w:line="408" w:lineRule="auto"/>
      <w:ind w:firstLine="400" w:firstLineChars="200"/>
      <w:jc w:val="left"/>
    </w:pPr>
    <w:rPr>
      <w:rFonts w:ascii="MingLiU" w:hAnsi="MingLiU" w:eastAsia="MingLiU" w:cs="MingLiU"/>
      <w:sz w:val="20"/>
      <w:szCs w:val="20"/>
      <w:lang w:val="zh-CN" w:bidi="zh-CN"/>
    </w:rPr>
  </w:style>
  <w:style w:type="paragraph" w:customStyle="1" w:styleId="67">
    <w:name w:val="!正文"/>
    <w:basedOn w:val="1"/>
    <w:qFormat/>
    <w:uiPriority w:val="0"/>
    <w:pPr>
      <w:spacing w:line="360" w:lineRule="auto"/>
      <w:ind w:firstLine="480" w:firstLineChars="200"/>
    </w:pPr>
    <w:rPr>
      <w:rFonts w:ascii="Calibri" w:hAnsi="Calibri"/>
      <w:sz w:val="24"/>
      <w:szCs w:val="21"/>
    </w:rPr>
  </w:style>
  <w:style w:type="paragraph" w:customStyle="1" w:styleId="68">
    <w:name w:val="Char"/>
    <w:basedOn w:val="1"/>
    <w:qFormat/>
    <w:uiPriority w:val="0"/>
    <w:pPr>
      <w:spacing w:line="300" w:lineRule="auto"/>
      <w:ind w:firstLine="200" w:firstLineChars="200"/>
    </w:pPr>
  </w:style>
  <w:style w:type="paragraph" w:customStyle="1" w:styleId="69">
    <w:name w:val="标题 #2"/>
    <w:basedOn w:val="1"/>
    <w:qFormat/>
    <w:uiPriority w:val="0"/>
    <w:pPr>
      <w:shd w:val="clear" w:color="auto" w:fill="FFFFFF"/>
      <w:spacing w:before="150" w:after="210" w:line="300" w:lineRule="auto"/>
      <w:ind w:firstLine="200" w:firstLineChars="200"/>
      <w:jc w:val="left"/>
      <w:outlineLvl w:val="1"/>
    </w:pPr>
    <w:rPr>
      <w:rFonts w:ascii="MingLiU" w:hAnsi="MingLiU" w:eastAsia="MingLiU" w:cs="MingLiU"/>
      <w:sz w:val="24"/>
      <w:szCs w:val="28"/>
      <w:lang w:val="zh-CN" w:bidi="zh-CN"/>
    </w:rPr>
  </w:style>
  <w:style w:type="paragraph" w:customStyle="1" w:styleId="70">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列出段落3"/>
    <w:basedOn w:val="1"/>
    <w:qFormat/>
    <w:uiPriority w:val="99"/>
    <w:pPr>
      <w:ind w:firstLine="420" w:firstLineChars="200"/>
    </w:pPr>
  </w:style>
  <w:style w:type="character" w:customStyle="1" w:styleId="73">
    <w:name w:val="font11"/>
    <w:basedOn w:val="2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0A235-88E4-4F8C-8820-0372EC16DC72}">
  <ds:schemaRefs/>
</ds:datastoreItem>
</file>

<file path=docProps/app.xml><?xml version="1.0" encoding="utf-8"?>
<Properties xmlns="http://schemas.openxmlformats.org/officeDocument/2006/extended-properties" xmlns:vt="http://schemas.openxmlformats.org/officeDocument/2006/docPropsVTypes">
  <Template>Normal.dotm</Template>
  <Company>浙江网高科技有限公司</Company>
  <Pages>68</Pages>
  <Words>29572</Words>
  <Characters>31201</Characters>
  <Lines>254</Lines>
  <Paragraphs>71</Paragraphs>
  <TotalTime>0</TotalTime>
  <ScaleCrop>false</ScaleCrop>
  <LinksUpToDate>false</LinksUpToDate>
  <CharactersWithSpaces>33334</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2022-01-05T06:58:00Z</dcterms:created>
  <dc:creator>Thorpe521</dc:creator>
  <cp:lastModifiedBy>杨标</cp:lastModifiedBy>
  <dcterms:modified xsi:type="dcterms:W3CDTF">2024-08-27T02:31:07Z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36E951C275C64AAFB9F0F0A534DEE5EF_13</vt:lpwstr>
  </property>
</Properties>
</file>