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hint="eastAsia" w:ascii="宋体" w:hAnsi="宋体" w:cs="宋体"/>
          <w:color w:val="auto"/>
          <w:sz w:val="52"/>
          <w:szCs w:val="52"/>
          <w:highlight w:val="none"/>
          <w:lang w:eastAsia="zh-CN"/>
        </w:rPr>
      </w:pPr>
    </w:p>
    <w:p>
      <w:pPr>
        <w:adjustRightInd w:val="0"/>
        <w:snapToGrid w:val="0"/>
        <w:spacing w:line="312" w:lineRule="auto"/>
        <w:jc w:val="center"/>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衢州市寺桥水库开发建设有限公司</w:t>
      </w:r>
    </w:p>
    <w:p>
      <w:pPr>
        <w:adjustRightInd w:val="0"/>
        <w:snapToGrid w:val="0"/>
        <w:spacing w:line="312" w:lineRule="auto"/>
        <w:jc w:val="center"/>
        <w:rPr>
          <w:rFonts w:hint="eastAsia" w:ascii="宋体" w:hAnsi="宋体" w:cs="宋体"/>
          <w:color w:val="auto"/>
          <w:sz w:val="52"/>
          <w:szCs w:val="52"/>
          <w:highlight w:val="none"/>
          <w:lang w:val="en-US" w:eastAsia="zh-CN"/>
        </w:rPr>
      </w:pPr>
      <w:r>
        <w:rPr>
          <w:rFonts w:hint="eastAsia" w:ascii="宋体" w:hAnsi="宋体" w:cs="宋体"/>
          <w:color w:val="auto"/>
          <w:sz w:val="52"/>
          <w:szCs w:val="52"/>
          <w:highlight w:val="none"/>
          <w:lang w:val="en-US" w:eastAsia="zh-CN"/>
        </w:rPr>
        <w:t>砂石料代加工服务</w:t>
      </w:r>
    </w:p>
    <w:p>
      <w:pPr>
        <w:pStyle w:val="2"/>
        <w:rPr>
          <w:rFonts w:hint="default"/>
          <w:color w:val="auto"/>
          <w:highlight w:val="none"/>
          <w:lang w:val="en-US" w:eastAsia="zh-CN"/>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adjustRightInd w:val="0"/>
        <w:snapToGrid w:val="0"/>
        <w:spacing w:line="312" w:lineRule="auto"/>
        <w:jc w:val="center"/>
        <w:rPr>
          <w:rFonts w:hint="eastAsia" w:ascii="宋体" w:hAnsi="宋体" w:eastAsia="宋体" w:cs="宋体"/>
          <w:b/>
          <w:bCs/>
          <w:color w:val="auto"/>
          <w:sz w:val="84"/>
          <w:szCs w:val="84"/>
          <w:highlight w:val="none"/>
          <w:lang w:val="en-US" w:eastAsia="zh-CN"/>
        </w:rPr>
      </w:pPr>
      <w:r>
        <w:rPr>
          <w:rFonts w:hint="eastAsia" w:ascii="宋体" w:hAnsi="宋体" w:cs="宋体"/>
          <w:b/>
          <w:bCs/>
          <w:color w:val="auto"/>
          <w:sz w:val="84"/>
          <w:szCs w:val="84"/>
          <w:highlight w:val="none"/>
        </w:rPr>
        <w:t>竞争性磋商文件</w:t>
      </w:r>
      <w:r>
        <w:rPr>
          <w:rFonts w:hint="eastAsia" w:ascii="宋体" w:hAnsi="宋体" w:cs="宋体"/>
          <w:b/>
          <w:bCs/>
          <w:color w:val="auto"/>
          <w:sz w:val="84"/>
          <w:szCs w:val="84"/>
          <w:highlight w:val="none"/>
          <w:lang w:val="en-US" w:eastAsia="zh-CN"/>
        </w:rPr>
        <w:t xml:space="preserve"> </w:t>
      </w:r>
    </w:p>
    <w:p>
      <w:pPr>
        <w:adjustRightInd w:val="0"/>
        <w:snapToGrid w:val="0"/>
        <w:spacing w:line="312" w:lineRule="auto"/>
        <w:rPr>
          <w:rFonts w:hint="eastAsia" w:ascii="宋体" w:hAnsi="宋体" w:cs="宋体"/>
          <w:color w:val="auto"/>
          <w:sz w:val="84"/>
          <w:szCs w:val="84"/>
          <w:highlight w:val="none"/>
          <w14:shadow w14:blurRad="50800" w14:dist="38100" w14:dir="2700000" w14:sx="100000" w14:sy="100000" w14:kx="0" w14:ky="0" w14:algn="tl">
            <w14:srgbClr w14:val="000000">
              <w14:alpha w14:val="60000"/>
            </w14:srgbClr>
          </w14:shadow>
        </w:rPr>
      </w:pPr>
    </w:p>
    <w:p>
      <w:pPr>
        <w:pStyle w:val="2"/>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napToGrid w:val="0"/>
        <w:spacing w:line="312" w:lineRule="auto"/>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 目 名 称：</w:t>
      </w:r>
      <w:r>
        <w:rPr>
          <w:rFonts w:hint="eastAsia" w:ascii="宋体" w:hAnsi="宋体" w:cs="宋体"/>
          <w:color w:val="auto"/>
          <w:sz w:val="32"/>
          <w:szCs w:val="32"/>
          <w:highlight w:val="none"/>
          <w:lang w:val="en-US" w:eastAsia="zh-CN"/>
        </w:rPr>
        <w:t xml:space="preserve"> 砂石料代加工服务</w:t>
      </w:r>
    </w:p>
    <w:p>
      <w:pPr>
        <w:snapToGrid w:val="0"/>
        <w:spacing w:line="312" w:lineRule="auto"/>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 xml:space="preserve">项 目 编 号： </w:t>
      </w:r>
      <w:r>
        <w:rPr>
          <w:rFonts w:hint="eastAsia" w:ascii="宋体" w:hAnsi="宋体" w:cs="宋体"/>
          <w:color w:val="auto"/>
          <w:sz w:val="32"/>
          <w:szCs w:val="32"/>
          <w:highlight w:val="none"/>
          <w:lang w:eastAsia="zh-CN"/>
        </w:rPr>
        <w:t>ZZCG2020045</w:t>
      </w:r>
    </w:p>
    <w:p>
      <w:pPr>
        <w:snapToGrid w:val="0"/>
        <w:spacing w:line="312" w:lineRule="auto"/>
        <w:jc w:val="left"/>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rPr>
        <w:t xml:space="preserve">采   购  人： </w:t>
      </w:r>
      <w:r>
        <w:rPr>
          <w:rFonts w:hint="eastAsia" w:ascii="宋体" w:hAnsi="宋体" w:cs="宋体"/>
          <w:color w:val="auto"/>
          <w:sz w:val="32"/>
          <w:szCs w:val="32"/>
          <w:highlight w:val="none"/>
          <w:lang w:eastAsia="zh-CN"/>
        </w:rPr>
        <w:t>衢州市寺桥水库开发建设有限公司</w:t>
      </w:r>
    </w:p>
    <w:p>
      <w:pPr>
        <w:snapToGrid w:val="0"/>
        <w:spacing w:line="312" w:lineRule="auto"/>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采购代理机构：</w:t>
      </w:r>
      <w:r>
        <w:rPr>
          <w:rFonts w:hint="eastAsia" w:ascii="宋体" w:hAnsi="宋体" w:cs="宋体"/>
          <w:color w:val="auto"/>
          <w:sz w:val="32"/>
          <w:szCs w:val="32"/>
          <w:highlight w:val="none"/>
          <w:lang w:eastAsia="zh-CN"/>
        </w:rPr>
        <w:t>浙江中正工程项目管理有限公司</w:t>
      </w:r>
    </w:p>
    <w:p>
      <w:pPr>
        <w:pStyle w:val="37"/>
        <w:snapToGrid w:val="0"/>
        <w:spacing w:after="0" w:line="312" w:lineRule="auto"/>
        <w:ind w:firstLine="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pStyle w:val="37"/>
        <w:snapToGrid w:val="0"/>
        <w:spacing w:after="0" w:line="312" w:lineRule="auto"/>
        <w:ind w:firstLine="0"/>
        <w:jc w:val="center"/>
        <w:rPr>
          <w:rFonts w:hint="eastAsia"/>
          <w:color w:val="auto"/>
          <w:sz w:val="36"/>
          <w:szCs w:val="36"/>
          <w:highlight w:val="none"/>
        </w:rPr>
        <w:sectPr>
          <w:pgSz w:w="11906" w:h="16838"/>
          <w:pgMar w:top="1418" w:right="1418" w:bottom="1418" w:left="1418" w:header="851" w:footer="992" w:gutter="0"/>
          <w:pgNumType w:fmt="decimal" w:start="1"/>
          <w:cols w:space="720" w:num="1"/>
          <w:docGrid w:linePitch="312" w:charSpace="0"/>
        </w:sectPr>
      </w:pPr>
      <w:r>
        <w:rPr>
          <w:rFonts w:hint="eastAsia" w:ascii="宋体" w:hAnsi="宋体" w:cs="宋体"/>
          <w:color w:val="auto"/>
          <w:sz w:val="32"/>
          <w:szCs w:val="32"/>
          <w:highlight w:val="none"/>
        </w:rPr>
        <w:t>二○二○年</w:t>
      </w:r>
      <w:r>
        <w:rPr>
          <w:rFonts w:hint="eastAsia" w:ascii="宋体" w:hAnsi="宋体" w:cs="宋体"/>
          <w:color w:val="auto"/>
          <w:sz w:val="32"/>
          <w:szCs w:val="32"/>
          <w:highlight w:val="none"/>
          <w:lang w:eastAsia="zh-CN"/>
        </w:rPr>
        <w:t>七</w:t>
      </w:r>
      <w:r>
        <w:rPr>
          <w:rFonts w:hint="eastAsia" w:ascii="宋体" w:hAnsi="宋体" w:cs="宋体"/>
          <w:color w:val="auto"/>
          <w:sz w:val="32"/>
          <w:szCs w:val="32"/>
          <w:highlight w:val="none"/>
        </w:rPr>
        <w:t>月</w:t>
      </w:r>
      <w:bookmarkStart w:id="0" w:name="_Hlk293644156"/>
    </w:p>
    <w:p>
      <w:pPr>
        <w:pStyle w:val="18"/>
        <w:spacing w:line="312" w:lineRule="auto"/>
        <w:jc w:val="center"/>
        <w:rPr>
          <w:rFonts w:hint="eastAsia"/>
          <w:color w:val="auto"/>
          <w:sz w:val="36"/>
          <w:szCs w:val="36"/>
          <w:highlight w:val="none"/>
        </w:rPr>
      </w:pPr>
    </w:p>
    <w:p>
      <w:pPr>
        <w:pStyle w:val="18"/>
        <w:spacing w:line="312" w:lineRule="auto"/>
        <w:jc w:val="center"/>
        <w:rPr>
          <w:rFonts w:hint="eastAsia"/>
          <w:b/>
          <w:bCs/>
          <w:color w:val="auto"/>
          <w:sz w:val="32"/>
          <w:szCs w:val="32"/>
          <w:highlight w:val="none"/>
        </w:rPr>
      </w:pPr>
      <w:r>
        <w:rPr>
          <w:rFonts w:hint="eastAsia"/>
          <w:b/>
          <w:bCs/>
          <w:color w:val="auto"/>
          <w:sz w:val="32"/>
          <w:szCs w:val="32"/>
          <w:highlight w:val="none"/>
        </w:rPr>
        <w:t>目   录</w:t>
      </w:r>
    </w:p>
    <w:p>
      <w:pPr>
        <w:pStyle w:val="16"/>
        <w:keepNext w:val="0"/>
        <w:keepLines w:val="0"/>
        <w:pageBreakBefore w:val="0"/>
        <w:tabs>
          <w:tab w:val="right" w:leader="dot" w:pos="9128"/>
          <w:tab w:val="clear" w:pos="860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TOC \o "1-3" \h \z \u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_Toc2419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fldChar w:fldCharType="end"/>
      </w:r>
    </w:p>
    <w:p>
      <w:pPr>
        <w:pStyle w:val="16"/>
        <w:keepNext w:val="0"/>
        <w:keepLines w:val="0"/>
        <w:pageBreakBefore w:val="0"/>
        <w:tabs>
          <w:tab w:val="right" w:leader="dot" w:pos="9128"/>
          <w:tab w:val="clear" w:pos="860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_Toc29385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第二部分 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_Toc29385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fldChar w:fldCharType="end"/>
      </w:r>
    </w:p>
    <w:p>
      <w:pPr>
        <w:pStyle w:val="16"/>
        <w:keepNext w:val="0"/>
        <w:keepLines w:val="0"/>
        <w:pageBreakBefore w:val="0"/>
        <w:tabs>
          <w:tab w:val="right" w:leader="dot" w:pos="9128"/>
          <w:tab w:val="clear" w:pos="860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_Toc6840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第三部分 采购合同的主要条款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_Toc6840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fldChar w:fldCharType="end"/>
      </w:r>
    </w:p>
    <w:p>
      <w:pPr>
        <w:pStyle w:val="16"/>
        <w:keepNext w:val="0"/>
        <w:keepLines w:val="0"/>
        <w:pageBreakBefore w:val="0"/>
        <w:tabs>
          <w:tab w:val="right" w:leader="dot" w:pos="9128"/>
          <w:tab w:val="clear" w:pos="860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_Toc24323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第四部分 招标内容及要求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_Toc24323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fldChar w:fldCharType="end"/>
      </w:r>
    </w:p>
    <w:p>
      <w:pPr>
        <w:pStyle w:val="16"/>
        <w:keepNext w:val="0"/>
        <w:keepLines w:val="0"/>
        <w:pageBreakBefore w:val="0"/>
        <w:tabs>
          <w:tab w:val="right" w:leader="dot" w:pos="9128"/>
          <w:tab w:val="clear" w:pos="860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_Toc32601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第五部分 磋商程序及评定成交标准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val="en-US" w:eastAsia="zh-CN"/>
        </w:rPr>
        <w:t>1</w:t>
      </w:r>
    </w:p>
    <w:p>
      <w:pPr>
        <w:pStyle w:val="16"/>
        <w:keepNext w:val="0"/>
        <w:keepLines w:val="0"/>
        <w:pageBreakBefore w:val="0"/>
        <w:tabs>
          <w:tab w:val="right" w:leader="dot" w:pos="9128"/>
          <w:tab w:val="clear" w:pos="860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_Toc26724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第六部分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fldChar w:fldCharType="end"/>
      </w:r>
    </w:p>
    <w:p>
      <w:pPr>
        <w:pStyle w:val="16"/>
        <w:keepNext w:val="0"/>
        <w:keepLines w:val="0"/>
        <w:pageBreakBefore w:val="0"/>
        <w:tabs>
          <w:tab w:val="right" w:leader="dot" w:pos="9128"/>
          <w:tab w:val="clear" w:pos="860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_Toc24650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sz w:val="24"/>
          <w:szCs w:val="24"/>
          <w:highlight w:val="none"/>
          <w:lang w:val="zh-CN"/>
        </w:rPr>
        <w:t>第七部分 政府采购政策功能相关说明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color w:val="auto"/>
          <w:kern w:val="0"/>
          <w:szCs w:val="21"/>
          <w:highlight w:val="none"/>
        </w:rPr>
      </w:pPr>
      <w:r>
        <w:rPr>
          <w:rFonts w:hint="eastAsia" w:ascii="宋体" w:hAnsi="宋体" w:eastAsia="宋体" w:cs="宋体"/>
          <w:color w:val="auto"/>
          <w:kern w:val="0"/>
          <w:sz w:val="24"/>
          <w:szCs w:val="24"/>
          <w:highlight w:val="none"/>
        </w:rPr>
        <w:fldChar w:fldCharType="end"/>
      </w:r>
    </w:p>
    <w:p>
      <w:pPr>
        <w:pStyle w:val="18"/>
        <w:spacing w:line="312" w:lineRule="auto"/>
        <w:jc w:val="center"/>
        <w:rPr>
          <w:rFonts w:hint="eastAsia"/>
          <w:color w:val="auto"/>
          <w:sz w:val="21"/>
          <w:szCs w:val="21"/>
          <w:highlight w:val="none"/>
        </w:rPr>
      </w:pPr>
    </w:p>
    <w:p>
      <w:pPr>
        <w:pStyle w:val="18"/>
        <w:spacing w:line="312" w:lineRule="auto"/>
        <w:jc w:val="center"/>
        <w:rPr>
          <w:rFonts w:hint="eastAsia"/>
          <w:color w:val="auto"/>
          <w:sz w:val="21"/>
          <w:szCs w:val="21"/>
          <w:highlight w:val="none"/>
        </w:rPr>
      </w:pPr>
    </w:p>
    <w:p>
      <w:pPr>
        <w:pStyle w:val="18"/>
        <w:spacing w:line="312" w:lineRule="auto"/>
        <w:jc w:val="center"/>
        <w:rPr>
          <w:rFonts w:hint="eastAsia"/>
          <w:color w:val="auto"/>
          <w:sz w:val="21"/>
          <w:szCs w:val="21"/>
          <w:highlight w:val="none"/>
        </w:rPr>
      </w:pPr>
    </w:p>
    <w:p>
      <w:pPr>
        <w:pStyle w:val="18"/>
        <w:spacing w:line="312" w:lineRule="auto"/>
        <w:jc w:val="center"/>
        <w:rPr>
          <w:rFonts w:hint="eastAsia"/>
          <w:color w:val="auto"/>
          <w:sz w:val="21"/>
          <w:szCs w:val="21"/>
          <w:highlight w:val="none"/>
        </w:rPr>
      </w:pPr>
    </w:p>
    <w:p>
      <w:pPr>
        <w:pStyle w:val="18"/>
        <w:spacing w:line="312" w:lineRule="auto"/>
        <w:jc w:val="center"/>
        <w:rPr>
          <w:rFonts w:hint="eastAsia"/>
          <w:color w:val="auto"/>
          <w:sz w:val="21"/>
          <w:szCs w:val="21"/>
          <w:highlight w:val="none"/>
        </w:rPr>
      </w:pPr>
    </w:p>
    <w:p>
      <w:pPr>
        <w:pStyle w:val="18"/>
        <w:spacing w:line="312" w:lineRule="auto"/>
        <w:jc w:val="center"/>
        <w:rPr>
          <w:rFonts w:hint="eastAsia"/>
          <w:color w:val="auto"/>
          <w:sz w:val="21"/>
          <w:szCs w:val="21"/>
          <w:highlight w:val="none"/>
        </w:rPr>
      </w:pPr>
    </w:p>
    <w:p>
      <w:pPr>
        <w:pStyle w:val="18"/>
        <w:spacing w:line="312" w:lineRule="auto"/>
        <w:jc w:val="center"/>
        <w:rPr>
          <w:rFonts w:hint="eastAsia"/>
          <w:color w:val="auto"/>
          <w:sz w:val="21"/>
          <w:szCs w:val="21"/>
          <w:highlight w:val="none"/>
        </w:rPr>
      </w:pPr>
    </w:p>
    <w:p>
      <w:pPr>
        <w:pStyle w:val="18"/>
        <w:spacing w:line="312" w:lineRule="auto"/>
        <w:jc w:val="center"/>
        <w:rPr>
          <w:rFonts w:hint="eastAsia"/>
          <w:color w:val="auto"/>
          <w:sz w:val="21"/>
          <w:szCs w:val="21"/>
          <w:highlight w:val="none"/>
        </w:rPr>
      </w:pPr>
    </w:p>
    <w:p>
      <w:pPr>
        <w:pStyle w:val="18"/>
        <w:spacing w:line="312" w:lineRule="auto"/>
        <w:jc w:val="center"/>
        <w:rPr>
          <w:rFonts w:hint="eastAsia"/>
          <w:color w:val="auto"/>
          <w:sz w:val="21"/>
          <w:szCs w:val="21"/>
          <w:highlight w:val="none"/>
        </w:rPr>
      </w:pPr>
    </w:p>
    <w:p>
      <w:pPr>
        <w:pStyle w:val="18"/>
        <w:spacing w:line="312" w:lineRule="auto"/>
        <w:jc w:val="center"/>
        <w:rPr>
          <w:rFonts w:hint="eastAsia"/>
          <w:color w:val="auto"/>
          <w:sz w:val="21"/>
          <w:szCs w:val="21"/>
          <w:highlight w:val="none"/>
        </w:rPr>
      </w:pPr>
    </w:p>
    <w:p>
      <w:pPr>
        <w:pStyle w:val="18"/>
        <w:spacing w:before="0" w:beforeAutospacing="0" w:after="0" w:afterAutospacing="0" w:line="312" w:lineRule="auto"/>
        <w:jc w:val="center"/>
        <w:outlineLvl w:val="0"/>
        <w:rPr>
          <w:rFonts w:hint="eastAsia"/>
          <w:b/>
          <w:color w:val="auto"/>
          <w:sz w:val="21"/>
          <w:szCs w:val="21"/>
          <w:highlight w:val="none"/>
        </w:rPr>
      </w:pPr>
      <w:bookmarkStart w:id="1" w:name="_Toc414279414"/>
      <w:bookmarkStart w:id="2" w:name="_Toc2419"/>
    </w:p>
    <w:p>
      <w:pPr>
        <w:pStyle w:val="18"/>
        <w:spacing w:before="0" w:beforeAutospacing="0" w:after="0" w:afterAutospacing="0" w:line="312" w:lineRule="auto"/>
        <w:jc w:val="center"/>
        <w:outlineLvl w:val="0"/>
        <w:rPr>
          <w:rFonts w:hint="eastAsia"/>
          <w:b/>
          <w:color w:val="auto"/>
          <w:sz w:val="21"/>
          <w:szCs w:val="21"/>
          <w:highlight w:val="none"/>
        </w:rPr>
      </w:pPr>
    </w:p>
    <w:p>
      <w:pPr>
        <w:pStyle w:val="18"/>
        <w:spacing w:before="0" w:beforeAutospacing="0" w:after="0" w:afterAutospacing="0" w:line="312" w:lineRule="auto"/>
        <w:jc w:val="center"/>
        <w:outlineLvl w:val="0"/>
        <w:rPr>
          <w:rFonts w:hint="eastAsia"/>
          <w:b/>
          <w:color w:val="auto"/>
          <w:sz w:val="28"/>
          <w:szCs w:val="28"/>
          <w:highlight w:val="none"/>
        </w:rPr>
      </w:pPr>
      <w:r>
        <w:rPr>
          <w:rFonts w:hint="eastAsia"/>
          <w:b/>
          <w:color w:val="auto"/>
          <w:sz w:val="28"/>
          <w:szCs w:val="28"/>
          <w:highlight w:val="none"/>
        </w:rPr>
        <w:t xml:space="preserve">第一部分 </w:t>
      </w:r>
      <w:bookmarkStart w:id="3" w:name="_Toc8536"/>
      <w:r>
        <w:rPr>
          <w:rFonts w:hint="eastAsia"/>
          <w:b/>
          <w:color w:val="auto"/>
          <w:sz w:val="28"/>
          <w:szCs w:val="28"/>
          <w:highlight w:val="none"/>
        </w:rPr>
        <w:t>竞争性磋商公告</w:t>
      </w:r>
      <w:bookmarkEnd w:id="0"/>
      <w:bookmarkEnd w:id="1"/>
      <w:bookmarkEnd w:id="2"/>
      <w:bookmarkEnd w:id="3"/>
      <w:bookmarkStart w:id="4" w:name="_Toc340936197"/>
    </w:p>
    <w:p>
      <w:pPr>
        <w:pStyle w:val="18"/>
        <w:spacing w:before="0" w:beforeAutospacing="0" w:after="0" w:afterAutospacing="0" w:line="312" w:lineRule="auto"/>
        <w:ind w:firstLine="420" w:firstLineChars="200"/>
        <w:rPr>
          <w:rFonts w:hint="eastAsia"/>
          <w:color w:val="auto"/>
          <w:sz w:val="21"/>
          <w:szCs w:val="21"/>
          <w:highlight w:val="none"/>
        </w:rPr>
      </w:pPr>
      <w:bookmarkStart w:id="83" w:name="_GoBack"/>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8"/>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b w:val="0"/>
                <w:bCs w:val="0"/>
                <w:color w:val="auto"/>
                <w:sz w:val="21"/>
                <w:szCs w:val="21"/>
                <w:highlight w:val="none"/>
              </w:rPr>
            </w:pPr>
            <w:r>
              <w:rPr>
                <w:rFonts w:hint="eastAsia"/>
                <w:b w:val="0"/>
                <w:bCs w:val="0"/>
                <w:color w:val="auto"/>
                <w:sz w:val="21"/>
                <w:szCs w:val="21"/>
                <w:highlight w:val="none"/>
              </w:rPr>
              <w:t>项目概况：</w:t>
            </w:r>
          </w:p>
          <w:p>
            <w:pPr>
              <w:pStyle w:val="18"/>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rPr>
                <w:rFonts w:hint="eastAsia"/>
                <w:b/>
                <w:bCs/>
                <w:color w:val="auto"/>
                <w:sz w:val="21"/>
                <w:szCs w:val="21"/>
                <w:highlight w:val="none"/>
                <w:vertAlign w:val="baseline"/>
              </w:rPr>
            </w:pPr>
            <w:r>
              <w:rPr>
                <w:rFonts w:hint="eastAsia"/>
                <w:color w:val="auto"/>
                <w:sz w:val="21"/>
                <w:szCs w:val="21"/>
                <w:highlight w:val="none"/>
              </w:rPr>
              <w:t>本项目无须报名。</w:t>
            </w:r>
            <w:r>
              <w:rPr>
                <w:rFonts w:hint="eastAsia"/>
                <w:color w:val="auto"/>
                <w:sz w:val="21"/>
                <w:szCs w:val="21"/>
                <w:highlight w:val="none"/>
                <w:lang w:eastAsia="zh-CN"/>
              </w:rPr>
              <w:t>潜在</w:t>
            </w:r>
            <w:r>
              <w:rPr>
                <w:rFonts w:hint="eastAsia"/>
                <w:color w:val="auto"/>
                <w:sz w:val="21"/>
                <w:szCs w:val="21"/>
                <w:highlight w:val="none"/>
              </w:rPr>
              <w:t>供应商可在浙江政府采购网（</w:t>
            </w:r>
            <w:r>
              <w:rPr>
                <w:rFonts w:hint="eastAsia"/>
                <w:color w:val="auto"/>
                <w:sz w:val="21"/>
                <w:szCs w:val="21"/>
                <w:highlight w:val="none"/>
              </w:rPr>
              <w:fldChar w:fldCharType="begin"/>
            </w:r>
            <w:r>
              <w:rPr>
                <w:rFonts w:hint="eastAsia"/>
                <w:color w:val="auto"/>
                <w:sz w:val="21"/>
                <w:szCs w:val="21"/>
                <w:highlight w:val="none"/>
              </w:rPr>
              <w:instrText xml:space="preserve"> HYPERLINK "http://zfcg.czt.zj.gov.cn/" </w:instrText>
            </w:r>
            <w:r>
              <w:rPr>
                <w:rFonts w:hint="eastAsia"/>
                <w:color w:val="auto"/>
                <w:sz w:val="21"/>
                <w:szCs w:val="21"/>
                <w:highlight w:val="none"/>
              </w:rPr>
              <w:fldChar w:fldCharType="separate"/>
            </w:r>
            <w:r>
              <w:rPr>
                <w:rFonts w:hint="eastAsia"/>
                <w:color w:val="auto"/>
                <w:sz w:val="21"/>
                <w:szCs w:val="21"/>
                <w:highlight w:val="none"/>
              </w:rPr>
              <w:t>zfcg.czt.zj.gov.cn</w:t>
            </w:r>
            <w:r>
              <w:rPr>
                <w:rFonts w:hint="eastAsia"/>
                <w:color w:val="auto"/>
                <w:sz w:val="21"/>
                <w:szCs w:val="21"/>
                <w:highlight w:val="none"/>
              </w:rPr>
              <w:fldChar w:fldCharType="end"/>
            </w:r>
            <w:r>
              <w:rPr>
                <w:rFonts w:hint="eastAsia"/>
                <w:color w:val="auto"/>
                <w:sz w:val="21"/>
                <w:szCs w:val="21"/>
                <w:highlight w:val="none"/>
              </w:rPr>
              <w:t>）或衢州市柯城区人民政府网（http://www.kecheng.gov.cn/）免费下载。并于2020年</w:t>
            </w:r>
            <w:r>
              <w:rPr>
                <w:rFonts w:hint="eastAsia"/>
                <w:color w:val="auto"/>
                <w:sz w:val="21"/>
                <w:szCs w:val="21"/>
                <w:highlight w:val="none"/>
                <w:lang w:val="en-US" w:eastAsia="zh-CN"/>
              </w:rPr>
              <w:t>8</w:t>
            </w:r>
            <w:r>
              <w:rPr>
                <w:rFonts w:hint="eastAsia"/>
                <w:color w:val="auto"/>
                <w:sz w:val="21"/>
                <w:szCs w:val="21"/>
                <w:highlight w:val="none"/>
              </w:rPr>
              <w:t>月</w:t>
            </w:r>
            <w:r>
              <w:rPr>
                <w:rFonts w:hint="eastAsia"/>
                <w:color w:val="auto"/>
                <w:sz w:val="21"/>
                <w:szCs w:val="21"/>
                <w:highlight w:val="none"/>
                <w:lang w:val="en-US" w:eastAsia="zh-CN"/>
              </w:rPr>
              <w:t>5</w:t>
            </w:r>
            <w:r>
              <w:rPr>
                <w:rFonts w:hint="eastAsia"/>
                <w:color w:val="auto"/>
                <w:sz w:val="21"/>
                <w:szCs w:val="21"/>
                <w:highlight w:val="none"/>
              </w:rPr>
              <w:t>日 9:30:00前</w:t>
            </w:r>
            <w:r>
              <w:rPr>
                <w:rFonts w:hint="eastAsia"/>
                <w:color w:val="auto"/>
                <w:sz w:val="21"/>
                <w:szCs w:val="21"/>
                <w:highlight w:val="none"/>
                <w:lang w:eastAsia="zh-CN"/>
              </w:rPr>
              <w:t>提交响应文件</w:t>
            </w:r>
            <w:r>
              <w:rPr>
                <w:rFonts w:hint="eastAsia"/>
                <w:color w:val="auto"/>
                <w:sz w:val="21"/>
                <w:szCs w:val="21"/>
                <w:highlight w:val="none"/>
              </w:rPr>
              <w:t>。</w:t>
            </w:r>
          </w:p>
        </w:tc>
      </w:tr>
    </w:tbl>
    <w:p>
      <w:pPr>
        <w:pStyle w:val="18"/>
        <w:keepNext w:val="0"/>
        <w:keepLines w:val="0"/>
        <w:pageBreakBefore w:val="0"/>
        <w:kinsoku/>
        <w:wordWrap/>
        <w:overflowPunct/>
        <w:topLinePunct w:val="0"/>
        <w:autoSpaceDE/>
        <w:autoSpaceDN/>
        <w:bidi w:val="0"/>
        <w:adjustRightInd/>
        <w:spacing w:before="0" w:beforeAutospacing="0" w:after="0" w:afterAutospacing="0" w:line="400" w:lineRule="exact"/>
        <w:ind w:firstLine="422" w:firstLineChars="200"/>
        <w:rPr>
          <w:rFonts w:hint="eastAsia" w:eastAsia="宋体"/>
          <w:b/>
          <w:bCs/>
          <w:color w:val="auto"/>
          <w:sz w:val="21"/>
          <w:szCs w:val="21"/>
          <w:highlight w:val="none"/>
          <w:lang w:eastAsia="zh-CN"/>
        </w:rPr>
      </w:pPr>
      <w:r>
        <w:rPr>
          <w:rFonts w:hint="eastAsia"/>
          <w:b/>
          <w:bCs/>
          <w:color w:val="auto"/>
          <w:sz w:val="21"/>
          <w:szCs w:val="21"/>
          <w:highlight w:val="none"/>
          <w:lang w:eastAsia="zh-CN"/>
        </w:rPr>
        <w:t>一、项目基本情况</w:t>
      </w:r>
    </w:p>
    <w:p>
      <w:pPr>
        <w:pStyle w:val="18"/>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根据《中华人民共和国政府采购法》、《政府采购货物和服务招标投标管理办法》等有关规定，</w:t>
      </w:r>
      <w:r>
        <w:rPr>
          <w:rFonts w:hint="eastAsia"/>
          <w:color w:val="auto"/>
          <w:sz w:val="21"/>
          <w:szCs w:val="21"/>
          <w:highlight w:val="none"/>
          <w:lang w:eastAsia="zh-CN"/>
        </w:rPr>
        <w:t>浙江中正工程项目管理有限公司</w:t>
      </w:r>
      <w:r>
        <w:rPr>
          <w:rFonts w:hint="eastAsia"/>
          <w:color w:val="auto"/>
          <w:sz w:val="21"/>
          <w:szCs w:val="21"/>
          <w:highlight w:val="none"/>
        </w:rPr>
        <w:t>受</w:t>
      </w:r>
      <w:r>
        <w:rPr>
          <w:rFonts w:hint="eastAsia"/>
          <w:color w:val="auto"/>
          <w:sz w:val="21"/>
          <w:szCs w:val="21"/>
          <w:highlight w:val="none"/>
          <w:lang w:eastAsia="zh-CN"/>
        </w:rPr>
        <w:t>衢州市寺桥水库开发建设有限公司</w:t>
      </w:r>
      <w:r>
        <w:rPr>
          <w:rFonts w:hint="eastAsia"/>
          <w:color w:val="auto"/>
          <w:sz w:val="21"/>
          <w:szCs w:val="21"/>
          <w:highlight w:val="none"/>
        </w:rPr>
        <w:t>的委托，以竞争性磋商方式对</w:t>
      </w:r>
      <w:r>
        <w:rPr>
          <w:rFonts w:hint="eastAsia"/>
          <w:color w:val="auto"/>
          <w:sz w:val="21"/>
          <w:szCs w:val="21"/>
          <w:highlight w:val="none"/>
          <w:lang w:eastAsia="zh-CN"/>
        </w:rPr>
        <w:t>砂石料代加工服务</w:t>
      </w:r>
      <w:r>
        <w:rPr>
          <w:rFonts w:hint="eastAsia"/>
          <w:color w:val="auto"/>
          <w:sz w:val="21"/>
          <w:szCs w:val="21"/>
          <w:highlight w:val="none"/>
        </w:rPr>
        <w:t>进行采购，欢迎合格的供应商参加。现公告如下：</w:t>
      </w:r>
      <w:bookmarkEnd w:id="4"/>
    </w:p>
    <w:p>
      <w:pPr>
        <w:keepNext w:val="0"/>
        <w:keepLines w:val="0"/>
        <w:pageBreakBefore w:val="0"/>
        <w:numPr>
          <w:ilvl w:val="0"/>
          <w:numId w:val="0"/>
        </w:numPr>
        <w:kinsoku/>
        <w:wordWrap/>
        <w:overflowPunct/>
        <w:topLinePunct w:val="0"/>
        <w:autoSpaceDE/>
        <w:autoSpaceDN/>
        <w:bidi w:val="0"/>
        <w:adjustRightInd/>
        <w:spacing w:line="400" w:lineRule="exact"/>
        <w:ind w:left="0" w:leftChars="0" w:firstLine="422" w:firstLineChars="200"/>
        <w:jc w:val="left"/>
        <w:rPr>
          <w:rFonts w:hint="eastAsia" w:ascii="宋体" w:hAnsi="宋体" w:eastAsia="宋体" w:cs="宋体"/>
          <w:color w:val="auto"/>
          <w:szCs w:val="21"/>
          <w:highlight w:val="none"/>
          <w:lang w:eastAsia="zh-CN"/>
        </w:rPr>
      </w:pPr>
      <w:bookmarkStart w:id="5" w:name="_Hlk293644187"/>
      <w:bookmarkStart w:id="6" w:name="_Toc414279415"/>
      <w:r>
        <w:rPr>
          <w:rFonts w:hint="eastAsia" w:ascii="宋体" w:hAnsi="宋体" w:cs="宋体"/>
          <w:b/>
          <w:bCs/>
          <w:color w:val="auto"/>
          <w:szCs w:val="21"/>
          <w:highlight w:val="none"/>
        </w:rPr>
        <w:t>项目编号：</w:t>
      </w:r>
      <w:r>
        <w:rPr>
          <w:rFonts w:hint="eastAsia" w:ascii="宋体" w:hAnsi="宋体" w:cs="宋体"/>
          <w:color w:val="auto"/>
          <w:szCs w:val="21"/>
          <w:highlight w:val="none"/>
          <w:lang w:eastAsia="zh-CN"/>
        </w:rPr>
        <w:t>ZZCG2020045</w:t>
      </w:r>
    </w:p>
    <w:p>
      <w:pPr>
        <w:keepNext w:val="0"/>
        <w:keepLines w:val="0"/>
        <w:pageBreakBefore w:val="0"/>
        <w:kinsoku/>
        <w:wordWrap/>
        <w:overflowPunct/>
        <w:topLinePunct w:val="0"/>
        <w:autoSpaceDE/>
        <w:autoSpaceDN/>
        <w:bidi w:val="0"/>
        <w:adjustRightInd/>
        <w:spacing w:line="400" w:lineRule="exact"/>
        <w:ind w:left="0" w:leftChars="0"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项目名称：</w:t>
      </w:r>
      <w:r>
        <w:rPr>
          <w:rFonts w:hint="eastAsia"/>
          <w:color w:val="auto"/>
          <w:sz w:val="21"/>
          <w:szCs w:val="21"/>
          <w:highlight w:val="none"/>
          <w:lang w:eastAsia="zh-CN"/>
        </w:rPr>
        <w:t>砂石料代加工服务</w:t>
      </w:r>
    </w:p>
    <w:p>
      <w:pPr>
        <w:keepNext w:val="0"/>
        <w:keepLines w:val="0"/>
        <w:pageBreakBefore w:val="0"/>
        <w:kinsoku/>
        <w:wordWrap/>
        <w:overflowPunct/>
        <w:topLinePunct w:val="0"/>
        <w:autoSpaceDE/>
        <w:autoSpaceDN/>
        <w:bidi w:val="0"/>
        <w:adjustRightInd/>
        <w:spacing w:line="400" w:lineRule="exact"/>
        <w:ind w:left="0" w:leftChars="0"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rPr>
        <w:t>采购方式：</w:t>
      </w:r>
      <w:r>
        <w:rPr>
          <w:rFonts w:hint="eastAsia" w:ascii="宋体" w:hAnsi="宋体" w:cs="宋体"/>
          <w:color w:val="auto"/>
          <w:szCs w:val="21"/>
          <w:highlight w:val="none"/>
        </w:rPr>
        <w:t>竞争性磋商</w:t>
      </w:r>
    </w:p>
    <w:p>
      <w:pPr>
        <w:keepNext w:val="0"/>
        <w:keepLines w:val="0"/>
        <w:pageBreakBefore w:val="0"/>
        <w:kinsoku/>
        <w:wordWrap/>
        <w:overflowPunct/>
        <w:topLinePunct w:val="0"/>
        <w:autoSpaceDE/>
        <w:autoSpaceDN/>
        <w:bidi w:val="0"/>
        <w:adjustRightInd/>
        <w:spacing w:line="400" w:lineRule="exact"/>
        <w:ind w:left="0" w:leftChars="0" w:firstLine="422" w:firstLineChars="200"/>
        <w:jc w:val="left"/>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eastAsia="zh-CN"/>
        </w:rPr>
        <w:t>预算金额：</w:t>
      </w:r>
      <w:r>
        <w:rPr>
          <w:rFonts w:hint="eastAsia" w:ascii="宋体" w:hAnsi="宋体" w:cs="宋体"/>
          <w:b w:val="0"/>
          <w:bCs w:val="0"/>
          <w:color w:val="auto"/>
          <w:szCs w:val="21"/>
          <w:highlight w:val="none"/>
          <w:lang w:val="en-US" w:eastAsia="zh-CN"/>
        </w:rPr>
        <w:t>3760万元</w:t>
      </w:r>
    </w:p>
    <w:p>
      <w:pPr>
        <w:keepNext w:val="0"/>
        <w:keepLines w:val="0"/>
        <w:pageBreakBefore w:val="0"/>
        <w:kinsoku/>
        <w:wordWrap/>
        <w:overflowPunct/>
        <w:topLinePunct w:val="0"/>
        <w:autoSpaceDE/>
        <w:autoSpaceDN/>
        <w:bidi w:val="0"/>
        <w:adjustRightInd/>
        <w:spacing w:line="400" w:lineRule="exact"/>
        <w:ind w:left="0" w:leftChars="0" w:firstLine="422" w:firstLineChars="200"/>
        <w:jc w:val="left"/>
        <w:rPr>
          <w:rFonts w:hint="eastAsia" w:ascii="宋体" w:hAnsi="宋体" w:cs="宋体"/>
          <w:b w:val="0"/>
          <w:bCs w:val="0"/>
          <w:color w:val="auto"/>
          <w:szCs w:val="21"/>
          <w:highlight w:val="none"/>
          <w:lang w:eastAsia="zh-CN"/>
        </w:rPr>
      </w:pPr>
      <w:r>
        <w:rPr>
          <w:rFonts w:hint="eastAsia" w:ascii="宋体" w:hAnsi="宋体" w:cs="宋体"/>
          <w:b/>
          <w:bCs/>
          <w:color w:val="auto"/>
          <w:szCs w:val="21"/>
          <w:highlight w:val="none"/>
          <w:lang w:eastAsia="zh-CN"/>
        </w:rPr>
        <w:t>最高限价：</w:t>
      </w:r>
      <w:r>
        <w:rPr>
          <w:rFonts w:hint="eastAsia" w:ascii="宋体" w:hAnsi="宋体" w:cs="宋体"/>
          <w:b w:val="0"/>
          <w:bCs w:val="0"/>
          <w:color w:val="auto"/>
          <w:szCs w:val="21"/>
          <w:highlight w:val="none"/>
          <w:lang w:val="en-US" w:eastAsia="zh-CN"/>
        </w:rPr>
        <w:t>代加工服务费综合单价23.5元/吨</w:t>
      </w:r>
    </w:p>
    <w:p>
      <w:pPr>
        <w:keepNext w:val="0"/>
        <w:keepLines w:val="0"/>
        <w:pageBreakBefore w:val="0"/>
        <w:kinsoku/>
        <w:wordWrap/>
        <w:overflowPunct/>
        <w:topLinePunct w:val="0"/>
        <w:autoSpaceDE/>
        <w:autoSpaceDN/>
        <w:bidi w:val="0"/>
        <w:adjustRightInd/>
        <w:snapToGrid/>
        <w:spacing w:line="360" w:lineRule="exact"/>
        <w:ind w:left="0" w:leftChars="0" w:firstLine="422" w:firstLineChars="200"/>
        <w:jc w:val="left"/>
        <w:rPr>
          <w:rFonts w:hint="eastAsia" w:cs="Arial"/>
          <w:color w:val="auto"/>
          <w:highlight w:val="none"/>
          <w:lang w:eastAsia="zh-CN"/>
        </w:rPr>
      </w:pPr>
      <w:r>
        <w:rPr>
          <w:rFonts w:hint="eastAsia" w:ascii="宋体" w:hAnsi="宋体" w:cs="宋体"/>
          <w:b/>
          <w:bCs/>
          <w:color w:val="auto"/>
          <w:szCs w:val="21"/>
          <w:highlight w:val="none"/>
        </w:rPr>
        <w:t>采购</w:t>
      </w:r>
      <w:r>
        <w:rPr>
          <w:rFonts w:hint="eastAsia" w:ascii="宋体" w:hAnsi="宋体" w:cs="宋体"/>
          <w:b/>
          <w:bCs/>
          <w:color w:val="auto"/>
          <w:szCs w:val="21"/>
          <w:highlight w:val="none"/>
          <w:lang w:eastAsia="zh-CN"/>
        </w:rPr>
        <w:t>需求</w:t>
      </w:r>
      <w:r>
        <w:rPr>
          <w:rFonts w:hint="eastAsia" w:ascii="宋体" w:hAnsi="宋体" w:cs="宋体"/>
          <w:b/>
          <w:bCs/>
          <w:color w:val="auto"/>
          <w:szCs w:val="21"/>
          <w:highlight w:val="none"/>
        </w:rPr>
        <w:t>：</w:t>
      </w:r>
      <w:r>
        <w:rPr>
          <w:rFonts w:hint="eastAsia" w:cs="Arial"/>
          <w:color w:val="auto"/>
          <w:highlight w:val="none"/>
          <w:lang w:val="en-US" w:eastAsia="zh-CN"/>
        </w:rPr>
        <w:t>砂石成品料产量约80万吨/年，砂</w:t>
      </w:r>
      <w:r>
        <w:rPr>
          <w:rFonts w:hint="eastAsia" w:cs="Arial"/>
          <w:color w:val="auto"/>
          <w:highlight w:val="none"/>
        </w:rPr>
        <w:t>石料</w:t>
      </w:r>
      <w:r>
        <w:rPr>
          <w:rFonts w:hint="eastAsia" w:cs="Arial"/>
          <w:color w:val="auto"/>
          <w:highlight w:val="none"/>
          <w:lang w:val="en-US" w:eastAsia="zh-CN"/>
        </w:rPr>
        <w:t>加工设备（提供全新设备（包括但不限于拟投入的设备清单、设备参数、设备厂家技术使用说明书），以及场地总平面布置图）</w:t>
      </w:r>
      <w:r>
        <w:rPr>
          <w:rFonts w:hint="eastAsia" w:cs="Arial"/>
          <w:color w:val="auto"/>
          <w:highlight w:val="none"/>
        </w:rPr>
        <w:t>生产能力不小于</w:t>
      </w:r>
      <w:r>
        <w:rPr>
          <w:rFonts w:hint="eastAsia" w:cs="Arial"/>
          <w:color w:val="auto"/>
          <w:highlight w:val="none"/>
          <w:lang w:val="en-US" w:eastAsia="zh-CN"/>
        </w:rPr>
        <w:t>300</w:t>
      </w:r>
      <w:r>
        <w:rPr>
          <w:rFonts w:hint="eastAsia" w:cs="Arial"/>
          <w:color w:val="auto"/>
          <w:highlight w:val="none"/>
          <w:lang w:eastAsia="zh-CN"/>
        </w:rPr>
        <w:t>吨</w:t>
      </w:r>
      <w:r>
        <w:rPr>
          <w:rFonts w:hint="eastAsia" w:cs="Arial"/>
          <w:color w:val="auto"/>
          <w:highlight w:val="none"/>
          <w:lang w:val="en-US" w:eastAsia="zh-CN"/>
        </w:rPr>
        <w:t>/小时</w:t>
      </w:r>
      <w:r>
        <w:rPr>
          <w:rFonts w:hint="eastAsia" w:cs="Arial"/>
          <w:color w:val="auto"/>
          <w:highlight w:val="none"/>
          <w:lang w:eastAsia="zh-CN"/>
        </w:rPr>
        <w:t>。</w:t>
      </w:r>
    </w:p>
    <w:p>
      <w:pPr>
        <w:keepNext w:val="0"/>
        <w:keepLines w:val="0"/>
        <w:pageBreakBefore w:val="0"/>
        <w:kinsoku/>
        <w:wordWrap/>
        <w:overflowPunct/>
        <w:topLinePunct w:val="0"/>
        <w:autoSpaceDE/>
        <w:autoSpaceDN/>
        <w:bidi w:val="0"/>
        <w:adjustRightInd/>
        <w:spacing w:line="400" w:lineRule="exact"/>
        <w:ind w:left="0" w:leftChars="0" w:firstLine="420" w:firstLineChars="200"/>
        <w:jc w:val="left"/>
        <w:rPr>
          <w:rFonts w:hint="eastAsia" w:ascii="宋体" w:hAnsi="宋体" w:cs="宋体"/>
          <w:b/>
          <w:bCs/>
          <w:color w:val="auto"/>
          <w:szCs w:val="21"/>
          <w:highlight w:val="none"/>
        </w:rPr>
      </w:pPr>
      <w:r>
        <w:rPr>
          <w:rFonts w:hint="eastAsia" w:cs="Arial"/>
          <w:color w:val="auto"/>
          <w:highlight w:val="none"/>
          <w:lang w:eastAsia="zh-CN"/>
        </w:rPr>
        <w:t>投标人负责生产设备的投入、场地建设（位于衢州市柯城区范围内，且满足临时用地审批的非农用土地）、</w:t>
      </w:r>
      <w:r>
        <w:rPr>
          <w:rFonts w:hint="eastAsia" w:cs="Arial"/>
          <w:color w:val="auto"/>
          <w:highlight w:val="none"/>
          <w:lang w:val="en-US" w:eastAsia="zh-CN"/>
        </w:rPr>
        <w:t>砂</w:t>
      </w:r>
      <w:r>
        <w:rPr>
          <w:rFonts w:hint="eastAsia" w:cs="Arial"/>
          <w:color w:val="auto"/>
          <w:highlight w:val="none"/>
          <w:lang w:eastAsia="zh-CN"/>
        </w:rPr>
        <w:t>石料加工、</w:t>
      </w:r>
      <w:r>
        <w:rPr>
          <w:rFonts w:hint="eastAsia" w:cs="Arial"/>
          <w:color w:val="auto"/>
          <w:highlight w:val="none"/>
          <w:lang w:val="en-US" w:eastAsia="zh-CN"/>
        </w:rPr>
        <w:t>废渣尾料处理</w:t>
      </w:r>
      <w:r>
        <w:rPr>
          <w:rFonts w:hint="eastAsia" w:cs="Arial"/>
          <w:color w:val="auto"/>
          <w:highlight w:val="none"/>
          <w:lang w:eastAsia="zh-CN"/>
        </w:rPr>
        <w:t>等内容（采购人仅提供生产原料）</w:t>
      </w:r>
      <w:r>
        <w:rPr>
          <w:rFonts w:hint="eastAsia" w:cs="Arial"/>
          <w:color w:val="auto"/>
          <w:highlight w:val="none"/>
        </w:rPr>
        <w:t>。</w:t>
      </w:r>
    </w:p>
    <w:p>
      <w:pPr>
        <w:keepNext w:val="0"/>
        <w:keepLines w:val="0"/>
        <w:pageBreakBefore w:val="0"/>
        <w:kinsoku/>
        <w:wordWrap/>
        <w:overflowPunct/>
        <w:topLinePunct w:val="0"/>
        <w:autoSpaceDE/>
        <w:autoSpaceDN/>
        <w:bidi w:val="0"/>
        <w:adjustRightInd/>
        <w:spacing w:line="400" w:lineRule="exact"/>
        <w:ind w:left="0" w:leftChars="0" w:firstLine="422" w:firstLineChars="200"/>
        <w:jc w:val="left"/>
        <w:rPr>
          <w:rFonts w:hint="eastAsia" w:hAnsi="宋体" w:cs="宋体"/>
          <w:color w:val="auto"/>
          <w:sz w:val="21"/>
          <w:szCs w:val="21"/>
          <w:highlight w:val="none"/>
          <w:lang w:val="en-US" w:eastAsia="zh-CN"/>
        </w:rPr>
      </w:pPr>
      <w:r>
        <w:rPr>
          <w:rFonts w:hint="eastAsia" w:ascii="宋体" w:hAnsi="宋体" w:cs="宋体"/>
          <w:b/>
          <w:bCs/>
          <w:color w:val="auto"/>
          <w:szCs w:val="21"/>
          <w:highlight w:val="none"/>
        </w:rPr>
        <w:t>合同履行期限</w:t>
      </w:r>
      <w:r>
        <w:rPr>
          <w:rFonts w:hint="eastAsia" w:ascii="仿宋" w:hAnsi="仿宋" w:eastAsia="仿宋"/>
          <w:color w:val="auto"/>
          <w:sz w:val="28"/>
          <w:szCs w:val="28"/>
          <w:highlight w:val="none"/>
        </w:rPr>
        <w:t>：</w:t>
      </w:r>
      <w:r>
        <w:rPr>
          <w:rFonts w:hint="eastAsia" w:hAnsi="宋体" w:cs="宋体"/>
          <w:color w:val="auto"/>
          <w:sz w:val="21"/>
          <w:szCs w:val="21"/>
          <w:highlight w:val="none"/>
          <w:lang w:val="en-US" w:eastAsia="zh-CN"/>
        </w:rPr>
        <w:t>27个月，其中建设期3个月，必须确保具备开工生产条件（自中标通知书发出之日起），加工生产期24个月。</w:t>
      </w:r>
    </w:p>
    <w:p>
      <w:pPr>
        <w:keepNext w:val="0"/>
        <w:keepLines w:val="0"/>
        <w:pageBreakBefore w:val="0"/>
        <w:kinsoku/>
        <w:wordWrap/>
        <w:overflowPunct/>
        <w:topLinePunct w:val="0"/>
        <w:autoSpaceDE/>
        <w:autoSpaceDN/>
        <w:bidi w:val="0"/>
        <w:adjustRightInd/>
        <w:spacing w:line="400" w:lineRule="exact"/>
        <w:ind w:left="0" w:leftChars="0" w:firstLine="422" w:firstLineChars="20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本项目不接受联合体。</w:t>
      </w:r>
    </w:p>
    <w:p>
      <w:pPr>
        <w:keepNext w:val="0"/>
        <w:keepLines w:val="0"/>
        <w:pageBreakBefore w:val="0"/>
        <w:kinsoku/>
        <w:wordWrap/>
        <w:overflowPunct/>
        <w:topLinePunct w:val="0"/>
        <w:autoSpaceDE/>
        <w:autoSpaceDN/>
        <w:bidi w:val="0"/>
        <w:adjustRightInd/>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申请人的资格要求</w:t>
      </w:r>
      <w:r>
        <w:rPr>
          <w:rFonts w:hint="eastAsia" w:ascii="宋体" w:hAnsi="宋体" w:cs="宋体"/>
          <w:b/>
          <w:bCs/>
          <w:color w:val="auto"/>
          <w:szCs w:val="21"/>
          <w:highlight w:val="none"/>
        </w:rPr>
        <w:t>：</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符合</w:t>
      </w:r>
      <w:r>
        <w:rPr>
          <w:rFonts w:hint="eastAsia" w:ascii="宋体" w:hAnsi="宋体"/>
          <w:color w:val="auto"/>
          <w:szCs w:val="21"/>
          <w:highlight w:val="none"/>
          <w:lang w:eastAsia="zh-CN"/>
        </w:rPr>
        <w:t>下述</w:t>
      </w:r>
      <w:r>
        <w:rPr>
          <w:rFonts w:hint="eastAsia" w:ascii="宋体" w:hAnsi="宋体"/>
          <w:color w:val="auto"/>
          <w:szCs w:val="21"/>
          <w:highlight w:val="none"/>
        </w:rPr>
        <w:t>要求。</w:t>
      </w:r>
    </w:p>
    <w:p>
      <w:pPr>
        <w:keepNext w:val="0"/>
        <w:keepLines w:val="0"/>
        <w:pageBreakBefore w:val="0"/>
        <w:kinsoku/>
        <w:wordWrap/>
        <w:overflowPunct/>
        <w:topLinePunct w:val="0"/>
        <w:autoSpaceDE/>
        <w:autoSpaceDN/>
        <w:bidi w:val="0"/>
        <w:adjustRightInd/>
        <w:spacing w:line="400" w:lineRule="exact"/>
        <w:ind w:left="420" w:leftChars="200"/>
        <w:rPr>
          <w:rFonts w:ascii="宋体" w:hAnsi="宋体"/>
          <w:color w:val="auto"/>
          <w:szCs w:val="21"/>
          <w:highlight w:val="none"/>
        </w:rPr>
      </w:pPr>
      <w:r>
        <w:rPr>
          <w:rFonts w:hint="eastAsia" w:ascii="宋体" w:hAnsi="宋体"/>
          <w:color w:val="auto"/>
          <w:szCs w:val="21"/>
          <w:highlight w:val="none"/>
        </w:rPr>
        <w:t>（1）具有独立承担民事责任的能力；</w:t>
      </w:r>
    </w:p>
    <w:p>
      <w:pPr>
        <w:keepNext w:val="0"/>
        <w:keepLines w:val="0"/>
        <w:pageBreakBefore w:val="0"/>
        <w:kinsoku/>
        <w:wordWrap/>
        <w:overflowPunct/>
        <w:topLinePunct w:val="0"/>
        <w:autoSpaceDE/>
        <w:autoSpaceDN/>
        <w:bidi w:val="0"/>
        <w:adjustRightInd/>
        <w:spacing w:line="400" w:lineRule="exact"/>
        <w:ind w:left="420" w:leftChars="200"/>
        <w:rPr>
          <w:rFonts w:hint="eastAsia" w:ascii="宋体" w:hAnsi="宋体"/>
          <w:color w:val="auto"/>
          <w:szCs w:val="21"/>
          <w:highlight w:val="none"/>
        </w:rPr>
      </w:pPr>
      <w:r>
        <w:rPr>
          <w:rFonts w:hint="eastAsia" w:ascii="宋体" w:hAnsi="宋体"/>
          <w:color w:val="auto"/>
          <w:szCs w:val="21"/>
          <w:highlight w:val="none"/>
        </w:rPr>
        <w:t>（2）具有良好的商业信誉和健全的财务会计制度；</w:t>
      </w:r>
      <w:r>
        <w:rPr>
          <w:rFonts w:hint="eastAsia" w:ascii="宋体" w:hAnsi="宋体"/>
          <w:color w:val="auto"/>
          <w:szCs w:val="21"/>
          <w:highlight w:val="none"/>
        </w:rPr>
        <w:br w:type="textWrapping"/>
      </w:r>
      <w:r>
        <w:rPr>
          <w:rFonts w:hint="eastAsia" w:ascii="宋体" w:hAnsi="宋体"/>
          <w:color w:val="auto"/>
          <w:szCs w:val="21"/>
          <w:highlight w:val="none"/>
        </w:rPr>
        <w:t>（3）有依法缴纳税收和社会保障资金的良好记录；</w:t>
      </w:r>
      <w:r>
        <w:rPr>
          <w:rFonts w:hint="eastAsia" w:ascii="宋体" w:hAnsi="宋体"/>
          <w:color w:val="auto"/>
          <w:szCs w:val="21"/>
          <w:highlight w:val="none"/>
        </w:rPr>
        <w:br w:type="textWrapping"/>
      </w:r>
      <w:r>
        <w:rPr>
          <w:rFonts w:hint="eastAsia" w:ascii="宋体" w:hAnsi="宋体"/>
          <w:color w:val="auto"/>
          <w:szCs w:val="21"/>
          <w:highlight w:val="none"/>
        </w:rPr>
        <w:t>（4）参加政府采购活动前三年内，在经营活动中没有重大违法记录；</w:t>
      </w:r>
      <w:r>
        <w:rPr>
          <w:rFonts w:hint="eastAsia" w:ascii="宋体" w:hAnsi="宋体"/>
          <w:color w:val="auto"/>
          <w:szCs w:val="21"/>
          <w:highlight w:val="none"/>
        </w:rPr>
        <w:br w:type="textWrapping"/>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）法律、行政法规规定的其他条件。</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具备</w:t>
      </w:r>
      <w:r>
        <w:rPr>
          <w:rFonts w:hint="eastAsia" w:ascii="宋体" w:hAnsi="宋体"/>
          <w:color w:val="auto"/>
          <w:szCs w:val="21"/>
          <w:highlight w:val="none"/>
        </w:rPr>
        <w:t>独立法人</w:t>
      </w:r>
      <w:r>
        <w:rPr>
          <w:rFonts w:hint="eastAsia" w:ascii="宋体" w:hAnsi="宋体"/>
          <w:color w:val="auto"/>
          <w:szCs w:val="21"/>
          <w:highlight w:val="none"/>
          <w:lang w:eastAsia="zh-CN"/>
        </w:rPr>
        <w:t>资格</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单位负责人为同一人或者存在直接控股、管理关系的不同投标人，不得参加同一合同项下的政府采购活动；</w:t>
      </w:r>
      <w:r>
        <w:rPr>
          <w:rFonts w:hint="eastAsia" w:ascii="宋体" w:hAnsi="宋体"/>
          <w:color w:val="auto"/>
          <w:szCs w:val="21"/>
          <w:highlight w:val="none"/>
          <w:lang w:eastAsia="zh-CN"/>
        </w:rPr>
        <w:t>供应商</w:t>
      </w:r>
      <w:r>
        <w:rPr>
          <w:rFonts w:hint="eastAsia" w:ascii="宋体" w:hAnsi="宋体"/>
          <w:color w:val="auto"/>
          <w:szCs w:val="21"/>
          <w:highlight w:val="none"/>
        </w:rPr>
        <w:t>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4.参加政府采购活动前三年内，在经营活动中没有重大违法记录；如投标供应商有列入失信被执行人、重大税收违法案件当事人名单、政府采购严重违法失信行为记录名单的，拒绝其参与本项目政府采购活动。</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b/>
          <w:bCs/>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b/>
          <w:bCs/>
          <w:color w:val="auto"/>
          <w:szCs w:val="21"/>
          <w:highlight w:val="none"/>
          <w:lang w:val="en-US" w:eastAsia="zh-CN"/>
        </w:rPr>
        <w:t>标前考察：</w:t>
      </w:r>
    </w:p>
    <w:p>
      <w:pPr>
        <w:keepNext w:val="0"/>
        <w:keepLines w:val="0"/>
        <w:pageBreakBefore w:val="0"/>
        <w:kinsoku/>
        <w:wordWrap/>
        <w:overflowPunct/>
        <w:topLinePunct w:val="0"/>
        <w:autoSpaceDE/>
        <w:autoSpaceDN/>
        <w:bidi w:val="0"/>
        <w:adjustRightInd/>
        <w:snapToGrid w:val="0"/>
        <w:spacing w:line="400" w:lineRule="exact"/>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本项目开标前采购人将根据报名情况适时组成考察小组，对各投标人砂石加工场地进行实地考察。主要考察场地位置及面积、场外运输条件、水电配套、周边情况等内容，相关硬件设施等客观内容由投标人现场确认。全部考察完成后考察小组按客观情况对各投标人进行考察排序，并形成考察报告，考察报告交招标人监察人员封存。评标时送至评标现场交评委会评审打分。</w:t>
      </w:r>
    </w:p>
    <w:p>
      <w:pPr>
        <w:keepNext w:val="0"/>
        <w:keepLines w:val="0"/>
        <w:pageBreakBefore w:val="0"/>
        <w:kinsoku/>
        <w:wordWrap/>
        <w:overflowPunct/>
        <w:topLinePunct w:val="0"/>
        <w:autoSpaceDE/>
        <w:autoSpaceDN/>
        <w:bidi w:val="0"/>
        <w:adjustRightInd/>
        <w:snapToGrid w:val="0"/>
        <w:spacing w:line="400" w:lineRule="exact"/>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如经考察合格的投标人不足2家的，采购人将暂停本次采购，不再组织本次的开评标活动。</w:t>
      </w:r>
    </w:p>
    <w:p>
      <w:pPr>
        <w:keepNext w:val="0"/>
        <w:keepLines w:val="0"/>
        <w:pageBreakBefore w:val="0"/>
        <w:kinsoku/>
        <w:wordWrap/>
        <w:overflowPunct/>
        <w:topLinePunct w:val="0"/>
        <w:autoSpaceDE/>
        <w:autoSpaceDN/>
        <w:bidi w:val="0"/>
        <w:adjustRightInd/>
        <w:snapToGrid w:val="0"/>
        <w:spacing w:line="400" w:lineRule="exact"/>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各投标人应将本单位名称、加工场地地址、联系方式等情况于2020年7月30日下午16:00前告知招标代理（发邮箱至95394652@qq.com）并进行电话联系确认。招标代理联系人：吕工，联系电话：0570-3850118/3850116，15305700377。如未在规定时间内告知而造成无法进行实地考察的后果，由投标人自行负责。</w:t>
      </w:r>
    </w:p>
    <w:bookmarkEnd w:id="5"/>
    <w:bookmarkEnd w:id="6"/>
    <w:p>
      <w:pPr>
        <w:keepNext w:val="0"/>
        <w:keepLines w:val="0"/>
        <w:pageBreakBefore w:val="0"/>
        <w:kinsoku/>
        <w:wordWrap/>
        <w:overflowPunct/>
        <w:topLinePunct w:val="0"/>
        <w:autoSpaceDE/>
        <w:autoSpaceDN/>
        <w:bidi w:val="0"/>
        <w:adjustRightInd/>
        <w:snapToGrid w:val="0"/>
        <w:spacing w:line="400" w:lineRule="exact"/>
        <w:ind w:left="420" w:leftChars="200"/>
        <w:rPr>
          <w:rFonts w:hint="eastAsia" w:ascii="宋体" w:hAnsi="宋体" w:eastAsia="宋体" w:cs="宋体"/>
          <w:b/>
          <w:color w:val="auto"/>
          <w:szCs w:val="21"/>
          <w:highlight w:val="none"/>
          <w:lang w:eastAsia="zh-CN"/>
        </w:rPr>
      </w:pPr>
      <w:bookmarkStart w:id="7" w:name="_Toc414279416"/>
      <w:bookmarkStart w:id="8" w:name="_Hlk293644215"/>
      <w:r>
        <w:rPr>
          <w:rFonts w:hint="eastAsia" w:ascii="宋体" w:hAnsi="宋体" w:cs="宋体"/>
          <w:b/>
          <w:bCs/>
          <w:color w:val="auto"/>
          <w:szCs w:val="21"/>
          <w:highlight w:val="none"/>
          <w:lang w:val="zh-CN"/>
        </w:rPr>
        <w:t>三、</w:t>
      </w:r>
      <w:r>
        <w:rPr>
          <w:rFonts w:hint="eastAsia" w:ascii="宋体" w:hAnsi="宋体" w:cs="宋体"/>
          <w:b/>
          <w:color w:val="auto"/>
          <w:szCs w:val="21"/>
          <w:highlight w:val="none"/>
        </w:rPr>
        <w:t>获取</w:t>
      </w:r>
      <w:r>
        <w:rPr>
          <w:rFonts w:hint="eastAsia" w:ascii="宋体" w:hAnsi="宋体" w:cs="宋体"/>
          <w:b/>
          <w:color w:val="auto"/>
          <w:szCs w:val="21"/>
          <w:highlight w:val="none"/>
          <w:lang w:eastAsia="zh-CN"/>
        </w:rPr>
        <w:t>采购文件</w:t>
      </w:r>
    </w:p>
    <w:p>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bCs/>
          <w:color w:val="auto"/>
          <w:szCs w:val="21"/>
          <w:highlight w:val="none"/>
        </w:rPr>
      </w:pPr>
      <w:r>
        <w:rPr>
          <w:rFonts w:hint="eastAsia"/>
          <w:color w:val="auto"/>
          <w:sz w:val="21"/>
          <w:szCs w:val="21"/>
          <w:highlight w:val="none"/>
        </w:rPr>
        <w:t>本项目无须报名。</w:t>
      </w:r>
      <w:r>
        <w:rPr>
          <w:rFonts w:hint="eastAsia"/>
          <w:color w:val="auto"/>
          <w:sz w:val="21"/>
          <w:szCs w:val="21"/>
          <w:highlight w:val="none"/>
          <w:lang w:eastAsia="zh-CN"/>
        </w:rPr>
        <w:t>潜在</w:t>
      </w:r>
      <w:r>
        <w:rPr>
          <w:rFonts w:hint="eastAsia"/>
          <w:color w:val="auto"/>
          <w:sz w:val="21"/>
          <w:szCs w:val="21"/>
          <w:highlight w:val="none"/>
        </w:rPr>
        <w:t>供应商可在浙江政府采购网（</w:t>
      </w:r>
      <w:r>
        <w:rPr>
          <w:rFonts w:hint="eastAsia"/>
          <w:color w:val="auto"/>
          <w:sz w:val="21"/>
          <w:szCs w:val="21"/>
          <w:highlight w:val="none"/>
        </w:rPr>
        <w:fldChar w:fldCharType="begin"/>
      </w:r>
      <w:r>
        <w:rPr>
          <w:rFonts w:hint="eastAsia"/>
          <w:color w:val="auto"/>
          <w:sz w:val="21"/>
          <w:szCs w:val="21"/>
          <w:highlight w:val="none"/>
        </w:rPr>
        <w:instrText xml:space="preserve"> HYPERLINK "http://zfcg.czt.zj.gov.cn/" </w:instrText>
      </w:r>
      <w:r>
        <w:rPr>
          <w:rFonts w:hint="eastAsia"/>
          <w:color w:val="auto"/>
          <w:sz w:val="21"/>
          <w:szCs w:val="21"/>
          <w:highlight w:val="none"/>
        </w:rPr>
        <w:fldChar w:fldCharType="separate"/>
      </w:r>
      <w:r>
        <w:rPr>
          <w:rFonts w:hint="eastAsia"/>
          <w:color w:val="auto"/>
          <w:sz w:val="21"/>
          <w:szCs w:val="21"/>
          <w:highlight w:val="none"/>
        </w:rPr>
        <w:t>zfcg.czt.zj.gov.cn</w:t>
      </w:r>
      <w:r>
        <w:rPr>
          <w:rFonts w:hint="eastAsia"/>
          <w:color w:val="auto"/>
          <w:sz w:val="21"/>
          <w:szCs w:val="21"/>
          <w:highlight w:val="none"/>
        </w:rPr>
        <w:fldChar w:fldCharType="end"/>
      </w:r>
      <w:r>
        <w:rPr>
          <w:rFonts w:hint="eastAsia"/>
          <w:color w:val="auto"/>
          <w:sz w:val="21"/>
          <w:szCs w:val="21"/>
          <w:highlight w:val="none"/>
        </w:rPr>
        <w:t>）或衢州市柯城区人民政府网（http://www.kecheng.gov.cn/）免费下载。</w:t>
      </w:r>
    </w:p>
    <w:p>
      <w:pPr>
        <w:keepNext w:val="0"/>
        <w:keepLines w:val="0"/>
        <w:pageBreakBefore w:val="0"/>
        <w:numPr>
          <w:ilvl w:val="0"/>
          <w:numId w:val="1"/>
        </w:numPr>
        <w:kinsoku/>
        <w:wordWrap/>
        <w:overflowPunct/>
        <w:topLinePunct w:val="0"/>
        <w:autoSpaceDE/>
        <w:autoSpaceDN/>
        <w:bidi w:val="0"/>
        <w:adjustRightInd/>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响应文件提交</w:t>
      </w:r>
      <w:r>
        <w:rPr>
          <w:rFonts w:hint="eastAsia" w:ascii="宋体" w:hAnsi="宋体" w:cs="宋体"/>
          <w:b/>
          <w:bCs/>
          <w:color w:val="auto"/>
          <w:szCs w:val="21"/>
          <w:highlight w:val="none"/>
        </w:rPr>
        <w:t>：</w:t>
      </w:r>
    </w:p>
    <w:p>
      <w:pPr>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left"/>
        <w:rPr>
          <w:rFonts w:hint="eastAsia" w:ascii="宋体" w:hAnsi="宋体" w:cs="宋体"/>
          <w:color w:val="auto"/>
          <w:szCs w:val="21"/>
          <w:highlight w:val="none"/>
        </w:rPr>
      </w:pPr>
      <w:r>
        <w:rPr>
          <w:rFonts w:hint="eastAsia" w:ascii="宋体" w:hAnsi="宋体" w:cs="宋体"/>
          <w:b w:val="0"/>
          <w:bCs w:val="0"/>
          <w:color w:val="auto"/>
          <w:szCs w:val="21"/>
          <w:highlight w:val="none"/>
          <w:lang w:eastAsia="zh-CN"/>
        </w:rPr>
        <w:t>截止时间：</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日09时30分</w:t>
      </w:r>
      <w:r>
        <w:rPr>
          <w:rFonts w:hint="eastAsia" w:ascii="宋体" w:hAnsi="宋体" w:cs="宋体"/>
          <w:color w:val="auto"/>
          <w:szCs w:val="21"/>
          <w:highlight w:val="none"/>
          <w:lang w:eastAsia="zh-CN"/>
        </w:rPr>
        <w:t>（北京时间）</w:t>
      </w:r>
      <w:r>
        <w:rPr>
          <w:rFonts w:hint="eastAsia" w:ascii="宋体" w:hAnsi="宋体" w:cs="宋体"/>
          <w:color w:val="auto"/>
          <w:szCs w:val="21"/>
          <w:highlight w:val="none"/>
        </w:rPr>
        <w:t>，地点：衢州市柯城区交易中心四楼开标厅（浮石路188号）</w:t>
      </w:r>
      <w:r>
        <w:rPr>
          <w:rFonts w:hint="eastAsia" w:ascii="宋体" w:hAnsi="宋体" w:cs="宋体"/>
          <w:color w:val="auto"/>
          <w:szCs w:val="21"/>
          <w:highlight w:val="none"/>
          <w:lang w:val="zh-CN"/>
        </w:rPr>
        <w:t>。</w:t>
      </w:r>
    </w:p>
    <w:p>
      <w:pPr>
        <w:keepNext w:val="0"/>
        <w:keepLines w:val="0"/>
        <w:pageBreakBefore w:val="0"/>
        <w:numPr>
          <w:ilvl w:val="0"/>
          <w:numId w:val="1"/>
        </w:numPr>
        <w:kinsoku/>
        <w:wordWrap/>
        <w:overflowPunct/>
        <w:topLinePunct w:val="0"/>
        <w:autoSpaceDE/>
        <w:autoSpaceDN/>
        <w:bidi w:val="0"/>
        <w:adjustRightInd/>
        <w:spacing w:line="400" w:lineRule="exact"/>
        <w:ind w:left="0" w:leftChars="0"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开启</w:t>
      </w:r>
    </w:p>
    <w:p>
      <w:pPr>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left"/>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时间：2020年</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lang w:eastAsia="zh-CN"/>
        </w:rPr>
        <w:t>月</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日09时30分（北京时间），地点：衢州市柯城区交易中心四楼开标厅（浮石路188号）。</w:t>
      </w:r>
    </w:p>
    <w:p>
      <w:pPr>
        <w:keepNext w:val="0"/>
        <w:keepLines w:val="0"/>
        <w:pageBreakBefore w:val="0"/>
        <w:numPr>
          <w:ilvl w:val="0"/>
          <w:numId w:val="1"/>
        </w:numPr>
        <w:kinsoku/>
        <w:wordWrap/>
        <w:overflowPunct/>
        <w:topLinePunct w:val="0"/>
        <w:autoSpaceDE/>
        <w:autoSpaceDN/>
        <w:bidi w:val="0"/>
        <w:adjustRightInd/>
        <w:spacing w:line="400" w:lineRule="exact"/>
        <w:ind w:left="0" w:leftChars="0"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公告期限</w:t>
      </w:r>
    </w:p>
    <w:p>
      <w:pPr>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left"/>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自本公告发布之日起3个工作日。</w:t>
      </w:r>
    </w:p>
    <w:p>
      <w:pPr>
        <w:keepNext w:val="0"/>
        <w:keepLines w:val="0"/>
        <w:pageBreakBefore w:val="0"/>
        <w:kinsoku/>
        <w:wordWrap/>
        <w:overflowPunct/>
        <w:topLinePunct w:val="0"/>
        <w:autoSpaceDE/>
        <w:autoSpaceDN/>
        <w:bidi w:val="0"/>
        <w:adjustRightInd/>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七、其他补充事宜</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本项目磋商保证金</w:t>
      </w:r>
      <w:r>
        <w:rPr>
          <w:rFonts w:hint="eastAsia" w:ascii="宋体" w:hAnsi="宋体" w:cs="宋体"/>
          <w:color w:val="auto"/>
          <w:szCs w:val="21"/>
          <w:highlight w:val="none"/>
          <w:lang w:eastAsia="zh-CN"/>
        </w:rPr>
        <w:t>为</w:t>
      </w:r>
      <w:r>
        <w:rPr>
          <w:rFonts w:hint="eastAsia" w:ascii="宋体" w:hAnsi="宋体" w:cs="宋体"/>
          <w:b/>
          <w:bCs/>
          <w:color w:val="auto"/>
          <w:szCs w:val="21"/>
          <w:highlight w:val="none"/>
          <w:u w:val="single"/>
          <w:lang w:val="en-US" w:eastAsia="zh-CN"/>
        </w:rPr>
        <w:t>20万元</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纳形式：以银行汇票、电汇、转账、网银、电子保函（保险保单、银行保函等）形式等非现金形式，必须从供应商的基本账户交纳；使用电子保函方式缴纳的，供应商须在磋商截止时间前，一次性提供不低于磋商要求的磋商保证金金额的担保，否则视为未缴纳磋商保证金。磋商保证金缴纳时间以电子保函实际获得时间为准。供应商使用电子保函所遇一切相关问题及相关纠纷，均由供应商与保函出具机构之间自行解决。</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3、交纳截止时间：20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日16：00时前；确保</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截止时间前到账；</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4、交纳的开户银行、账号、户名：开户银行为“柯城农商银行府山支行”，银行账号为“201000176327560”，户名为“浙江中正工程项目管理有限公司衢州分公司”。联系人：伍女士；联系电话：0570-3850156。</w:t>
      </w:r>
    </w:p>
    <w:p>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供应商认为采购文件使自己的权益受到损害的，可以自收到采购文件之日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联系电话：0570-3028506）。质疑函范本、投诉书范本请到浙江政府采购网下载专区下载。</w:t>
      </w:r>
    </w:p>
    <w:p>
      <w:pPr>
        <w:keepNext w:val="0"/>
        <w:keepLines w:val="0"/>
        <w:pageBreakBefore w:val="0"/>
        <w:kinsoku/>
        <w:wordWrap/>
        <w:overflowPunct/>
        <w:topLinePunct w:val="0"/>
        <w:autoSpaceDE/>
        <w:autoSpaceDN/>
        <w:bidi w:val="0"/>
        <w:adjustRightInd/>
        <w:snapToGrid w:val="0"/>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八、凡对本次采购提出询问，请按以下方式联系：</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衢州市寺桥水库开发建设有限公司</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余先生</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0570-3869150  </w:t>
      </w:r>
    </w:p>
    <w:p>
      <w:pPr>
        <w:keepNext w:val="0"/>
        <w:keepLines w:val="0"/>
        <w:pageBreakBefore w:val="0"/>
        <w:kinsoku/>
        <w:wordWrap/>
        <w:overflowPunct/>
        <w:topLinePunct w:val="0"/>
        <w:autoSpaceDE/>
        <w:autoSpaceDN/>
        <w:bidi w:val="0"/>
        <w:snapToGrid w:val="0"/>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地址：衢州市</w:t>
      </w:r>
      <w:r>
        <w:rPr>
          <w:rFonts w:hint="eastAsia" w:ascii="宋体" w:hAnsi="宋体" w:cs="宋体"/>
          <w:color w:val="auto"/>
          <w:szCs w:val="21"/>
          <w:highlight w:val="none"/>
          <w:lang w:eastAsia="zh-CN"/>
        </w:rPr>
        <w:t>柯城区</w:t>
      </w:r>
      <w:r>
        <w:rPr>
          <w:rFonts w:hint="eastAsia" w:ascii="宋体" w:hAnsi="宋体" w:cs="宋体"/>
          <w:color w:val="auto"/>
          <w:szCs w:val="21"/>
          <w:highlight w:val="none"/>
        </w:rPr>
        <w:t>双港中路18号</w:t>
      </w:r>
      <w:r>
        <w:rPr>
          <w:rFonts w:hint="eastAsia" w:ascii="宋体" w:hAnsi="宋体" w:cs="宋体"/>
          <w:color w:val="auto"/>
          <w:szCs w:val="21"/>
          <w:highlight w:val="none"/>
          <w:lang w:val="en-US" w:eastAsia="zh-CN"/>
        </w:rPr>
        <w:t>1幢201室</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浙江中正工程项目管理有限公司</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吕女士</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0570-385011</w:t>
      </w:r>
      <w:r>
        <w:rPr>
          <w:rFonts w:hint="eastAsia" w:ascii="宋体" w:hAnsi="宋体" w:cs="宋体"/>
          <w:color w:val="auto"/>
          <w:szCs w:val="21"/>
          <w:highlight w:val="none"/>
          <w:lang w:val="en-US" w:eastAsia="zh-CN"/>
        </w:rPr>
        <w:t>8/3850116</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地点：</w:t>
      </w:r>
      <w:r>
        <w:rPr>
          <w:rFonts w:hint="eastAsia" w:ascii="宋体" w:hAnsi="宋体" w:cs="宋体"/>
          <w:color w:val="auto"/>
          <w:szCs w:val="21"/>
          <w:highlight w:val="none"/>
          <w:lang w:eastAsia="zh-CN"/>
        </w:rPr>
        <w:t>衢州市九华北大道509号合屹大厦2号楼2单元9楼</w:t>
      </w:r>
    </w:p>
    <w:p>
      <w:pPr>
        <w:pStyle w:val="11"/>
        <w:keepNext w:val="0"/>
        <w:keepLines w:val="0"/>
        <w:pageBreakBefore w:val="0"/>
        <w:kinsoku/>
        <w:wordWrap/>
        <w:overflowPunct/>
        <w:topLinePunct w:val="0"/>
        <w:autoSpaceDE/>
        <w:autoSpaceDN/>
        <w:bidi w:val="0"/>
        <w:adjustRightInd w:val="0"/>
        <w:snapToGrid w:val="0"/>
        <w:spacing w:line="400" w:lineRule="exact"/>
        <w:rPr>
          <w:rFonts w:hAnsi="宋体" w:cs="宋体"/>
          <w:color w:val="auto"/>
          <w:szCs w:val="21"/>
          <w:highlight w:val="none"/>
        </w:rPr>
      </w:pP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同级政府采购监督管理部门名称：衢州市柯城区政府采购管理办公室</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地址：衢州市柯城区上街92号</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联系人：毛先生</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监督投诉电话：0570-3028506</w:t>
      </w:r>
    </w:p>
    <w:p>
      <w:pPr>
        <w:pStyle w:val="11"/>
        <w:keepNext w:val="0"/>
        <w:keepLines w:val="0"/>
        <w:pageBreakBefore w:val="0"/>
        <w:kinsoku/>
        <w:wordWrap/>
        <w:overflowPunct/>
        <w:topLinePunct w:val="0"/>
        <w:autoSpaceDE/>
        <w:autoSpaceDN/>
        <w:bidi w:val="0"/>
        <w:adjustRightInd w:val="0"/>
        <w:snapToGrid w:val="0"/>
        <w:spacing w:line="400" w:lineRule="exact"/>
        <w:rPr>
          <w:rFonts w:hAnsi="宋体" w:cs="宋体"/>
          <w:color w:val="auto"/>
          <w:szCs w:val="21"/>
          <w:highlight w:val="none"/>
        </w:rPr>
      </w:pPr>
    </w:p>
    <w:p>
      <w:pPr>
        <w:keepNext w:val="0"/>
        <w:keepLines w:val="0"/>
        <w:pageBreakBefore w:val="0"/>
        <w:kinsoku/>
        <w:wordWrap/>
        <w:overflowPunct/>
        <w:topLinePunct w:val="0"/>
        <w:autoSpaceDE/>
        <w:autoSpaceDN/>
        <w:bidi w:val="0"/>
        <w:spacing w:line="400" w:lineRule="exact"/>
        <w:ind w:firstLine="420" w:firstLineChars="20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衢州市寺桥水库开发建设有限公司</w:t>
      </w:r>
    </w:p>
    <w:p>
      <w:pPr>
        <w:keepNext w:val="0"/>
        <w:keepLines w:val="0"/>
        <w:pageBreakBefore w:val="0"/>
        <w:kinsoku/>
        <w:wordWrap/>
        <w:overflowPunct/>
        <w:topLinePunct w:val="0"/>
        <w:autoSpaceDE/>
        <w:autoSpaceDN/>
        <w:bidi w:val="0"/>
        <w:spacing w:line="400" w:lineRule="exact"/>
        <w:ind w:firstLine="420" w:firstLineChars="20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浙江中正工程项目管理有限公司</w:t>
      </w:r>
    </w:p>
    <w:p>
      <w:pPr>
        <w:keepNext w:val="0"/>
        <w:keepLines w:val="0"/>
        <w:pageBreakBefore w:val="0"/>
        <w:kinsoku/>
        <w:wordWrap/>
        <w:overflowPunct/>
        <w:topLinePunct w:val="0"/>
        <w:autoSpaceDE/>
        <w:autoSpaceDN/>
        <w:bidi w:val="0"/>
        <w:spacing w:line="400" w:lineRule="exact"/>
        <w:ind w:firstLine="420" w:firstLineChars="200"/>
        <w:jc w:val="right"/>
        <w:rPr>
          <w:rFonts w:hint="eastAsia" w:ascii="宋体" w:hAnsi="宋体" w:cs="宋体"/>
          <w:b/>
          <w:color w:val="auto"/>
          <w:kern w:val="0"/>
          <w:szCs w:val="21"/>
          <w:highlight w:val="none"/>
        </w:rPr>
      </w:pP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bookmarkEnd w:id="83"/>
    </w:p>
    <w:p>
      <w:pPr>
        <w:widowControl/>
        <w:spacing w:line="312" w:lineRule="auto"/>
        <w:ind w:firstLine="413" w:firstLineChars="196"/>
        <w:jc w:val="center"/>
        <w:outlineLvl w:val="0"/>
        <w:rPr>
          <w:rFonts w:hint="eastAsia" w:ascii="宋体" w:hAnsi="宋体" w:cs="宋体"/>
          <w:b/>
          <w:color w:val="auto"/>
          <w:kern w:val="0"/>
          <w:szCs w:val="21"/>
          <w:highlight w:val="none"/>
        </w:rPr>
      </w:pPr>
    </w:p>
    <w:p>
      <w:pPr>
        <w:widowControl/>
        <w:spacing w:line="312" w:lineRule="auto"/>
        <w:ind w:firstLine="413" w:firstLineChars="196"/>
        <w:jc w:val="center"/>
        <w:outlineLvl w:val="0"/>
        <w:rPr>
          <w:rFonts w:hint="eastAsia" w:ascii="宋体" w:hAnsi="宋体" w:cs="宋体"/>
          <w:b/>
          <w:color w:val="auto"/>
          <w:kern w:val="0"/>
          <w:szCs w:val="21"/>
          <w:highlight w:val="none"/>
        </w:rPr>
      </w:pPr>
    </w:p>
    <w:p>
      <w:pPr>
        <w:widowControl/>
        <w:spacing w:line="312" w:lineRule="auto"/>
        <w:ind w:firstLine="413" w:firstLineChars="196"/>
        <w:jc w:val="center"/>
        <w:outlineLvl w:val="0"/>
        <w:rPr>
          <w:rFonts w:hint="eastAsia" w:ascii="宋体" w:hAnsi="宋体" w:cs="宋体"/>
          <w:b/>
          <w:color w:val="auto"/>
          <w:kern w:val="0"/>
          <w:szCs w:val="21"/>
          <w:highlight w:val="none"/>
        </w:rPr>
      </w:pPr>
    </w:p>
    <w:p>
      <w:pPr>
        <w:widowControl/>
        <w:spacing w:line="312" w:lineRule="auto"/>
        <w:ind w:firstLine="413" w:firstLineChars="196"/>
        <w:jc w:val="center"/>
        <w:outlineLvl w:val="0"/>
        <w:rPr>
          <w:rFonts w:hint="eastAsia" w:ascii="宋体" w:hAnsi="宋体" w:cs="宋体"/>
          <w:b/>
          <w:color w:val="auto"/>
          <w:kern w:val="0"/>
          <w:szCs w:val="21"/>
          <w:highlight w:val="none"/>
        </w:rPr>
      </w:pPr>
    </w:p>
    <w:p>
      <w:pPr>
        <w:widowControl/>
        <w:spacing w:line="312" w:lineRule="auto"/>
        <w:ind w:firstLine="413" w:firstLineChars="196"/>
        <w:jc w:val="center"/>
        <w:outlineLvl w:val="0"/>
        <w:rPr>
          <w:rFonts w:hint="eastAsia" w:ascii="宋体" w:hAnsi="宋体" w:cs="宋体"/>
          <w:b/>
          <w:color w:val="auto"/>
          <w:kern w:val="0"/>
          <w:szCs w:val="21"/>
          <w:highlight w:val="none"/>
        </w:rPr>
      </w:pPr>
    </w:p>
    <w:p>
      <w:pPr>
        <w:widowControl/>
        <w:spacing w:line="312" w:lineRule="auto"/>
        <w:ind w:firstLine="413" w:firstLineChars="196"/>
        <w:jc w:val="center"/>
        <w:outlineLvl w:val="0"/>
        <w:rPr>
          <w:rFonts w:hint="eastAsia" w:ascii="宋体" w:hAnsi="宋体" w:cs="宋体"/>
          <w:b/>
          <w:color w:val="auto"/>
          <w:kern w:val="0"/>
          <w:szCs w:val="21"/>
          <w:highlight w:val="none"/>
        </w:rPr>
      </w:pPr>
    </w:p>
    <w:p>
      <w:pPr>
        <w:spacing w:line="312" w:lineRule="auto"/>
        <w:ind w:firstLine="562" w:firstLineChars="200"/>
        <w:rPr>
          <w:rFonts w:hint="eastAsia" w:ascii="宋体" w:hAnsi="宋体" w:cs="宋体"/>
          <w:color w:val="auto"/>
          <w:szCs w:val="21"/>
          <w:highlight w:val="none"/>
        </w:rPr>
      </w:pPr>
      <w:bookmarkStart w:id="9" w:name="_Toc29385"/>
      <w:r>
        <w:rPr>
          <w:rFonts w:hint="eastAsia" w:ascii="宋体" w:hAnsi="宋体" w:cs="宋体"/>
          <w:b/>
          <w:color w:val="auto"/>
          <w:kern w:val="0"/>
          <w:sz w:val="28"/>
          <w:szCs w:val="28"/>
          <w:highlight w:val="none"/>
        </w:rPr>
        <w:br w:type="page"/>
      </w:r>
      <w:bookmarkEnd w:id="7"/>
      <w:bookmarkEnd w:id="8"/>
      <w:bookmarkEnd w:id="9"/>
      <w:bookmarkStart w:id="10" w:name="_Hlk293664690"/>
      <w:bookmarkStart w:id="11" w:name="_Toc414279422"/>
    </w:p>
    <w:p>
      <w:pPr>
        <w:widowControl/>
        <w:spacing w:line="312" w:lineRule="auto"/>
        <w:ind w:firstLine="551" w:firstLineChars="196"/>
        <w:jc w:val="center"/>
        <w:outlineLvl w:val="0"/>
        <w:rPr>
          <w:rFonts w:hint="eastAsia" w:ascii="宋体" w:hAnsi="宋体" w:cs="宋体"/>
          <w:b/>
          <w:color w:val="auto"/>
          <w:kern w:val="0"/>
          <w:sz w:val="28"/>
          <w:szCs w:val="28"/>
          <w:highlight w:val="none"/>
        </w:rPr>
      </w:pPr>
      <w:bookmarkStart w:id="12" w:name="_Toc6840"/>
      <w:r>
        <w:rPr>
          <w:rFonts w:hint="eastAsia" w:ascii="宋体" w:hAnsi="宋体" w:cs="宋体"/>
          <w:b/>
          <w:color w:val="auto"/>
          <w:kern w:val="0"/>
          <w:sz w:val="28"/>
          <w:szCs w:val="28"/>
          <w:highlight w:val="none"/>
        </w:rPr>
        <w:t xml:space="preserve">第二部分 </w:t>
      </w:r>
      <w:r>
        <w:rPr>
          <w:rFonts w:hint="eastAsia" w:ascii="宋体" w:hAnsi="宋体" w:cs="宋体"/>
          <w:b/>
          <w:color w:val="auto"/>
          <w:kern w:val="0"/>
          <w:sz w:val="28"/>
          <w:szCs w:val="28"/>
          <w:highlight w:val="none"/>
          <w:lang w:eastAsia="zh-CN"/>
        </w:rPr>
        <w:t>磋商</w:t>
      </w:r>
      <w:r>
        <w:rPr>
          <w:rFonts w:hint="eastAsia" w:ascii="宋体" w:hAnsi="宋体" w:cs="宋体"/>
          <w:b/>
          <w:color w:val="auto"/>
          <w:kern w:val="0"/>
          <w:sz w:val="28"/>
          <w:szCs w:val="28"/>
          <w:highlight w:val="none"/>
        </w:rPr>
        <w:t>须知</w:t>
      </w:r>
    </w:p>
    <w:p>
      <w:pPr>
        <w:pStyle w:val="11"/>
        <w:spacing w:line="312" w:lineRule="auto"/>
        <w:jc w:val="center"/>
        <w:outlineLvl w:val="1"/>
        <w:rPr>
          <w:rFonts w:hAnsi="宋体" w:cs="宋体"/>
          <w:b/>
          <w:color w:val="auto"/>
          <w:sz w:val="28"/>
          <w:szCs w:val="28"/>
          <w:highlight w:val="none"/>
        </w:rPr>
      </w:pPr>
      <w:bookmarkStart w:id="13" w:name="_Toc451532282"/>
      <w:bookmarkStart w:id="14" w:name="_Toc3049"/>
      <w:bookmarkStart w:id="15" w:name="_Toc427849106"/>
      <w:r>
        <w:rPr>
          <w:rFonts w:hAnsi="宋体" w:cs="宋体"/>
          <w:b/>
          <w:color w:val="auto"/>
          <w:sz w:val="28"/>
          <w:szCs w:val="28"/>
          <w:highlight w:val="none"/>
        </w:rPr>
        <w:t>前 附 表</w:t>
      </w:r>
      <w:bookmarkEnd w:id="13"/>
      <w:bookmarkEnd w:id="14"/>
    </w:p>
    <w:tbl>
      <w:tblPr>
        <w:tblStyle w:val="23"/>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627"/>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序号</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内  容</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1</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Ansi="宋体" w:cs="宋体"/>
                <w:color w:val="auto"/>
                <w:szCs w:val="21"/>
                <w:highlight w:val="none"/>
              </w:rPr>
              <w:t>采购人</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hAnsi="宋体" w:eastAsia="宋体" w:cs="宋体"/>
                <w:color w:val="auto"/>
                <w:szCs w:val="21"/>
                <w:highlight w:val="none"/>
                <w:lang w:eastAsia="zh-CN"/>
              </w:rPr>
            </w:pPr>
            <w:r>
              <w:rPr>
                <w:rFonts w:hint="eastAsia" w:hAnsi="宋体" w:cs="宋体"/>
                <w:color w:val="auto"/>
                <w:szCs w:val="21"/>
                <w:highlight w:val="none"/>
                <w:lang w:eastAsia="zh-CN"/>
              </w:rPr>
              <w:t>衢州市寺桥水库开发建设有限公司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2</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Ansi="宋体" w:cs="宋体"/>
                <w:color w:val="auto"/>
                <w:szCs w:val="21"/>
                <w:highlight w:val="none"/>
              </w:rPr>
              <w:t>采购代理机构</w:t>
            </w:r>
          </w:p>
        </w:tc>
        <w:tc>
          <w:tcPr>
            <w:tcW w:w="622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浙江中正工程项目管理有限公司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3</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Ansi="宋体" w:cs="宋体"/>
                <w:color w:val="auto"/>
                <w:szCs w:val="21"/>
                <w:highlight w:val="none"/>
              </w:rPr>
              <w:t>项目名称</w:t>
            </w:r>
          </w:p>
        </w:tc>
        <w:tc>
          <w:tcPr>
            <w:tcW w:w="622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砂石料代加工服务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4</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Ansi="宋体" w:cs="宋体"/>
                <w:color w:val="auto"/>
                <w:szCs w:val="21"/>
                <w:highlight w:val="none"/>
              </w:rPr>
              <w:t>服务期</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hAnsi="宋体" w:eastAsia="宋体" w:cs="宋体"/>
                <w:color w:val="auto"/>
                <w:szCs w:val="21"/>
                <w:highlight w:val="none"/>
                <w:lang w:val="en-US" w:eastAsia="zh-CN"/>
              </w:rPr>
            </w:pPr>
            <w:r>
              <w:rPr>
                <w:rFonts w:hint="eastAsia" w:hAnsi="宋体" w:cs="宋体"/>
                <w:color w:val="auto"/>
                <w:sz w:val="21"/>
                <w:szCs w:val="21"/>
                <w:highlight w:val="none"/>
                <w:lang w:val="en-US" w:eastAsia="zh-CN"/>
              </w:rPr>
              <w:t>27个月，其中建设期3个月确保具备开工生产条件（自中标通知书发出之日起），加工生产期24个月。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5</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hAnsi="宋体" w:eastAsia="宋体" w:cs="宋体"/>
                <w:color w:val="auto"/>
                <w:szCs w:val="21"/>
                <w:highlight w:val="none"/>
                <w:lang w:eastAsia="zh-CN"/>
              </w:rPr>
            </w:pPr>
            <w:r>
              <w:rPr>
                <w:rFonts w:hint="eastAsia" w:hAnsi="宋体" w:cs="宋体"/>
                <w:color w:val="auto"/>
                <w:szCs w:val="21"/>
                <w:highlight w:val="none"/>
                <w:lang w:eastAsia="zh-CN"/>
              </w:rPr>
              <w:t>标前考察</w:t>
            </w:r>
          </w:p>
        </w:tc>
        <w:tc>
          <w:tcPr>
            <w:tcW w:w="622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本项目开标前采购人将根据报名情况适时组成考察小组，对各投标人砂石加工场地进行实地考察。主要考察场地位置及面积、场外运输条件、水电配套、周边情况等内容，相关硬件设施等客观内容由投标人现场确认。全部考察完成后考察小组按客观情况对各投标人进行考察排序，并形成考察报告，考察报告交招标人监察人员封存。评标时送至评标现场交评委会评审打分。</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b/>
                <w:bCs/>
                <w:color w:val="auto"/>
                <w:szCs w:val="21"/>
                <w:highlight w:val="none"/>
                <w:lang w:val="en-US" w:eastAsia="zh-CN"/>
              </w:rPr>
            </w:pPr>
            <w:r>
              <w:rPr>
                <w:rFonts w:hint="eastAsia" w:ascii="宋体" w:hAnsi="宋体" w:cs="宋体"/>
                <w:color w:val="auto"/>
                <w:szCs w:val="21"/>
                <w:highlight w:val="none"/>
              </w:rPr>
              <w:t>▲</w:t>
            </w:r>
            <w:r>
              <w:rPr>
                <w:rFonts w:hint="eastAsia" w:ascii="宋体" w:hAnsi="宋体"/>
                <w:b/>
                <w:bCs/>
                <w:color w:val="auto"/>
                <w:szCs w:val="21"/>
                <w:highlight w:val="none"/>
                <w:lang w:val="en-US" w:eastAsia="zh-CN"/>
              </w:rPr>
              <w:t>如经考察合格的供应商不足2家的，采购人将暂停本次采购，不再组织本次的开评标活动。</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hAnsi="宋体" w:cs="宋体"/>
                <w:b/>
                <w:bCs/>
                <w:color w:val="auto"/>
                <w:szCs w:val="21"/>
                <w:highlight w:val="none"/>
              </w:rPr>
            </w:pPr>
            <w:r>
              <w:rPr>
                <w:rFonts w:hint="eastAsia" w:ascii="宋体" w:hAnsi="宋体"/>
                <w:b w:val="0"/>
                <w:bCs w:val="0"/>
                <w:color w:val="auto"/>
                <w:szCs w:val="21"/>
                <w:highlight w:val="none"/>
                <w:lang w:val="en-US" w:eastAsia="zh-CN"/>
              </w:rPr>
              <w:t>各供应商应将本单位名称、加工场地地址、联系方式等情况于2020年7月30日下午16：00前告知招标代理（发邮箱至95394652@qq.com）并进行电话联系确认。招标代理联系人：吕工，联系电话：0570-3850118/3850116，15305700377。如未在规定时间内告知而造成无法进行实地考察的后果，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6</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int="eastAsia" w:hAnsi="宋体" w:cs="宋体"/>
                <w:color w:val="auto"/>
                <w:szCs w:val="21"/>
                <w:highlight w:val="none"/>
                <w:lang w:eastAsia="zh-CN"/>
              </w:rPr>
              <w:t>磋商</w:t>
            </w:r>
            <w:r>
              <w:rPr>
                <w:rFonts w:hAnsi="宋体" w:cs="宋体"/>
                <w:color w:val="auto"/>
                <w:szCs w:val="21"/>
                <w:highlight w:val="none"/>
              </w:rPr>
              <w:t>有效期</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int="eastAsia" w:hAnsi="宋体" w:cs="宋体"/>
                <w:color w:val="auto"/>
                <w:szCs w:val="21"/>
                <w:highlight w:val="none"/>
                <w:lang w:eastAsia="zh-CN"/>
              </w:rPr>
              <w:t>响应文件</w:t>
            </w:r>
            <w:r>
              <w:rPr>
                <w:rFonts w:hAnsi="宋体" w:cs="宋体"/>
                <w:color w:val="auto"/>
                <w:szCs w:val="21"/>
                <w:highlight w:val="none"/>
              </w:rPr>
              <w:t>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7</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pacing w:val="-20"/>
                <w:szCs w:val="21"/>
                <w:highlight w:val="none"/>
              </w:rPr>
            </w:pPr>
            <w:r>
              <w:rPr>
                <w:rFonts w:hint="eastAsia" w:hAnsi="宋体" w:cs="宋体"/>
                <w:color w:val="auto"/>
                <w:szCs w:val="21"/>
                <w:highlight w:val="none"/>
                <w:lang w:eastAsia="zh-CN"/>
              </w:rPr>
              <w:t>响应文件</w:t>
            </w:r>
            <w:r>
              <w:rPr>
                <w:rFonts w:hAnsi="宋体" w:cs="宋体"/>
                <w:color w:val="auto"/>
                <w:szCs w:val="21"/>
                <w:highlight w:val="none"/>
              </w:rPr>
              <w:t>的签章</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hAnsi="宋体" w:eastAsia="宋体" w:cs="宋体"/>
                <w:color w:val="auto"/>
                <w:szCs w:val="21"/>
                <w:highlight w:val="none"/>
                <w:lang w:eastAsia="zh-CN"/>
              </w:rPr>
            </w:pPr>
            <w:r>
              <w:rPr>
                <w:rFonts w:hint="eastAsia" w:hAnsi="宋体" w:cs="宋体"/>
                <w:color w:val="auto"/>
                <w:szCs w:val="21"/>
                <w:highlight w:val="none"/>
                <w:lang w:eastAsia="zh-CN"/>
              </w:rPr>
              <w:t>按磋商文件要求签章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8</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hAnsi="宋体" w:eastAsia="宋体" w:cs="宋体"/>
                <w:color w:val="auto"/>
                <w:spacing w:val="-20"/>
                <w:szCs w:val="21"/>
                <w:highlight w:val="none"/>
                <w:lang w:eastAsia="zh-CN"/>
              </w:rPr>
            </w:pPr>
            <w:r>
              <w:rPr>
                <w:rFonts w:hint="eastAsia" w:hAnsi="宋体" w:cs="宋体"/>
                <w:color w:val="auto"/>
                <w:szCs w:val="21"/>
                <w:highlight w:val="none"/>
                <w:lang w:eastAsia="zh-CN"/>
              </w:rPr>
              <w:t>响应文件</w:t>
            </w:r>
            <w:r>
              <w:rPr>
                <w:rFonts w:hAnsi="宋体" w:cs="宋体"/>
                <w:color w:val="auto"/>
                <w:szCs w:val="21"/>
                <w:highlight w:val="none"/>
              </w:rPr>
              <w:t>的</w:t>
            </w:r>
            <w:r>
              <w:rPr>
                <w:rFonts w:hint="eastAsia" w:hAnsi="宋体" w:cs="宋体"/>
                <w:color w:val="auto"/>
                <w:szCs w:val="21"/>
                <w:highlight w:val="none"/>
                <w:lang w:eastAsia="zh-CN"/>
              </w:rPr>
              <w:t>份数</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int="eastAsia" w:hAnsi="宋体" w:cs="宋体"/>
                <w:color w:val="auto"/>
                <w:szCs w:val="21"/>
                <w:highlight w:val="none"/>
                <w:lang w:eastAsia="zh-CN"/>
              </w:rPr>
              <w:t>技术资信商务文件、报价文件，各正本一份，副本四份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9</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pacing w:val="-20"/>
                <w:kern w:val="2"/>
                <w:sz w:val="21"/>
                <w:szCs w:val="21"/>
                <w:highlight w:val="none"/>
                <w:lang w:val="en-US" w:eastAsia="zh-CN" w:bidi="ar-SA"/>
              </w:rPr>
            </w:pPr>
            <w:r>
              <w:rPr>
                <w:rFonts w:hint="eastAsia" w:hAnsi="宋体" w:cs="宋体"/>
                <w:color w:val="auto"/>
                <w:szCs w:val="21"/>
                <w:highlight w:val="none"/>
                <w:lang w:eastAsia="zh-CN"/>
              </w:rPr>
              <w:t>响应文件</w:t>
            </w:r>
            <w:r>
              <w:rPr>
                <w:rFonts w:hAnsi="宋体" w:cs="宋体"/>
                <w:color w:val="auto"/>
                <w:szCs w:val="21"/>
                <w:highlight w:val="none"/>
              </w:rPr>
              <w:t>递交截止时间</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2020年</w:t>
            </w:r>
            <w:r>
              <w:rPr>
                <w:rFonts w:hint="eastAsia" w:hAnsi="宋体" w:cs="宋体"/>
                <w:color w:val="auto"/>
                <w:szCs w:val="21"/>
                <w:highlight w:val="none"/>
                <w:lang w:val="en-US" w:eastAsia="zh-CN"/>
              </w:rPr>
              <w:t>8</w:t>
            </w:r>
            <w:r>
              <w:rPr>
                <w:rFonts w:hAnsi="宋体" w:cs="宋体"/>
                <w:color w:val="auto"/>
                <w:szCs w:val="21"/>
                <w:highlight w:val="none"/>
              </w:rPr>
              <w:t>月</w:t>
            </w:r>
            <w:r>
              <w:rPr>
                <w:rFonts w:hint="eastAsia" w:hAnsi="宋体" w:cs="宋体"/>
                <w:color w:val="auto"/>
                <w:szCs w:val="21"/>
                <w:highlight w:val="none"/>
                <w:lang w:val="en-US" w:eastAsia="zh-CN"/>
              </w:rPr>
              <w:t>5</w:t>
            </w:r>
            <w:r>
              <w:rPr>
                <w:rFonts w:hAnsi="宋体" w:cs="宋体"/>
                <w:color w:val="auto"/>
                <w:szCs w:val="21"/>
                <w:highlight w:val="none"/>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10</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pacing w:val="-20"/>
                <w:kern w:val="2"/>
                <w:sz w:val="21"/>
                <w:szCs w:val="21"/>
                <w:highlight w:val="none"/>
                <w:lang w:val="en-US" w:eastAsia="zh-CN" w:bidi="ar-SA"/>
              </w:rPr>
            </w:pPr>
            <w:r>
              <w:rPr>
                <w:rFonts w:hint="eastAsia" w:hAnsi="宋体" w:cs="宋体"/>
                <w:color w:val="auto"/>
                <w:szCs w:val="21"/>
                <w:highlight w:val="none"/>
                <w:lang w:eastAsia="zh-CN"/>
              </w:rPr>
              <w:t>磋商</w:t>
            </w:r>
            <w:r>
              <w:rPr>
                <w:rFonts w:hAnsi="宋体" w:cs="宋体"/>
                <w:color w:val="auto"/>
                <w:szCs w:val="21"/>
                <w:highlight w:val="none"/>
              </w:rPr>
              <w:t>地点</w:t>
            </w:r>
          </w:p>
        </w:tc>
        <w:tc>
          <w:tcPr>
            <w:tcW w:w="6223" w:type="dxa"/>
            <w:vAlign w:val="center"/>
          </w:tcPr>
          <w:p>
            <w:pPr>
              <w:spacing w:line="312"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衢州市柯城区交易中心四楼开标厅（浮石路188号）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11</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Cs w:val="21"/>
                <w:highlight w:val="none"/>
                <w:lang w:eastAsia="zh-CN"/>
              </w:rPr>
              <w:t>磋商</w:t>
            </w:r>
            <w:r>
              <w:rPr>
                <w:rFonts w:hAnsi="宋体" w:cs="宋体"/>
                <w:color w:val="auto"/>
                <w:szCs w:val="21"/>
                <w:highlight w:val="none"/>
              </w:rPr>
              <w:t>时间</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2020年</w:t>
            </w:r>
            <w:r>
              <w:rPr>
                <w:rFonts w:hint="eastAsia" w:hAnsi="宋体" w:cs="宋体"/>
                <w:color w:val="auto"/>
                <w:szCs w:val="21"/>
                <w:highlight w:val="none"/>
                <w:lang w:val="en-US" w:eastAsia="zh-CN"/>
              </w:rPr>
              <w:t>8</w:t>
            </w:r>
            <w:r>
              <w:rPr>
                <w:rFonts w:hAnsi="宋体" w:cs="宋体"/>
                <w:color w:val="auto"/>
                <w:szCs w:val="21"/>
                <w:highlight w:val="none"/>
              </w:rPr>
              <w:t>月</w:t>
            </w:r>
            <w:r>
              <w:rPr>
                <w:rFonts w:hint="eastAsia" w:hAnsi="宋体" w:cs="宋体"/>
                <w:color w:val="auto"/>
                <w:szCs w:val="21"/>
                <w:highlight w:val="none"/>
                <w:lang w:val="en-US" w:eastAsia="zh-CN"/>
              </w:rPr>
              <w:t>5</w:t>
            </w:r>
            <w:r>
              <w:rPr>
                <w:rFonts w:hAnsi="宋体" w:cs="宋体"/>
                <w:color w:val="auto"/>
                <w:szCs w:val="21"/>
                <w:highlight w:val="none"/>
              </w:rPr>
              <w:t xml:space="preserve">日09时30分（北京时间）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12</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签订合同</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 xml:space="preserve">中标通知书发出后三十天内签订合同。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13</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履约保证金交纳</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color w:val="auto"/>
                <w:highlight w:val="none"/>
              </w:rPr>
            </w:pPr>
            <w:r>
              <w:rPr>
                <w:color w:val="auto"/>
                <w:highlight w:val="none"/>
              </w:rPr>
              <w:t>合同签订后</w:t>
            </w:r>
            <w:r>
              <w:rPr>
                <w:rFonts w:hint="eastAsia"/>
                <w:color w:val="auto"/>
                <w:highlight w:val="none"/>
                <w:lang w:val="en-US" w:eastAsia="zh-CN"/>
              </w:rPr>
              <w:t>30</w:t>
            </w:r>
            <w:r>
              <w:rPr>
                <w:color w:val="auto"/>
                <w:highlight w:val="none"/>
              </w:rPr>
              <w:t>天内，中标人通过电汇、转账、银行或保险公司向采购人交纳</w:t>
            </w:r>
            <w:r>
              <w:rPr>
                <w:rFonts w:hint="eastAsia"/>
                <w:color w:val="auto"/>
                <w:highlight w:val="none"/>
                <w:lang w:eastAsia="zh-CN"/>
              </w:rPr>
              <w:t>合同价</w:t>
            </w:r>
            <w:r>
              <w:rPr>
                <w:rFonts w:hint="eastAsia"/>
                <w:b/>
                <w:bCs/>
                <w:color w:val="auto"/>
                <w:highlight w:val="none"/>
                <w:lang w:val="en-US" w:eastAsia="zh-CN"/>
              </w:rPr>
              <w:t>5</w:t>
            </w:r>
            <w:r>
              <w:rPr>
                <w:rFonts w:hint="eastAsia"/>
                <w:b/>
                <w:bCs/>
                <w:color w:val="auto"/>
                <w:highlight w:val="none"/>
                <w:lang w:eastAsia="zh-CN"/>
              </w:rPr>
              <w:t>%</w:t>
            </w:r>
            <w:r>
              <w:rPr>
                <w:color w:val="auto"/>
                <w:highlight w:val="none"/>
              </w:rPr>
              <w:t>的履约保证金。</w:t>
            </w:r>
          </w:p>
          <w:p>
            <w:pPr>
              <w:keepNext w:val="0"/>
              <w:keepLines w:val="0"/>
              <w:pageBreakBefore w:val="0"/>
              <w:widowControl w:val="0"/>
              <w:kinsoku/>
              <w:wordWrap/>
              <w:overflowPunct/>
              <w:topLinePunct w:val="0"/>
              <w:autoSpaceDE/>
              <w:autoSpaceDN/>
              <w:bidi w:val="0"/>
              <w:adjustRightInd/>
              <w:spacing w:line="320" w:lineRule="exact"/>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rPr>
              <w:t>在项目实施结束后，</w:t>
            </w:r>
            <w:r>
              <w:rPr>
                <w:rFonts w:hint="eastAsia" w:ascii="宋体" w:hAnsi="宋体" w:cs="宋体"/>
                <w:color w:val="auto"/>
                <w:kern w:val="0"/>
                <w:szCs w:val="21"/>
                <w:highlight w:val="none"/>
                <w:lang w:eastAsia="zh-CN"/>
              </w:rPr>
              <w:t>根据履约情况退还，未发生履约受处罚情形的，于合同履约完毕后一次性无息退还。发生履约受处罚情形的，扣除违约金后剩余部分一次性无息退还。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14</w:t>
            </w:r>
          </w:p>
        </w:tc>
        <w:tc>
          <w:tcPr>
            <w:tcW w:w="2627" w:type="dxa"/>
            <w:vAlign w:val="center"/>
          </w:tcPr>
          <w:p>
            <w:pPr>
              <w:pStyle w:val="11"/>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联合体</w:t>
            </w:r>
            <w:r>
              <w:rPr>
                <w:rFonts w:hint="eastAsia" w:hAnsi="宋体" w:cs="宋体"/>
                <w:color w:val="auto"/>
                <w:szCs w:val="21"/>
                <w:highlight w:val="none"/>
                <w:lang w:eastAsia="zh-CN"/>
              </w:rPr>
              <w:t>磋商</w:t>
            </w:r>
          </w:p>
        </w:tc>
        <w:tc>
          <w:tcPr>
            <w:tcW w:w="6223" w:type="dxa"/>
            <w:vAlign w:val="center"/>
          </w:tcPr>
          <w:p>
            <w:pPr>
              <w:pStyle w:val="11"/>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olor w:val="auto"/>
                <w:szCs w:val="21"/>
                <w:highlight w:val="none"/>
              </w:rPr>
              <w:t>不接受联合体</w:t>
            </w:r>
            <w:r>
              <w:rPr>
                <w:rFonts w:hint="eastAsia" w:hAnsi="宋体"/>
                <w:color w:val="auto"/>
                <w:szCs w:val="21"/>
                <w:highlight w:val="none"/>
                <w:lang w:eastAsia="zh-CN"/>
              </w:rPr>
              <w:t>磋商</w:t>
            </w:r>
            <w:r>
              <w:rPr>
                <w:rFonts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15</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注意事项</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Ansi="宋体" w:cs="宋体"/>
                <w:color w:val="auto"/>
                <w:szCs w:val="21"/>
                <w:highlight w:val="none"/>
              </w:rPr>
              <w:t>根据《关于在政府采购活动中查询及使用信用记录有关问题的通知》财库[2016]125号的规定：</w:t>
            </w:r>
          </w:p>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Ansi="宋体" w:cs="宋体"/>
                <w:color w:val="auto"/>
                <w:szCs w:val="21"/>
                <w:highlight w:val="none"/>
              </w:rPr>
              <w:t>1）采购人或采购代理机构将对本项目供应商的信用记录进行查询。查询渠道为信用中国网站（www.creditchina.gov.cn）、中国政府采购网（www.ccgp.gov.cn）。</w:t>
            </w:r>
          </w:p>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Ansi="宋体" w:cs="宋体"/>
                <w:color w:val="auto"/>
                <w:szCs w:val="21"/>
                <w:highlight w:val="none"/>
              </w:rPr>
              <w:t>2）截止时点：提交投标文件（响应文件）截止时间前3年内。</w:t>
            </w:r>
          </w:p>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Ansi="宋体" w:cs="宋体"/>
                <w:color w:val="auto"/>
                <w:szCs w:val="21"/>
                <w:highlight w:val="none"/>
              </w:rPr>
            </w:pPr>
            <w:r>
              <w:rPr>
                <w:rFonts w:hAnsi="宋体" w:cs="宋体"/>
                <w:color w:val="auto"/>
                <w:szCs w:val="21"/>
                <w:highlight w:val="none"/>
              </w:rPr>
              <w:t>3）查询记录和证据的留存：信用信息查询记录和证据以网页截图等方式留存。</w:t>
            </w:r>
          </w:p>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w:t>
            </w:r>
            <w:r>
              <w:rPr>
                <w:rFonts w:hint="eastAsia" w:hAnsi="宋体" w:cs="宋体"/>
                <w:color w:val="auto"/>
                <w:szCs w:val="21"/>
                <w:highlight w:val="none"/>
                <w:lang w:eastAsia="zh-CN"/>
              </w:rPr>
              <w:t>磋商</w:t>
            </w:r>
            <w:r>
              <w:rPr>
                <w:rFonts w:hAnsi="宋体" w:cs="宋体"/>
                <w:color w:val="auto"/>
                <w:szCs w:val="21"/>
                <w:highlight w:val="none"/>
              </w:rPr>
              <w:t>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Ansi="宋体" w:cs="宋体"/>
                <w:color w:val="auto"/>
                <w:szCs w:val="21"/>
                <w:highlight w:val="none"/>
              </w:rPr>
            </w:pPr>
            <w:r>
              <w:rPr>
                <w:rFonts w:hAnsi="宋体" w:cs="宋体"/>
                <w:color w:val="auto"/>
                <w:szCs w:val="21"/>
                <w:highlight w:val="none"/>
              </w:rPr>
              <w:t>16</w:t>
            </w:r>
          </w:p>
        </w:tc>
        <w:tc>
          <w:tcPr>
            <w:tcW w:w="2627"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采购公告，更正公告，中标公示发布网址</w:t>
            </w:r>
          </w:p>
        </w:tc>
        <w:tc>
          <w:tcPr>
            <w:tcW w:w="6223"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Ansi="宋体" w:cs="宋体"/>
                <w:color w:val="auto"/>
                <w:szCs w:val="21"/>
                <w:highlight w:val="none"/>
              </w:rPr>
              <w:t>浙江政府采购网（http://zfcg.czt.zj.gov.cn/）</w:t>
            </w:r>
            <w:r>
              <w:rPr>
                <w:rFonts w:hint="eastAsia" w:hAnsi="宋体" w:cs="宋体"/>
                <w:color w:val="auto"/>
                <w:szCs w:val="21"/>
                <w:highlight w:val="none"/>
                <w:lang w:eastAsia="zh-CN"/>
              </w:rPr>
              <w:t>、</w:t>
            </w:r>
            <w:r>
              <w:rPr>
                <w:rFonts w:hAnsi="宋体" w:cs="宋体"/>
                <w:color w:val="auto"/>
                <w:szCs w:val="21"/>
                <w:highlight w:val="none"/>
              </w:rPr>
              <w:t>衢州市柯城区人民政府网（网址：http://www.kecheng.gov.cn）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11" w:type="dxa"/>
            <w:vAlign w:val="center"/>
          </w:tcPr>
          <w:p>
            <w:pPr>
              <w:pStyle w:val="11"/>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17</w:t>
            </w:r>
          </w:p>
        </w:tc>
        <w:tc>
          <w:tcPr>
            <w:tcW w:w="262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Ansi="宋体" w:cs="宋体"/>
                <w:color w:val="auto"/>
                <w:kern w:val="2"/>
                <w:sz w:val="21"/>
                <w:szCs w:val="21"/>
                <w:highlight w:val="none"/>
                <w:lang w:val="en-US" w:eastAsia="zh-CN" w:bidi="ar-SA"/>
              </w:rPr>
            </w:pPr>
            <w:r>
              <w:rPr>
                <w:rFonts w:hint="eastAsia" w:ascii="宋体" w:hAnsi="宋体" w:cs="宋体"/>
                <w:color w:val="auto"/>
                <w:sz w:val="21"/>
                <w:szCs w:val="21"/>
                <w:highlight w:val="none"/>
              </w:rPr>
              <w:t>代理服务费</w:t>
            </w:r>
          </w:p>
        </w:tc>
        <w:tc>
          <w:tcPr>
            <w:tcW w:w="622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1)本次采购，采购代理服务费</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25000元</w:t>
            </w:r>
            <w:r>
              <w:rPr>
                <w:rFonts w:hint="eastAsia" w:ascii="宋体" w:hAnsi="宋体" w:cs="宋体"/>
                <w:color w:val="auto"/>
                <w:sz w:val="21"/>
                <w:szCs w:val="21"/>
                <w:highlight w:val="none"/>
              </w:rPr>
              <w:t>计取。</w:t>
            </w: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2）公证费按实收取；</w:t>
            </w: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3)以上费用均不在报价中单列，请</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在报价中予以</w:t>
            </w:r>
            <w:r>
              <w:rPr>
                <w:rFonts w:hint="eastAsia" w:ascii="宋体" w:hAnsi="宋体" w:cs="宋体"/>
                <w:color w:val="auto"/>
                <w:sz w:val="21"/>
                <w:szCs w:val="21"/>
                <w:highlight w:val="none"/>
                <w:lang w:val="en-US" w:eastAsia="zh-CN"/>
              </w:rPr>
              <w:t>综合</w:t>
            </w:r>
            <w:r>
              <w:rPr>
                <w:rFonts w:hint="eastAsia" w:ascii="宋体" w:hAnsi="宋体" w:cs="宋体"/>
                <w:color w:val="auto"/>
                <w:sz w:val="21"/>
                <w:szCs w:val="21"/>
                <w:highlight w:val="none"/>
              </w:rPr>
              <w:t>考虑。</w:t>
            </w: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Ansi="宋体" w:cs="宋体"/>
                <w:color w:val="auto"/>
                <w:kern w:val="2"/>
                <w:sz w:val="21"/>
                <w:szCs w:val="21"/>
                <w:highlight w:val="none"/>
                <w:lang w:val="en-US" w:eastAsia="zh-CN" w:bidi="ar-SA"/>
              </w:rPr>
            </w:pPr>
            <w:r>
              <w:rPr>
                <w:rFonts w:hint="eastAsia" w:ascii="宋体" w:hAnsi="宋体" w:cs="宋体"/>
                <w:color w:val="auto"/>
                <w:sz w:val="21"/>
                <w:szCs w:val="21"/>
                <w:highlight w:val="none"/>
              </w:rPr>
              <w:t>4)由中标</w:t>
            </w:r>
            <w:r>
              <w:rPr>
                <w:rFonts w:hint="eastAsia" w:ascii="宋体" w:hAnsi="宋体" w:cs="宋体"/>
                <w:color w:val="auto"/>
                <w:sz w:val="21"/>
                <w:szCs w:val="21"/>
                <w:highlight w:val="none"/>
                <w:lang w:eastAsia="zh-CN"/>
              </w:rPr>
              <w:t>人</w:t>
            </w:r>
            <w:r>
              <w:rPr>
                <w:rFonts w:hint="eastAsia" w:ascii="宋体" w:hAnsi="宋体" w:cs="宋体"/>
                <w:color w:val="auto"/>
                <w:sz w:val="21"/>
                <w:szCs w:val="21"/>
                <w:highlight w:val="none"/>
              </w:rPr>
              <w:t>在领取中标通知书时支付给招标代理单位。</w:t>
            </w:r>
          </w:p>
        </w:tc>
      </w:tr>
    </w:tbl>
    <w:p>
      <w:pPr>
        <w:spacing w:line="312" w:lineRule="auto"/>
        <w:ind w:firstLine="422" w:firstLineChars="200"/>
        <w:outlineLvl w:val="1"/>
        <w:rPr>
          <w:rFonts w:hint="eastAsia" w:ascii="宋体" w:hAnsi="宋体" w:cs="宋体"/>
          <w:b/>
          <w:color w:val="auto"/>
          <w:szCs w:val="21"/>
          <w:highlight w:val="none"/>
        </w:rPr>
      </w:pPr>
    </w:p>
    <w:bookmarkEnd w:id="15"/>
    <w:p>
      <w:pPr>
        <w:spacing w:line="312" w:lineRule="auto"/>
        <w:ind w:firstLine="422" w:firstLineChars="200"/>
        <w:rPr>
          <w:rFonts w:hint="eastAsia" w:ascii="宋体" w:hAnsi="宋体" w:cs="宋体"/>
          <w:color w:val="auto"/>
          <w:szCs w:val="21"/>
          <w:highlight w:val="none"/>
        </w:rPr>
      </w:pPr>
      <w:bookmarkStart w:id="16" w:name="_Toc427849107"/>
      <w:bookmarkStart w:id="17" w:name="_Toc24781"/>
      <w:r>
        <w:rPr>
          <w:rFonts w:hint="eastAsia" w:ascii="宋体" w:hAnsi="宋体" w:cs="宋体"/>
          <w:b/>
          <w:color w:val="auto"/>
          <w:szCs w:val="21"/>
          <w:highlight w:val="none"/>
        </w:rPr>
        <w:br w:type="page"/>
      </w:r>
      <w:bookmarkEnd w:id="16"/>
      <w:bookmarkEnd w:id="17"/>
    </w:p>
    <w:p>
      <w:pPr>
        <w:keepNext w:val="0"/>
        <w:keepLines w:val="0"/>
        <w:pageBreakBefore w:val="0"/>
        <w:widowControl w:val="0"/>
        <w:numPr>
          <w:ilvl w:val="0"/>
          <w:numId w:val="2"/>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18" w:name="_Toc457934624"/>
      <w:bookmarkStart w:id="19" w:name="_Toc356371433"/>
      <w:r>
        <w:rPr>
          <w:rFonts w:hint="eastAsia" w:ascii="宋体" w:hAnsi="宋体" w:eastAsia="宋体" w:cs="宋体"/>
          <w:b/>
          <w:color w:val="auto"/>
          <w:sz w:val="21"/>
          <w:szCs w:val="21"/>
          <w:highlight w:val="none"/>
        </w:rPr>
        <w:t>磋商须知</w:t>
      </w:r>
      <w:bookmarkEnd w:id="18"/>
      <w:bookmarkEnd w:id="19"/>
    </w:p>
    <w:p>
      <w:pPr>
        <w:keepNext w:val="0"/>
        <w:keepLines w:val="0"/>
        <w:pageBreakBefore w:val="0"/>
        <w:widowControl w:val="0"/>
        <w:numPr>
          <w:ilvl w:val="1"/>
          <w:numId w:val="2"/>
        </w:numPr>
        <w:kinsoku/>
        <w:wordWrap/>
        <w:overflowPunct/>
        <w:topLinePunct w:val="0"/>
        <w:bidi w:val="0"/>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适用范围</w:t>
      </w:r>
    </w:p>
    <w:p>
      <w:pPr>
        <w:keepNext w:val="0"/>
        <w:keepLines w:val="0"/>
        <w:pageBreakBefore w:val="0"/>
        <w:widowControl w:val="0"/>
        <w:tabs>
          <w:tab w:val="left" w:pos="0"/>
          <w:tab w:val="left" w:pos="900"/>
          <w:tab w:val="left" w:pos="7020"/>
          <w:tab w:val="left" w:pos="8460"/>
        </w:tabs>
        <w:kinsoku/>
        <w:wordWrap/>
        <w:overflowPunct/>
        <w:topLinePunct w:val="0"/>
        <w:bidi w:val="0"/>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本磋商文件仅适用于本次采购项目的磋商、合同履约、付款等行为。</w:t>
      </w:r>
    </w:p>
    <w:p>
      <w:pPr>
        <w:keepNext w:val="0"/>
        <w:keepLines w:val="0"/>
        <w:pageBreakBefore w:val="0"/>
        <w:widowControl w:val="0"/>
        <w:numPr>
          <w:ilvl w:val="1"/>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定义</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“招标人”系指组织本次磋商的</w:t>
      </w:r>
      <w:r>
        <w:rPr>
          <w:rFonts w:hint="eastAsia" w:ascii="宋体" w:hAnsi="宋体" w:cs="宋体"/>
          <w:color w:val="auto"/>
          <w:sz w:val="21"/>
          <w:szCs w:val="21"/>
          <w:highlight w:val="none"/>
          <w:lang w:eastAsia="zh-CN"/>
        </w:rPr>
        <w:t>衢州市寺桥水库开发建设有限公司</w:t>
      </w:r>
      <w:r>
        <w:rPr>
          <w:rFonts w:hint="eastAsia" w:ascii="宋体" w:hAnsi="宋体" w:eastAsia="宋体" w:cs="宋体"/>
          <w:color w:val="auto"/>
          <w:sz w:val="21"/>
          <w:szCs w:val="21"/>
          <w:highlight w:val="none"/>
        </w:rPr>
        <w:t>。</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“采购人”系指提出本次采购的委托单位：</w:t>
      </w:r>
      <w:r>
        <w:rPr>
          <w:rFonts w:hint="eastAsia" w:ascii="宋体" w:hAnsi="宋体" w:cs="宋体"/>
          <w:color w:val="auto"/>
          <w:sz w:val="21"/>
          <w:szCs w:val="21"/>
          <w:highlight w:val="none"/>
          <w:lang w:eastAsia="zh-CN"/>
        </w:rPr>
        <w:t>衢州市寺桥水库开发建设有限公司</w:t>
      </w:r>
      <w:r>
        <w:rPr>
          <w:rFonts w:hint="eastAsia" w:ascii="宋体" w:hAnsi="宋体" w:eastAsia="宋体" w:cs="宋体"/>
          <w:b w:val="0"/>
          <w:bCs/>
          <w:color w:val="auto"/>
          <w:sz w:val="21"/>
          <w:szCs w:val="21"/>
          <w:highlight w:val="none"/>
        </w:rPr>
        <w:t>。</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“供应商”系指向提交响应文件的供应商。</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“货物”系指供应商按</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规定向采购人提供的各类软件、技术资料及使用手册等。</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“服务”系指根据本合同规定，成交人必须承担安装、调试、技术协助、培训以及其他类似的义务。</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“▲”系指实质性要求条款。</w:t>
      </w:r>
    </w:p>
    <w:p>
      <w:pPr>
        <w:keepNext w:val="0"/>
        <w:keepLines w:val="0"/>
        <w:pageBreakBefore w:val="0"/>
        <w:widowControl w:val="0"/>
        <w:numPr>
          <w:ilvl w:val="1"/>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磋商费用</w:t>
      </w:r>
    </w:p>
    <w:p>
      <w:pPr>
        <w:keepNext w:val="0"/>
        <w:keepLines w:val="0"/>
        <w:pageBreakBefore w:val="0"/>
        <w:widowControl w:val="0"/>
        <w:tabs>
          <w:tab w:val="left" w:pos="0"/>
          <w:tab w:val="left" w:pos="900"/>
          <w:tab w:val="left" w:pos="7020"/>
          <w:tab w:val="left" w:pos="8460"/>
        </w:tabs>
        <w:kinsoku/>
        <w:wordWrap/>
        <w:overflowPunct/>
        <w:topLinePunct w:val="0"/>
        <w:bidi w:val="0"/>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不论磋商结果如何，供应商均应自行承担所有与磋商有关的全部费用。</w:t>
      </w:r>
    </w:p>
    <w:p>
      <w:pPr>
        <w:keepNext w:val="0"/>
        <w:keepLines w:val="0"/>
        <w:pageBreakBefore w:val="0"/>
        <w:widowControl w:val="0"/>
        <w:numPr>
          <w:ilvl w:val="1"/>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p>
      <w:pPr>
        <w:keepNext w:val="0"/>
        <w:keepLines w:val="0"/>
        <w:pageBreakBefore w:val="0"/>
        <w:widowControl w:val="0"/>
        <w:kinsoku/>
        <w:wordWrap/>
        <w:overflowPunct/>
        <w:topLinePunct w:val="0"/>
        <w:bidi w:val="0"/>
        <w:snapToGrid w:val="0"/>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本次采购采用竞争性磋商方式进行。</w:t>
      </w:r>
    </w:p>
    <w:p>
      <w:pPr>
        <w:keepNext w:val="0"/>
        <w:keepLines w:val="0"/>
        <w:pageBreakBefore w:val="0"/>
        <w:widowControl w:val="0"/>
        <w:numPr>
          <w:ilvl w:val="1"/>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磋商委托</w:t>
      </w:r>
    </w:p>
    <w:p>
      <w:pPr>
        <w:pStyle w:val="9"/>
        <w:keepNext w:val="0"/>
        <w:keepLines w:val="0"/>
        <w:pageBreakBefore w:val="0"/>
        <w:widowControl w:val="0"/>
        <w:kinsoku/>
        <w:wordWrap/>
        <w:overflowPunct/>
        <w:topLinePunct w:val="0"/>
        <w:bidi w:val="0"/>
        <w:snapToGrid w:val="0"/>
        <w:spacing w:after="0"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供应商代表须携带有效身份证件。如供应商代表不是法定代表人，须有法定代表人出具的授权委托书，</w:t>
      </w:r>
      <w:r>
        <w:rPr>
          <w:rFonts w:hint="eastAsia" w:ascii="宋体" w:hAnsi="宋体" w:eastAsia="宋体" w:cs="宋体"/>
          <w:b/>
          <w:bCs/>
          <w:color w:val="auto"/>
          <w:sz w:val="21"/>
          <w:szCs w:val="21"/>
          <w:highlight w:val="none"/>
        </w:rPr>
        <w:t>法定代表人（负责人）授权</w:t>
      </w:r>
      <w:r>
        <w:rPr>
          <w:rFonts w:hint="eastAsia" w:ascii="宋体" w:hAnsi="宋体" w:eastAsia="宋体" w:cs="宋体"/>
          <w:b/>
          <w:color w:val="auto"/>
          <w:sz w:val="21"/>
          <w:szCs w:val="21"/>
          <w:highlight w:val="none"/>
        </w:rPr>
        <w:t>委托书</w:t>
      </w:r>
      <w:r>
        <w:rPr>
          <w:rFonts w:hint="eastAsia" w:ascii="宋体" w:hAnsi="宋体" w:eastAsia="宋体" w:cs="宋体"/>
          <w:b/>
          <w:bCs/>
          <w:color w:val="auto"/>
          <w:sz w:val="21"/>
          <w:szCs w:val="21"/>
          <w:highlight w:val="none"/>
        </w:rPr>
        <w:t>原件在递交</w:t>
      </w:r>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时单独提供</w:t>
      </w:r>
      <w:r>
        <w:rPr>
          <w:rFonts w:hint="eastAsia" w:ascii="宋体" w:hAnsi="宋体" w:cs="宋体"/>
          <w:b/>
          <w:bCs/>
          <w:color w:val="auto"/>
          <w:sz w:val="21"/>
          <w:szCs w:val="21"/>
          <w:highlight w:val="none"/>
          <w:lang w:eastAsia="zh-CN"/>
        </w:rPr>
        <w:t>一份</w:t>
      </w:r>
      <w:r>
        <w:rPr>
          <w:rFonts w:hint="eastAsia" w:ascii="宋体" w:hAnsi="宋体" w:eastAsia="宋体" w:cs="宋体"/>
          <w:b/>
          <w:bCs/>
          <w:color w:val="auto"/>
          <w:sz w:val="21"/>
          <w:szCs w:val="21"/>
          <w:highlight w:val="none"/>
        </w:rPr>
        <w:t>，无需密封进</w:t>
      </w:r>
      <w:r>
        <w:rPr>
          <w:rFonts w:hint="eastAsia" w:ascii="宋体" w:hAnsi="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r>
        <w:rPr>
          <w:rFonts w:hint="eastAsia" w:ascii="宋体" w:hAnsi="宋体" w:eastAsia="宋体" w:cs="宋体"/>
          <w:color w:val="auto"/>
          <w:sz w:val="21"/>
          <w:szCs w:val="21"/>
          <w:highlight w:val="none"/>
        </w:rPr>
        <w:t>。</w:t>
      </w:r>
    </w:p>
    <w:p>
      <w:pPr>
        <w:keepNext w:val="0"/>
        <w:keepLines w:val="0"/>
        <w:pageBreakBefore w:val="0"/>
        <w:widowControl w:val="0"/>
        <w:numPr>
          <w:ilvl w:val="1"/>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联合体磋商</w:t>
      </w:r>
    </w:p>
    <w:p>
      <w:pPr>
        <w:keepNext w:val="0"/>
        <w:keepLines w:val="0"/>
        <w:pageBreakBefore w:val="0"/>
        <w:widowControl w:val="0"/>
        <w:kinsoku/>
        <w:wordWrap/>
        <w:overflowPunct/>
        <w:topLinePunct w:val="0"/>
        <w:bidi w:val="0"/>
        <w:snapToGrid w:val="0"/>
        <w:spacing w:line="42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本项目不接受联合体磋商。</w:t>
      </w:r>
    </w:p>
    <w:p>
      <w:pPr>
        <w:keepNext w:val="0"/>
        <w:keepLines w:val="0"/>
        <w:pageBreakBefore w:val="0"/>
        <w:widowControl w:val="0"/>
        <w:numPr>
          <w:ilvl w:val="1"/>
          <w:numId w:val="2"/>
        </w:numPr>
        <w:kinsoku/>
        <w:wordWrap/>
        <w:overflowPunct/>
        <w:topLinePunct w:val="0"/>
        <w:bidi w:val="0"/>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转包与分包</w:t>
      </w:r>
    </w:p>
    <w:p>
      <w:pPr>
        <w:keepNext w:val="0"/>
        <w:keepLines w:val="0"/>
        <w:pageBreakBefore w:val="0"/>
        <w:widowControl w:val="0"/>
        <w:kinsoku/>
        <w:wordWrap/>
        <w:overflowPunct/>
        <w:topLinePunct w:val="0"/>
        <w:bidi w:val="0"/>
        <w:snapToGrid w:val="0"/>
        <w:spacing w:line="420" w:lineRule="exact"/>
        <w:ind w:firstLine="630" w:firstLineChars="3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本项目不允许转包,分包须经采购人书面同意后方可实施。</w:t>
      </w:r>
    </w:p>
    <w:p>
      <w:pPr>
        <w:keepNext w:val="0"/>
        <w:keepLines w:val="0"/>
        <w:pageBreakBefore w:val="0"/>
        <w:widowControl w:val="0"/>
        <w:numPr>
          <w:ilvl w:val="1"/>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供应商所使用的资格、信誉、荣誉、业绩与企业认证必须为本法人所拥有。供应商磋商所使用的采购项目实施人员必须为本法人员工（或必须为本法人或控股公司正式员工）。</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供应商应仔细阅读磋商文件的所有内容，按照磋商文件的要求提交响应文件，并对所提供的全部资料的真实性承担法律责任。</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在磋商活动中提供任何虚假材料,其成交无效，并报监管部门查处；成交后发现的,成交人须依照《中华人民共和国消费者权益保护法》第49条之规定双倍赔偿采购人，且民事赔偿并不免除违法供应商的行政与刑事责任。</w:t>
      </w:r>
    </w:p>
    <w:p>
      <w:pPr>
        <w:keepNext w:val="0"/>
        <w:keepLines w:val="0"/>
        <w:pageBreakBefore w:val="0"/>
        <w:widowControl w:val="0"/>
        <w:numPr>
          <w:ilvl w:val="1"/>
          <w:numId w:val="2"/>
        </w:numPr>
        <w:kinsoku/>
        <w:wordWrap/>
        <w:overflowPunct/>
        <w:topLinePunct w:val="0"/>
        <w:bidi w:val="0"/>
        <w:snapToGrid w:val="0"/>
        <w:spacing w:line="420" w:lineRule="exact"/>
        <w:ind w:left="-27"/>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关于中小企业、监狱和戒毒企业和残疾人福利性单位参与政府采购活动的规定</w:t>
      </w:r>
    </w:p>
    <w:p>
      <w:pPr>
        <w:keepNext w:val="0"/>
        <w:keepLines w:val="0"/>
        <w:pageBreakBefore w:val="0"/>
        <w:widowControl w:val="0"/>
        <w:numPr>
          <w:ilvl w:val="2"/>
          <w:numId w:val="2"/>
        </w:numPr>
        <w:kinsoku/>
        <w:wordWrap/>
        <w:overflowPunct/>
        <w:topLinePunct w:val="0"/>
        <w:bidi w:val="0"/>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根据《中小企业划型标准规定》（工信部联企业[2011]300号）、《政府采购促进中小企业发展暂行办法》（财库[2011]181号）的有关规定，《政府采购促进中小企业发展暂行办法》所称中小企业（含中型、小型、微型企业，下同）应当同时符合以下条件：</w:t>
      </w:r>
    </w:p>
    <w:p>
      <w:pPr>
        <w:keepNext w:val="0"/>
        <w:keepLines w:val="0"/>
        <w:pageBreakBefore w:val="0"/>
        <w:widowControl w:val="0"/>
        <w:numPr>
          <w:ilvl w:val="0"/>
          <w:numId w:val="3"/>
        </w:numPr>
        <w:kinsoku/>
        <w:wordWrap/>
        <w:overflowPunct/>
        <w:topLinePunct w:val="0"/>
        <w:bidi w:val="0"/>
        <w:spacing w:line="4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符合中小企业划分标准；</w:t>
      </w:r>
    </w:p>
    <w:p>
      <w:pPr>
        <w:keepNext w:val="0"/>
        <w:keepLines w:val="0"/>
        <w:pageBreakBefore w:val="0"/>
        <w:widowControl w:val="0"/>
        <w:numPr>
          <w:ilvl w:val="0"/>
          <w:numId w:val="3"/>
        </w:numPr>
        <w:kinsoku/>
        <w:wordWrap/>
        <w:overflowPunct/>
        <w:topLinePunct w:val="0"/>
        <w:bidi w:val="0"/>
        <w:spacing w:line="4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提供本企业制造的货物、承担的工程或者服务，或者提供其他中小企业制造的货物。本项所称货物不包括使用大型企业注册商标的货物。</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本办法所称中小企业划分标准，是指国务院有关部门根据企业从业人员、营业收入、资产总额等指标制定的中小企业划型标准。</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小型、微型企业提供中型企业制造的货物的，视同为中型企业。</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9.2根据财政部《司法部关于政府采购支持监狱企业发展有关问题》的通知（财库〔2014〕68号）的有关规定，监狱和戒毒企业参与政府采购活动的视同小型、微型企业，享受评审中价格扣除政策。</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9.3根据财库[2017]141号的相关规定，在政府采购活动中，残疾人福利性单位视同小型、微型企业，享受评审中价格扣除政策。</w:t>
      </w:r>
    </w:p>
    <w:p>
      <w:pPr>
        <w:keepNext w:val="0"/>
        <w:keepLines w:val="0"/>
        <w:pageBreakBefore w:val="0"/>
        <w:widowControl w:val="0"/>
        <w:tabs>
          <w:tab w:val="left" w:pos="0"/>
          <w:tab w:val="left" w:pos="900"/>
          <w:tab w:val="left" w:pos="7020"/>
          <w:tab w:val="left" w:pos="8460"/>
        </w:tabs>
        <w:kinsoku/>
        <w:wordWrap/>
        <w:overflowPunct/>
        <w:topLinePunct w:val="0"/>
        <w:bidi w:val="0"/>
        <w:snapToGrid w:val="0"/>
        <w:spacing w:line="42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9.4小型、微型企业参加</w:t>
      </w:r>
      <w:r>
        <w:rPr>
          <w:rFonts w:hint="eastAsia" w:ascii="宋体" w:hAnsi="宋体" w:cs="宋体"/>
          <w:bCs/>
          <w:color w:val="auto"/>
          <w:sz w:val="21"/>
          <w:szCs w:val="21"/>
          <w:highlight w:val="none"/>
          <w:lang w:eastAsia="zh-CN"/>
        </w:rPr>
        <w:t>磋商</w:t>
      </w:r>
      <w:r>
        <w:rPr>
          <w:rFonts w:hint="eastAsia" w:ascii="宋体" w:hAnsi="宋体" w:eastAsia="宋体" w:cs="宋体"/>
          <w:bCs/>
          <w:color w:val="auto"/>
          <w:sz w:val="21"/>
          <w:szCs w:val="21"/>
          <w:highlight w:val="none"/>
        </w:rPr>
        <w:t>时，应提供《中小企业声明函》</w:t>
      </w:r>
      <w:r>
        <w:rPr>
          <w:rFonts w:hint="eastAsia" w:ascii="宋体" w:hAnsi="宋体" w:eastAsia="宋体" w:cs="宋体"/>
          <w:color w:val="auto"/>
          <w:sz w:val="21"/>
          <w:szCs w:val="21"/>
          <w:highlight w:val="none"/>
        </w:rPr>
        <w:t>、国家企业信用信息公示系统——小微企业名录查询记录；监狱和戒毒企业参加</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时应提供由省级以上监狱管理局、戒毒管理局（含新疆生产建设兵团）出具的属于监狱企业的证明文件；</w:t>
      </w:r>
      <w:r>
        <w:rPr>
          <w:rFonts w:hint="eastAsia" w:ascii="宋体" w:hAnsi="宋体" w:eastAsia="宋体" w:cs="宋体"/>
          <w:bCs/>
          <w:color w:val="auto"/>
          <w:sz w:val="21"/>
          <w:szCs w:val="21"/>
          <w:highlight w:val="none"/>
        </w:rPr>
        <w:t>残疾人福利性单位参加</w:t>
      </w:r>
      <w:r>
        <w:rPr>
          <w:rFonts w:hint="eastAsia" w:ascii="宋体" w:hAnsi="宋体" w:cs="宋体"/>
          <w:bCs/>
          <w:color w:val="auto"/>
          <w:sz w:val="21"/>
          <w:szCs w:val="21"/>
          <w:highlight w:val="none"/>
          <w:lang w:eastAsia="zh-CN"/>
        </w:rPr>
        <w:t>磋商</w:t>
      </w:r>
      <w:r>
        <w:rPr>
          <w:rFonts w:hint="eastAsia" w:ascii="宋体" w:hAnsi="宋体" w:eastAsia="宋体" w:cs="宋体"/>
          <w:bCs/>
          <w:color w:val="auto"/>
          <w:sz w:val="21"/>
          <w:szCs w:val="21"/>
          <w:highlight w:val="none"/>
        </w:rPr>
        <w:t>时应提供残疾人福利性单位声明函。不提供以上材料的供应商将不享受评审中价格扣除优惠。</w:t>
      </w:r>
    </w:p>
    <w:p>
      <w:pPr>
        <w:keepNext w:val="0"/>
        <w:keepLines w:val="0"/>
        <w:pageBreakBefore w:val="0"/>
        <w:widowControl w:val="0"/>
        <w:numPr>
          <w:ilvl w:val="0"/>
          <w:numId w:val="2"/>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20" w:name="_Toc457934625"/>
      <w:bookmarkStart w:id="21" w:name="_Toc356371434"/>
      <w:r>
        <w:rPr>
          <w:rFonts w:hint="eastAsia" w:ascii="宋体" w:hAnsi="宋体" w:eastAsia="宋体" w:cs="宋体"/>
          <w:b/>
          <w:color w:val="auto"/>
          <w:sz w:val="21"/>
          <w:szCs w:val="21"/>
          <w:highlight w:val="none"/>
        </w:rPr>
        <w:t>磋商文件说明</w:t>
      </w:r>
      <w:bookmarkEnd w:id="20"/>
      <w:bookmarkEnd w:id="21"/>
    </w:p>
    <w:p>
      <w:pPr>
        <w:keepNext w:val="0"/>
        <w:keepLines w:val="0"/>
        <w:pageBreakBefore w:val="0"/>
        <w:widowControl w:val="0"/>
        <w:numPr>
          <w:ilvl w:val="1"/>
          <w:numId w:val="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磋商文件的组成</w:t>
      </w:r>
    </w:p>
    <w:p>
      <w:pPr>
        <w:keepNext w:val="0"/>
        <w:keepLines w:val="0"/>
        <w:pageBreakBefore w:val="0"/>
        <w:widowControl w:val="0"/>
        <w:numPr>
          <w:ilvl w:val="2"/>
          <w:numId w:val="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竞争性磋商邀请；</w:t>
      </w:r>
    </w:p>
    <w:p>
      <w:pPr>
        <w:keepNext w:val="0"/>
        <w:keepLines w:val="0"/>
        <w:pageBreakBefore w:val="0"/>
        <w:widowControl w:val="0"/>
        <w:numPr>
          <w:ilvl w:val="2"/>
          <w:numId w:val="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磋商须知前附表及磋商须知；</w:t>
      </w:r>
    </w:p>
    <w:p>
      <w:pPr>
        <w:keepNext w:val="0"/>
        <w:keepLines w:val="0"/>
        <w:pageBreakBefore w:val="0"/>
        <w:widowControl w:val="0"/>
        <w:numPr>
          <w:ilvl w:val="2"/>
          <w:numId w:val="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采购内容及要求；</w:t>
      </w:r>
    </w:p>
    <w:p>
      <w:pPr>
        <w:keepNext w:val="0"/>
        <w:keepLines w:val="0"/>
        <w:pageBreakBefore w:val="0"/>
        <w:widowControl w:val="0"/>
        <w:numPr>
          <w:ilvl w:val="2"/>
          <w:numId w:val="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合同的通用和专用条款；</w:t>
      </w:r>
    </w:p>
    <w:p>
      <w:pPr>
        <w:keepNext w:val="0"/>
        <w:keepLines w:val="0"/>
        <w:pageBreakBefore w:val="0"/>
        <w:widowControl w:val="0"/>
        <w:numPr>
          <w:ilvl w:val="2"/>
          <w:numId w:val="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应提交的有关格式范例；</w:t>
      </w:r>
    </w:p>
    <w:p>
      <w:pPr>
        <w:keepNext w:val="0"/>
        <w:keepLines w:val="0"/>
        <w:pageBreakBefore w:val="0"/>
        <w:widowControl w:val="0"/>
        <w:numPr>
          <w:ilvl w:val="2"/>
          <w:numId w:val="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磋商办法及磋商程序。</w:t>
      </w:r>
    </w:p>
    <w:p>
      <w:pPr>
        <w:keepNext w:val="0"/>
        <w:keepLines w:val="0"/>
        <w:pageBreakBefore w:val="0"/>
        <w:widowControl w:val="0"/>
        <w:numPr>
          <w:ilvl w:val="1"/>
          <w:numId w:val="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磋商文件的澄清及修改</w:t>
      </w:r>
    </w:p>
    <w:p>
      <w:pPr>
        <w:keepNext w:val="0"/>
        <w:keepLines w:val="0"/>
        <w:pageBreakBefore w:val="0"/>
        <w:widowControl w:val="0"/>
        <w:numPr>
          <w:ilvl w:val="2"/>
          <w:numId w:val="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bookmarkStart w:id="22" w:name="_Toc356371435"/>
      <w:bookmarkStart w:id="23" w:name="_Toc457934627"/>
      <w:r>
        <w:rPr>
          <w:rFonts w:hint="eastAsia" w:ascii="宋体" w:hAnsi="宋体" w:eastAsia="宋体" w:cs="宋体"/>
          <w:color w:val="auto"/>
          <w:sz w:val="21"/>
          <w:szCs w:val="21"/>
          <w:highlight w:val="none"/>
          <w:shd w:val="clear" w:color="auto" w:fill="FFFFFF"/>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不足5日的，采购人、采购代理机构应当顺延提交首次响应文件截止时间。</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响应文件的编制</w:t>
      </w:r>
      <w:bookmarkEnd w:id="22"/>
      <w:bookmarkEnd w:id="23"/>
    </w:p>
    <w:p>
      <w:pPr>
        <w:keepNext w:val="0"/>
        <w:keepLines w:val="0"/>
        <w:pageBreakBefore w:val="0"/>
        <w:widowControl w:val="0"/>
        <w:numPr>
          <w:ilvl w:val="1"/>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供应商应仔细阅读磋商文件的所有内容，按本文件的要求提供响应文件，并保证所提供的全部资料的真实性，以使其响应文件对磋商文件作出实质性响应，否则，其响应文件可能导致无效处理。</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响应文件及供应商与采购有关的来往通知，函件和文件均应使用中文。</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供应商应按本文件中提供的文件格式、内容和要求制作响应文件。响应文件应装订成册。</w:t>
      </w:r>
    </w:p>
    <w:p>
      <w:pPr>
        <w:keepNext w:val="0"/>
        <w:keepLines w:val="0"/>
        <w:pageBreakBefore w:val="0"/>
        <w:widowControl w:val="0"/>
        <w:numPr>
          <w:ilvl w:val="1"/>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响应文件的组成及份数</w:t>
      </w:r>
    </w:p>
    <w:p>
      <w:pPr>
        <w:keepNext w:val="0"/>
        <w:keepLines w:val="0"/>
        <w:pageBreakBefore w:val="0"/>
        <w:widowControl w:val="0"/>
        <w:tabs>
          <w:tab w:val="left" w:pos="0"/>
          <w:tab w:val="left" w:pos="900"/>
          <w:tab w:val="left" w:pos="7020"/>
          <w:tab w:val="left" w:pos="8460"/>
        </w:tabs>
        <w:kinsoku/>
        <w:wordWrap/>
        <w:overflowPunct/>
        <w:topLinePunct w:val="0"/>
        <w:bidi w:val="0"/>
        <w:snapToGrid w:val="0"/>
        <w:spacing w:line="4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▲响应文件应分为【技术资信商务文件】、【报价文件】。技术资信商务文件、报价文件均提供正本壹份、副本</w:t>
      </w:r>
      <w:r>
        <w:rPr>
          <w:rFonts w:hint="eastAsia" w:ascii="宋体" w:hAnsi="宋体" w:cs="宋体"/>
          <w:b/>
          <w:color w:val="auto"/>
          <w:sz w:val="21"/>
          <w:szCs w:val="21"/>
          <w:highlight w:val="none"/>
          <w:lang w:eastAsia="zh-CN"/>
        </w:rPr>
        <w:t>肆</w:t>
      </w:r>
      <w:r>
        <w:rPr>
          <w:rFonts w:hint="eastAsia" w:ascii="宋体" w:hAnsi="宋体" w:eastAsia="宋体" w:cs="宋体"/>
          <w:b/>
          <w:color w:val="auto"/>
          <w:sz w:val="21"/>
          <w:szCs w:val="21"/>
          <w:highlight w:val="none"/>
        </w:rPr>
        <w:t>份</w:t>
      </w:r>
      <w:r>
        <w:rPr>
          <w:rFonts w:hint="eastAsia" w:ascii="宋体" w:hAnsi="宋体" w:eastAsia="宋体" w:cs="宋体"/>
          <w:color w:val="auto"/>
          <w:sz w:val="21"/>
          <w:szCs w:val="21"/>
          <w:highlight w:val="none"/>
        </w:rPr>
        <w:t>。</w:t>
      </w:r>
    </w:p>
    <w:p>
      <w:pPr>
        <w:keepNext w:val="0"/>
        <w:keepLines w:val="0"/>
        <w:pageBreakBefore w:val="0"/>
        <w:widowControl w:val="0"/>
        <w:numPr>
          <w:ilvl w:val="2"/>
          <w:numId w:val="6"/>
        </w:numPr>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技术资信商务文件</w:t>
      </w:r>
      <w:r>
        <w:rPr>
          <w:rFonts w:hint="eastAsia" w:ascii="宋体" w:hAnsi="宋体" w:eastAsia="宋体" w:cs="宋体"/>
          <w:color w:val="auto"/>
          <w:sz w:val="21"/>
          <w:szCs w:val="21"/>
          <w:highlight w:val="none"/>
        </w:rPr>
        <w:t>】（涉及资信的材料原件（含公证件）需带至开标现场备查）</w:t>
      </w:r>
    </w:p>
    <w:p>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第一部分</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val="zh-CN"/>
        </w:rPr>
        <w:t>资格文件</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（1）法定代表人授权委托书；</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（2）法定代表人或授权代表人的身份证复印件；</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（3）具有履行合同所必须的设备和专业技术能力的承诺函；</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lang w:eastAsia="zh-CN"/>
        </w:rPr>
      </w:pPr>
      <w:r>
        <w:rPr>
          <w:rFonts w:hint="eastAsia" w:ascii="宋体" w:hAnsi="宋体" w:cs="宋体"/>
          <w:bCs/>
          <w:color w:val="auto"/>
          <w:szCs w:val="21"/>
          <w:highlight w:val="none"/>
        </w:rPr>
        <w:t>（4）无重大违法记录声明书</w:t>
      </w:r>
      <w:r>
        <w:rPr>
          <w:rFonts w:hint="eastAsia" w:ascii="宋体" w:hAnsi="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）营业执照副本复印件；</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zh-CN"/>
        </w:rPr>
        <w:t>供应商未被列入失信被执行人名单、重大税收违法案件当事人名单、政府采购严重违法失信行为记录名单的证明。以信用中国网站（www.creditchina.gov.cn）、中国政府采购网（www.ccgp.gov.cn）公布的名单为准。</w:t>
      </w:r>
    </w:p>
    <w:p>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lang w:eastAsia="zh-CN"/>
        </w:rPr>
        <w:t>第二部分</w:t>
      </w:r>
      <w:r>
        <w:rPr>
          <w:rFonts w:hint="eastAsia" w:ascii="宋体" w:hAnsi="宋体" w:cs="宋体"/>
          <w:b/>
          <w:bCs w:val="0"/>
          <w:color w:val="auto"/>
          <w:szCs w:val="21"/>
          <w:highlight w:val="none"/>
        </w:rPr>
        <w:t xml:space="preserve"> </w:t>
      </w:r>
      <w:r>
        <w:rPr>
          <w:rFonts w:hint="eastAsia" w:ascii="宋体" w:hAnsi="宋体" w:eastAsia="宋体" w:cs="宋体"/>
          <w:b/>
          <w:color w:val="auto"/>
          <w:sz w:val="21"/>
          <w:szCs w:val="21"/>
          <w:highlight w:val="none"/>
        </w:rPr>
        <w:t>技术资信商务</w:t>
      </w:r>
      <w:r>
        <w:rPr>
          <w:rFonts w:hint="eastAsia" w:ascii="宋体" w:hAnsi="宋体" w:cs="宋体"/>
          <w:b/>
          <w:bCs w:val="0"/>
          <w:color w:val="auto"/>
          <w:szCs w:val="21"/>
          <w:highlight w:val="none"/>
        </w:rPr>
        <w:t>文件</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自评分表（注明证明材料所在响应文件页码）</w:t>
      </w:r>
      <w:r>
        <w:rPr>
          <w:rFonts w:hint="eastAsia" w:ascii="宋体" w:hAnsi="宋体" w:cs="宋体"/>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技术资信商务评分</w:t>
      </w:r>
      <w:r>
        <w:rPr>
          <w:rFonts w:hint="eastAsia" w:ascii="宋体" w:hAnsi="宋体" w:cs="宋体"/>
          <w:bCs/>
          <w:color w:val="auto"/>
          <w:szCs w:val="21"/>
          <w:highlight w:val="none"/>
        </w:rPr>
        <w:t>细则提供相关资料。</w:t>
      </w:r>
    </w:p>
    <w:p>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cs="宋体"/>
          <w:b/>
          <w:color w:val="auto"/>
          <w:szCs w:val="21"/>
          <w:highlight w:val="none"/>
          <w:lang w:val="zh-CN"/>
        </w:rPr>
      </w:pPr>
      <w:r>
        <w:rPr>
          <w:rFonts w:hint="eastAsia" w:ascii="宋体" w:hAnsi="宋体" w:eastAsia="宋体" w:cs="宋体"/>
          <w:b/>
          <w:color w:val="auto"/>
          <w:sz w:val="21"/>
          <w:szCs w:val="21"/>
          <w:highlight w:val="none"/>
        </w:rPr>
        <w:t>技术资信商务文件</w:t>
      </w:r>
      <w:r>
        <w:rPr>
          <w:rFonts w:hint="eastAsia" w:ascii="宋体" w:hAnsi="宋体" w:cs="宋体"/>
          <w:b/>
          <w:color w:val="auto"/>
          <w:szCs w:val="21"/>
          <w:highlight w:val="none"/>
          <w:lang w:val="zh-CN"/>
        </w:rPr>
        <w:t>应参考评分细则的顺序编制。</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13.2</w:t>
      </w:r>
      <w:r>
        <w:rPr>
          <w:rFonts w:hint="eastAsia" w:ascii="宋体" w:hAnsi="宋体" w:eastAsia="宋体" w:cs="宋体"/>
          <w:b/>
          <w:color w:val="auto"/>
          <w:sz w:val="21"/>
          <w:szCs w:val="21"/>
          <w:highlight w:val="none"/>
        </w:rPr>
        <w:t>【报价文件】</w:t>
      </w:r>
      <w:r>
        <w:rPr>
          <w:rFonts w:hint="eastAsia" w:ascii="宋体" w:hAnsi="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磋商</w:t>
      </w:r>
      <w:r>
        <w:rPr>
          <w:rFonts w:hint="eastAsia" w:ascii="宋体" w:hAnsi="宋体" w:cs="宋体"/>
          <w:bCs/>
          <w:color w:val="auto"/>
          <w:szCs w:val="21"/>
          <w:highlight w:val="none"/>
        </w:rPr>
        <w:t>响应函；</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报价</w:t>
      </w:r>
      <w:r>
        <w:rPr>
          <w:rFonts w:hint="eastAsia" w:ascii="宋体" w:hAnsi="宋体" w:cs="宋体"/>
          <w:bCs/>
          <w:color w:val="auto"/>
          <w:szCs w:val="21"/>
          <w:highlight w:val="none"/>
        </w:rPr>
        <w:t>一览表；</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（3）国家企业信用信息公示系统——小微企业名录查询记录，提供网站截图复印件（小微企业提供该项）；</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（4）省级以上监狱管理局、戒毒管理局(含新疆生产建设兵团)出具的属于监狱企业的证明文件（原件或复印件加盖公章），（监狱企业提供该项）；</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（5）残疾人福利性单位声明函（残疾人福利性单位提供该项）；</w:t>
      </w:r>
    </w:p>
    <w:p>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认为需要提供的其他资料。</w:t>
      </w:r>
    </w:p>
    <w:p>
      <w:pPr>
        <w:keepNext w:val="0"/>
        <w:keepLines w:val="0"/>
        <w:pageBreakBefore w:val="0"/>
        <w:widowControl w:val="0"/>
        <w:numPr>
          <w:ilvl w:val="1"/>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cs="宋体"/>
          <w:bCs/>
          <w:color w:val="auto"/>
          <w:szCs w:val="21"/>
          <w:highlight w:val="none"/>
        </w:rPr>
        <w:t>以上所需的各种证书、证件、证明、执照若系复印件，须在复印件上加盖有效公章。</w:t>
      </w:r>
      <w:r>
        <w:rPr>
          <w:rFonts w:hint="eastAsia" w:ascii="宋体" w:hAnsi="宋体" w:eastAsia="宋体" w:cs="宋体"/>
          <w:color w:val="auto"/>
          <w:sz w:val="21"/>
          <w:szCs w:val="21"/>
          <w:highlight w:val="none"/>
        </w:rPr>
        <w:t xml:space="preserve">响应文件内容填写说明 </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在认真阅读磋商文件所有内容的基础上，按照磋商文件的要求编制完整的响应文件。响应文件应按照磋商文件中规定的统一格式填写，严格按照规定的顺序装订成册并编制目录，混乱的编排导致响应文件被误读或磋商小组查找不到有效文件是供应商的风险。响应文件对磋商文件格式有要求的应按格式逐项填写内容，不准有空项；无相应内容可填的项应填写“无”、“未测试”、“没有相应指标”等明确的回答文字。</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供应商必须保证响应文件所提供的全部资料真实可靠，并接受对其中任何资料进一步审查的要求。</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“报价清单”为在磋商仪式上唱标的内容，要求按格式填写、统一规范，不得自行增减内容。</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响应文件须对磋商文件中的内容做出实质性的和完整的响应，否则其磋商将被拒绝。如果磋商文件填报的内容资料不详，或没有提供磋商文件中所要求的全部资料及数据，将会导致磋商被拒绝。</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响应文件不得涂改和增删，如有错漏必须修改，修改处须由</w:t>
      </w:r>
      <w:r>
        <w:rPr>
          <w:rFonts w:hint="eastAsia" w:ascii="宋体" w:hAnsi="宋体" w:cs="宋体"/>
          <w:color w:val="auto"/>
          <w:sz w:val="21"/>
          <w:szCs w:val="21"/>
          <w:highlight w:val="none"/>
          <w:lang w:eastAsia="zh-CN"/>
        </w:rPr>
        <w:t>法定代表人或</w:t>
      </w:r>
      <w:r>
        <w:rPr>
          <w:rFonts w:hint="eastAsia" w:ascii="宋体" w:hAnsi="宋体" w:eastAsia="宋体" w:cs="宋体"/>
          <w:color w:val="auto"/>
          <w:sz w:val="21"/>
          <w:szCs w:val="21"/>
          <w:highlight w:val="none"/>
        </w:rPr>
        <w:t>授权代表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签字或盖章。</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由于字迹模糊或表达不清引起的后果由供应商负责。</w:t>
      </w:r>
    </w:p>
    <w:p>
      <w:pPr>
        <w:keepNext w:val="0"/>
        <w:keepLines w:val="0"/>
        <w:pageBreakBefore w:val="0"/>
        <w:widowControl w:val="0"/>
        <w:numPr>
          <w:ilvl w:val="1"/>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磋商报价应按磋商文件中相关附表格式填写。</w:t>
      </w:r>
      <w:r>
        <w:rPr>
          <w:rFonts w:hint="eastAsia" w:ascii="宋体" w:hAnsi="宋体" w:cs="宋体"/>
          <w:b/>
          <w:bCs/>
          <w:color w:val="auto"/>
          <w:sz w:val="21"/>
          <w:szCs w:val="21"/>
          <w:highlight w:val="none"/>
        </w:rPr>
        <w:t>本次采购</w:t>
      </w:r>
      <w:r>
        <w:rPr>
          <w:rFonts w:hint="eastAsia" w:ascii="宋体" w:hAnsi="宋体" w:cs="宋体"/>
          <w:b/>
          <w:bCs/>
          <w:color w:val="auto"/>
          <w:sz w:val="21"/>
          <w:szCs w:val="21"/>
          <w:highlight w:val="none"/>
          <w:lang w:eastAsia="zh-CN"/>
        </w:rPr>
        <w:t>成品料</w:t>
      </w:r>
      <w:r>
        <w:rPr>
          <w:rFonts w:hint="eastAsia" w:ascii="宋体" w:hAnsi="宋体" w:cs="宋体"/>
          <w:b/>
          <w:bCs/>
          <w:color w:val="auto"/>
          <w:sz w:val="21"/>
          <w:szCs w:val="21"/>
          <w:highlight w:val="none"/>
          <w:lang w:val="en-US" w:eastAsia="zh-CN"/>
        </w:rPr>
        <w:t>加工服务</w:t>
      </w:r>
      <w:r>
        <w:rPr>
          <w:rFonts w:hint="eastAsia" w:ascii="宋体" w:hAnsi="宋体" w:cs="宋体"/>
          <w:b/>
          <w:bCs/>
          <w:color w:val="auto"/>
          <w:sz w:val="21"/>
          <w:szCs w:val="21"/>
          <w:highlight w:val="none"/>
          <w:lang w:eastAsia="zh-CN"/>
        </w:rPr>
        <w:t>单价</w:t>
      </w:r>
      <w:r>
        <w:rPr>
          <w:rFonts w:hint="eastAsia" w:ascii="宋体" w:hAnsi="宋体" w:cs="宋体"/>
          <w:b/>
          <w:bCs/>
          <w:color w:val="auto"/>
          <w:sz w:val="21"/>
          <w:szCs w:val="21"/>
          <w:highlight w:val="none"/>
        </w:rPr>
        <w:t>最高限价为</w:t>
      </w:r>
      <w:r>
        <w:rPr>
          <w:rFonts w:hint="eastAsia" w:ascii="宋体" w:hAnsi="宋体" w:cs="宋体"/>
          <w:b/>
          <w:bCs/>
          <w:color w:val="auto"/>
          <w:sz w:val="21"/>
          <w:szCs w:val="21"/>
          <w:highlight w:val="none"/>
          <w:u w:val="single"/>
        </w:rPr>
        <w:t>2</w:t>
      </w:r>
      <w:r>
        <w:rPr>
          <w:rFonts w:hint="eastAsia" w:ascii="宋体" w:hAnsi="宋体" w:cs="宋体"/>
          <w:b/>
          <w:bCs/>
          <w:color w:val="auto"/>
          <w:sz w:val="21"/>
          <w:szCs w:val="21"/>
          <w:highlight w:val="none"/>
          <w:u w:val="single"/>
          <w:lang w:val="en-US" w:eastAsia="zh-CN"/>
        </w:rPr>
        <w:t>3.5</w:t>
      </w:r>
      <w:r>
        <w:rPr>
          <w:rFonts w:hint="eastAsia" w:ascii="宋体" w:hAnsi="宋体" w:cs="宋体"/>
          <w:b/>
          <w:bCs/>
          <w:color w:val="auto"/>
          <w:sz w:val="21"/>
          <w:szCs w:val="21"/>
          <w:highlight w:val="none"/>
        </w:rPr>
        <w:t>元/</w:t>
      </w:r>
      <w:r>
        <w:rPr>
          <w:rFonts w:hint="eastAsia" w:ascii="宋体" w:hAnsi="宋体" w:cs="宋体"/>
          <w:b/>
          <w:bCs/>
          <w:color w:val="auto"/>
          <w:sz w:val="21"/>
          <w:szCs w:val="21"/>
          <w:highlight w:val="none"/>
          <w:lang w:val="en-US" w:eastAsia="zh-CN"/>
        </w:rPr>
        <w:t>t</w:t>
      </w:r>
      <w:r>
        <w:rPr>
          <w:rFonts w:hint="eastAsia" w:ascii="宋体" w:hAnsi="宋体" w:cs="宋体"/>
          <w:b/>
          <w:bCs/>
          <w:color w:val="auto"/>
          <w:sz w:val="21"/>
          <w:szCs w:val="21"/>
          <w:highlight w:val="none"/>
        </w:rPr>
        <w:t>，预估</w:t>
      </w:r>
      <w:r>
        <w:rPr>
          <w:rFonts w:hint="eastAsia" w:ascii="宋体" w:hAnsi="宋体" w:cs="宋体"/>
          <w:b/>
          <w:bCs/>
          <w:color w:val="auto"/>
          <w:sz w:val="21"/>
          <w:szCs w:val="21"/>
          <w:highlight w:val="none"/>
          <w:lang w:val="en-US" w:eastAsia="zh-CN"/>
        </w:rPr>
        <w:t>每年</w:t>
      </w:r>
      <w:r>
        <w:rPr>
          <w:rFonts w:hint="eastAsia" w:ascii="宋体" w:hAnsi="宋体" w:cs="宋体"/>
          <w:b/>
          <w:bCs/>
          <w:color w:val="auto"/>
          <w:sz w:val="21"/>
          <w:szCs w:val="21"/>
          <w:highlight w:val="none"/>
          <w:lang w:eastAsia="zh-CN"/>
        </w:rPr>
        <w:t>总量约</w:t>
      </w:r>
      <w:r>
        <w:rPr>
          <w:rFonts w:hint="eastAsia" w:ascii="宋体" w:hAnsi="宋体" w:cs="宋体"/>
          <w:b/>
          <w:bCs/>
          <w:color w:val="auto"/>
          <w:sz w:val="21"/>
          <w:szCs w:val="21"/>
          <w:highlight w:val="none"/>
          <w:u w:val="single"/>
          <w:lang w:val="en-US" w:eastAsia="zh-CN"/>
        </w:rPr>
        <w:t>80万</w:t>
      </w:r>
      <w:r>
        <w:rPr>
          <w:rFonts w:hint="eastAsia" w:ascii="宋体" w:hAnsi="宋体" w:cs="宋体"/>
          <w:b/>
          <w:bCs/>
          <w:color w:val="auto"/>
          <w:sz w:val="21"/>
          <w:szCs w:val="21"/>
          <w:highlight w:val="none"/>
          <w:lang w:eastAsia="zh-CN"/>
        </w:rPr>
        <w:t>吨</w:t>
      </w:r>
      <w:r>
        <w:rPr>
          <w:rFonts w:hint="eastAsia" w:ascii="宋体" w:hAnsi="宋体" w:cs="宋体"/>
          <w:b/>
          <w:bCs/>
          <w:color w:val="auto"/>
          <w:sz w:val="21"/>
          <w:szCs w:val="21"/>
          <w:highlight w:val="none"/>
        </w:rPr>
        <w:t>，总价</w:t>
      </w:r>
      <w:r>
        <w:rPr>
          <w:rFonts w:hint="eastAsia" w:ascii="宋体" w:hAnsi="宋体" w:cs="宋体"/>
          <w:b/>
          <w:bCs/>
          <w:color w:val="auto"/>
          <w:sz w:val="21"/>
          <w:szCs w:val="21"/>
          <w:highlight w:val="none"/>
          <w:lang w:eastAsia="zh-CN"/>
        </w:rPr>
        <w:t>约</w:t>
      </w:r>
      <w:r>
        <w:rPr>
          <w:rFonts w:hint="eastAsia" w:ascii="宋体" w:hAnsi="宋体" w:cs="宋体"/>
          <w:b/>
          <w:bCs/>
          <w:color w:val="auto"/>
          <w:sz w:val="21"/>
          <w:szCs w:val="21"/>
          <w:highlight w:val="none"/>
        </w:rPr>
        <w:t>为</w:t>
      </w:r>
      <w:r>
        <w:rPr>
          <w:rFonts w:hint="eastAsia" w:ascii="宋体" w:hAnsi="宋体" w:cs="宋体"/>
          <w:b/>
          <w:bCs/>
          <w:color w:val="auto"/>
          <w:sz w:val="21"/>
          <w:szCs w:val="21"/>
          <w:highlight w:val="none"/>
          <w:u w:val="single"/>
          <w:lang w:val="en-US" w:eastAsia="zh-CN"/>
        </w:rPr>
        <w:t>3760</w:t>
      </w:r>
      <w:r>
        <w:rPr>
          <w:rFonts w:hint="eastAsia" w:ascii="宋体" w:hAnsi="宋体" w:cs="宋体"/>
          <w:b/>
          <w:bCs/>
          <w:color w:val="auto"/>
          <w:sz w:val="21"/>
          <w:szCs w:val="21"/>
          <w:highlight w:val="none"/>
        </w:rPr>
        <w:t>万元。</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应按此最高限价并结合企业自身情况及管理经验自主报价，报价不得超过最高限价，否则作为废标处理。</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磋商报价是履行合同的最终报价，报价</w:t>
      </w:r>
      <w:r>
        <w:rPr>
          <w:rFonts w:hint="eastAsia" w:ascii="宋体" w:hAnsi="宋体" w:cs="宋体"/>
          <w:b w:val="0"/>
          <w:bCs w:val="0"/>
          <w:color w:val="auto"/>
          <w:sz w:val="21"/>
          <w:szCs w:val="21"/>
          <w:highlight w:val="none"/>
          <w:lang w:val="en-US" w:eastAsia="zh-CN"/>
        </w:rPr>
        <w:t>应包含但不限于</w:t>
      </w:r>
      <w:r>
        <w:rPr>
          <w:rFonts w:hint="eastAsia" w:ascii="宋体" w:hAnsi="宋体" w:cs="宋体"/>
          <w:b w:val="0"/>
          <w:bCs w:val="0"/>
          <w:color w:val="auto"/>
          <w:sz w:val="21"/>
          <w:szCs w:val="21"/>
          <w:highlight w:val="none"/>
          <w:lang w:eastAsia="zh-CN"/>
        </w:rPr>
        <w:t>场地建设费、</w:t>
      </w:r>
      <w:r>
        <w:rPr>
          <w:rFonts w:hint="eastAsia" w:ascii="宋体" w:hAnsi="宋体" w:cs="宋体"/>
          <w:b w:val="0"/>
          <w:bCs w:val="0"/>
          <w:color w:val="auto"/>
          <w:sz w:val="21"/>
          <w:szCs w:val="21"/>
          <w:highlight w:val="none"/>
          <w:lang w:val="en-US" w:eastAsia="zh-CN"/>
        </w:rPr>
        <w:t>砂石</w:t>
      </w:r>
      <w:r>
        <w:rPr>
          <w:rFonts w:hint="eastAsia" w:ascii="宋体" w:hAnsi="宋体" w:cs="宋体"/>
          <w:b w:val="0"/>
          <w:bCs w:val="0"/>
          <w:color w:val="auto"/>
          <w:sz w:val="21"/>
          <w:szCs w:val="21"/>
          <w:highlight w:val="none"/>
          <w:lang w:eastAsia="zh-CN"/>
        </w:rPr>
        <w:t>设备费、</w:t>
      </w:r>
      <w:r>
        <w:rPr>
          <w:rFonts w:hint="eastAsia" w:ascii="宋体" w:hAnsi="宋体" w:cs="宋体"/>
          <w:b w:val="0"/>
          <w:bCs w:val="0"/>
          <w:color w:val="auto"/>
          <w:sz w:val="21"/>
          <w:szCs w:val="21"/>
          <w:highlight w:val="none"/>
          <w:lang w:val="en-US" w:eastAsia="zh-CN"/>
        </w:rPr>
        <w:t>环保设备款费、废渣尾渣处置费、</w:t>
      </w:r>
      <w:r>
        <w:rPr>
          <w:rFonts w:hint="eastAsia" w:ascii="宋体" w:hAnsi="宋体" w:cs="宋体"/>
          <w:b w:val="0"/>
          <w:bCs w:val="0"/>
          <w:color w:val="auto"/>
          <w:sz w:val="21"/>
          <w:szCs w:val="21"/>
          <w:highlight w:val="none"/>
          <w:lang w:eastAsia="zh-CN"/>
        </w:rPr>
        <w:t>加工费</w:t>
      </w:r>
      <w:r>
        <w:rPr>
          <w:rFonts w:hint="eastAsia" w:ascii="宋体" w:hAnsi="宋体" w:cs="宋体"/>
          <w:b w:val="0"/>
          <w:bCs w:val="0"/>
          <w:color w:val="auto"/>
          <w:sz w:val="21"/>
          <w:szCs w:val="21"/>
          <w:highlight w:val="none"/>
        </w:rPr>
        <w:t>、</w:t>
      </w:r>
      <w:r>
        <w:rPr>
          <w:rFonts w:ascii="Arial" w:hAnsi="宋体" w:cs="Arial"/>
          <w:color w:val="auto"/>
          <w:kern w:val="0"/>
          <w:highlight w:val="none"/>
        </w:rPr>
        <w:t>临时存放保管费</w:t>
      </w:r>
      <w:r>
        <w:rPr>
          <w:rFonts w:hint="eastAsia" w:ascii="Arial" w:hAnsi="宋体" w:cs="Arial"/>
          <w:color w:val="auto"/>
          <w:kern w:val="0"/>
          <w:highlight w:val="none"/>
          <w:lang w:eastAsia="zh-CN"/>
        </w:rPr>
        <w:t>、</w:t>
      </w:r>
      <w:r>
        <w:rPr>
          <w:rFonts w:ascii="Arial" w:hAnsi="宋体" w:cs="Arial"/>
          <w:color w:val="auto"/>
          <w:kern w:val="0"/>
          <w:highlight w:val="none"/>
        </w:rPr>
        <w:t>分批供货费</w:t>
      </w:r>
      <w:r>
        <w:rPr>
          <w:rFonts w:hint="eastAsia" w:ascii="Arial" w:hAnsi="宋体" w:cs="Arial"/>
          <w:color w:val="auto"/>
          <w:kern w:val="0"/>
          <w:highlight w:val="none"/>
          <w:lang w:eastAsia="zh-CN"/>
        </w:rPr>
        <w:t>、</w:t>
      </w:r>
      <w:r>
        <w:rPr>
          <w:rFonts w:hint="eastAsia" w:ascii="宋体" w:hAnsi="宋体" w:cs="宋体"/>
          <w:b w:val="0"/>
          <w:bCs w:val="0"/>
          <w:color w:val="auto"/>
          <w:sz w:val="21"/>
          <w:szCs w:val="21"/>
          <w:highlight w:val="none"/>
          <w:lang w:eastAsia="zh-CN"/>
        </w:rPr>
        <w:t>场内</w:t>
      </w:r>
      <w:r>
        <w:rPr>
          <w:rFonts w:hint="eastAsia" w:ascii="宋体" w:hAnsi="宋体" w:cs="宋体"/>
          <w:b w:val="0"/>
          <w:bCs w:val="0"/>
          <w:color w:val="auto"/>
          <w:sz w:val="21"/>
          <w:szCs w:val="21"/>
          <w:highlight w:val="none"/>
        </w:rPr>
        <w:t>运输费、装卸费、</w:t>
      </w:r>
      <w:r>
        <w:rPr>
          <w:rFonts w:hint="eastAsia" w:ascii="宋体" w:hAnsi="宋体" w:cs="宋体"/>
          <w:b w:val="0"/>
          <w:bCs w:val="0"/>
          <w:color w:val="auto"/>
          <w:sz w:val="21"/>
          <w:szCs w:val="21"/>
          <w:highlight w:val="none"/>
          <w:lang w:eastAsia="zh-CN"/>
        </w:rPr>
        <w:t>保险费、</w:t>
      </w:r>
      <w:r>
        <w:rPr>
          <w:rFonts w:hint="eastAsia" w:ascii="宋体" w:hAnsi="宋体" w:cs="宋体"/>
          <w:b w:val="0"/>
          <w:bCs w:val="0"/>
          <w:color w:val="auto"/>
          <w:sz w:val="21"/>
          <w:szCs w:val="21"/>
          <w:highlight w:val="none"/>
        </w:rPr>
        <w:t>检测费、</w:t>
      </w:r>
      <w:r>
        <w:rPr>
          <w:rFonts w:hint="eastAsia" w:ascii="宋体" w:hAnsi="宋体" w:cs="宋体"/>
          <w:b w:val="0"/>
          <w:bCs w:val="0"/>
          <w:color w:val="auto"/>
          <w:sz w:val="21"/>
          <w:szCs w:val="21"/>
          <w:highlight w:val="none"/>
          <w:lang w:val="en-US" w:eastAsia="zh-CN"/>
        </w:rPr>
        <w:t>机械检修费、</w:t>
      </w:r>
      <w:r>
        <w:rPr>
          <w:rFonts w:hint="eastAsia" w:hAnsi="宋体"/>
          <w:b w:val="0"/>
          <w:bCs/>
          <w:color w:val="auto"/>
          <w:highlight w:val="none"/>
          <w:u w:val="none"/>
          <w:lang w:val="en-US" w:eastAsia="zh-CN"/>
        </w:rPr>
        <w:t>耗材燃料费、</w:t>
      </w:r>
      <w:r>
        <w:rPr>
          <w:rFonts w:hint="eastAsia" w:ascii="宋体" w:hAnsi="宋体" w:cs="宋体"/>
          <w:b w:val="0"/>
          <w:bCs w:val="0"/>
          <w:color w:val="auto"/>
          <w:sz w:val="21"/>
          <w:szCs w:val="21"/>
          <w:highlight w:val="none"/>
        </w:rPr>
        <w:t>人工费、税金等及完成合同所需的一切本身和不可或缺的其它开支、政策性文件规定及所有风险、责任等各项费用。</w:t>
      </w:r>
      <w:r>
        <w:rPr>
          <w:rFonts w:hint="eastAsia" w:ascii="宋体" w:hAnsi="宋体" w:eastAsia="宋体" w:cs="宋体"/>
          <w:color w:val="auto"/>
          <w:sz w:val="21"/>
          <w:szCs w:val="21"/>
          <w:highlight w:val="none"/>
        </w:rPr>
        <w:t>供应商在报价单中的提供的单价和总价在合同执行过程中固定不变，供应商不得以任何理由予以变更。</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最终报价只允许有一个报价，有选择的或有条件的报价将不予接受。</w:t>
      </w:r>
      <w:r>
        <w:rPr>
          <w:rFonts w:hint="eastAsia" w:ascii="宋体" w:hAnsi="宋体" w:eastAsia="宋体" w:cs="宋体"/>
          <w:color w:val="auto"/>
          <w:sz w:val="21"/>
          <w:szCs w:val="21"/>
          <w:highlight w:val="none"/>
          <w:lang w:val="zh-CN"/>
        </w:rPr>
        <w:t>经磋商后，如果成交价高于或低于供应商在响应文件首次报价的，分项报价同比例调整。</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技术规范要求的费用应包括在磋商报价中。</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报价统一为人民币价，并包括向政府及行业管理部门交纳的各种税费。</w:t>
      </w:r>
    </w:p>
    <w:p>
      <w:pPr>
        <w:keepNext w:val="0"/>
        <w:keepLines w:val="0"/>
        <w:pageBreakBefore w:val="0"/>
        <w:widowControl w:val="0"/>
        <w:numPr>
          <w:ilvl w:val="1"/>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磋商有效期</w:t>
      </w:r>
    </w:p>
    <w:p>
      <w:pPr>
        <w:keepNext w:val="0"/>
        <w:keepLines w:val="0"/>
        <w:pageBreakBefore w:val="0"/>
        <w:widowControl w:val="0"/>
        <w:numPr>
          <w:ilvl w:val="2"/>
          <w:numId w:val="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▲磋商文件从响应文件递交截止之日起，有效期为90天；</w:t>
      </w:r>
    </w:p>
    <w:p>
      <w:pPr>
        <w:keepNext w:val="0"/>
        <w:keepLines w:val="0"/>
        <w:pageBreakBefore w:val="0"/>
        <w:widowControl w:val="0"/>
        <w:numPr>
          <w:ilvl w:val="0"/>
          <w:numId w:val="7"/>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24" w:name="_Toc356371436"/>
      <w:bookmarkStart w:id="25" w:name="_Toc457934628"/>
      <w:r>
        <w:rPr>
          <w:rFonts w:hint="eastAsia" w:ascii="宋体" w:hAnsi="宋体" w:eastAsia="宋体" w:cs="宋体"/>
          <w:b/>
          <w:color w:val="auto"/>
          <w:sz w:val="21"/>
          <w:szCs w:val="21"/>
          <w:highlight w:val="none"/>
        </w:rPr>
        <w:t>磋商保证金</w:t>
      </w:r>
      <w:bookmarkEnd w:id="24"/>
      <w:bookmarkEnd w:id="25"/>
      <w:r>
        <w:rPr>
          <w:rFonts w:hint="eastAsia" w:ascii="宋体" w:hAnsi="宋体" w:cs="宋体"/>
          <w:b/>
          <w:color w:val="auto"/>
          <w:sz w:val="21"/>
          <w:szCs w:val="21"/>
          <w:highlight w:val="none"/>
          <w:lang w:eastAsia="zh-CN"/>
        </w:rPr>
        <w:t>：人民币</w:t>
      </w:r>
      <w:r>
        <w:rPr>
          <w:rFonts w:hint="eastAsia" w:ascii="宋体" w:hAnsi="宋体" w:cs="宋体"/>
          <w:b/>
          <w:color w:val="auto"/>
          <w:sz w:val="21"/>
          <w:szCs w:val="21"/>
          <w:highlight w:val="none"/>
          <w:lang w:val="en-US" w:eastAsia="zh-CN"/>
        </w:rPr>
        <w:t>20万元整</w:t>
      </w:r>
      <w:r>
        <w:rPr>
          <w:rFonts w:hint="eastAsia" w:ascii="宋体" w:hAnsi="宋体" w:eastAsia="宋体" w:cs="宋体"/>
          <w:b/>
          <w:color w:val="auto"/>
          <w:sz w:val="21"/>
          <w:szCs w:val="21"/>
          <w:highlight w:val="none"/>
        </w:rPr>
        <w:t>。</w:t>
      </w:r>
    </w:p>
    <w:p>
      <w:pPr>
        <w:keepNext w:val="0"/>
        <w:keepLines w:val="0"/>
        <w:pageBreakBefore w:val="0"/>
        <w:widowControl w:val="0"/>
        <w:numPr>
          <w:ilvl w:val="0"/>
          <w:numId w:val="8"/>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26" w:name="_Toc457934629"/>
      <w:r>
        <w:rPr>
          <w:rFonts w:hint="eastAsia" w:ascii="宋体" w:hAnsi="宋体" w:eastAsia="宋体" w:cs="宋体"/>
          <w:b/>
          <w:color w:val="auto"/>
          <w:sz w:val="21"/>
          <w:szCs w:val="21"/>
          <w:highlight w:val="none"/>
        </w:rPr>
        <w:t>响应文件的签署及规定</w:t>
      </w:r>
      <w:bookmarkEnd w:id="26"/>
    </w:p>
    <w:p>
      <w:pPr>
        <w:keepNext w:val="0"/>
        <w:keepLines w:val="0"/>
        <w:pageBreakBefore w:val="0"/>
        <w:widowControl w:val="0"/>
        <w:numPr>
          <w:ilvl w:val="1"/>
          <w:numId w:val="9"/>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供应商应按本须知的相关要求准备响应文件，每套文件须清楚的标明“技术资信商务文件”、“报价文件”、和“正本”、“副本”。若正本和副本有差异，以正本为准。</w:t>
      </w:r>
    </w:p>
    <w:p>
      <w:pPr>
        <w:keepNext w:val="0"/>
        <w:keepLines w:val="0"/>
        <w:pageBreakBefore w:val="0"/>
        <w:widowControl w:val="0"/>
        <w:numPr>
          <w:ilvl w:val="1"/>
          <w:numId w:val="9"/>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响应文件的正本需打印或用不褪色墨水书写，并由供应商或经正式授权的代表在响应文件上签字或盖章。授权代表须以书面形式出具的“授权证书”附在响应文件中。文件的副本可采用正本复印</w:t>
      </w:r>
      <w:r>
        <w:rPr>
          <w:rFonts w:hint="eastAsia" w:ascii="宋体" w:hAnsi="宋体" w:cs="宋体"/>
          <w:color w:val="auto"/>
          <w:sz w:val="21"/>
          <w:szCs w:val="21"/>
          <w:highlight w:val="none"/>
          <w:lang w:eastAsia="zh-CN"/>
        </w:rPr>
        <w:t>件</w:t>
      </w:r>
      <w:r>
        <w:rPr>
          <w:rFonts w:hint="eastAsia" w:ascii="宋体" w:hAnsi="宋体" w:eastAsia="宋体" w:cs="宋体"/>
          <w:color w:val="auto"/>
          <w:sz w:val="21"/>
          <w:szCs w:val="21"/>
          <w:highlight w:val="none"/>
        </w:rPr>
        <w:t>。</w:t>
      </w:r>
    </w:p>
    <w:p>
      <w:pPr>
        <w:keepNext w:val="0"/>
        <w:keepLines w:val="0"/>
        <w:pageBreakBefore w:val="0"/>
        <w:widowControl w:val="0"/>
        <w:numPr>
          <w:ilvl w:val="1"/>
          <w:numId w:val="9"/>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响应文件封面须加盖供应商单位公章。</w:t>
      </w:r>
    </w:p>
    <w:p>
      <w:pPr>
        <w:keepNext w:val="0"/>
        <w:keepLines w:val="0"/>
        <w:pageBreakBefore w:val="0"/>
        <w:widowControl w:val="0"/>
        <w:numPr>
          <w:ilvl w:val="1"/>
          <w:numId w:val="9"/>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任何行间插字、涂改和增删，必须由磋商文件签字人在旁边签字才有效。</w:t>
      </w:r>
    </w:p>
    <w:p>
      <w:pPr>
        <w:keepNext w:val="0"/>
        <w:keepLines w:val="0"/>
        <w:pageBreakBefore w:val="0"/>
        <w:widowControl w:val="0"/>
        <w:numPr>
          <w:ilvl w:val="1"/>
          <w:numId w:val="9"/>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电报、电话、传真形式的响应文件概不接受。</w:t>
      </w:r>
    </w:p>
    <w:p>
      <w:pPr>
        <w:keepNext w:val="0"/>
        <w:keepLines w:val="0"/>
        <w:pageBreakBefore w:val="0"/>
        <w:widowControl w:val="0"/>
        <w:numPr>
          <w:ilvl w:val="1"/>
          <w:numId w:val="9"/>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响应文件的密封和标记</w:t>
      </w:r>
    </w:p>
    <w:p>
      <w:pPr>
        <w:keepNext w:val="0"/>
        <w:keepLines w:val="0"/>
        <w:pageBreakBefore w:val="0"/>
        <w:widowControl w:val="0"/>
        <w:numPr>
          <w:ilvl w:val="0"/>
          <w:numId w:val="0"/>
        </w:numPr>
        <w:kinsoku/>
        <w:wordWrap/>
        <w:overflowPunct/>
        <w:topLinePunct w:val="0"/>
        <w:bidi w:val="0"/>
        <w:snapToGrid w:val="0"/>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22.1</w:t>
      </w:r>
      <w:r>
        <w:rPr>
          <w:rFonts w:hint="eastAsia" w:ascii="宋体" w:hAnsi="宋体" w:eastAsia="宋体" w:cs="宋体"/>
          <w:color w:val="auto"/>
          <w:sz w:val="21"/>
          <w:szCs w:val="21"/>
          <w:highlight w:val="none"/>
        </w:rPr>
        <w:t>响应文件应分为技术资信商务文件、报价文件二部分，单独密封并在封口及相关部位加盖供应商单位公章。</w:t>
      </w:r>
    </w:p>
    <w:p>
      <w:pPr>
        <w:keepNext w:val="0"/>
        <w:keepLines w:val="0"/>
        <w:pageBreakBefore w:val="0"/>
        <w:widowControl w:val="0"/>
        <w:numPr>
          <w:ilvl w:val="0"/>
          <w:numId w:val="0"/>
        </w:numPr>
        <w:kinsoku/>
        <w:wordWrap/>
        <w:overflowPunct/>
        <w:topLinePunct w:val="0"/>
        <w:bidi w:val="0"/>
        <w:snapToGrid w:val="0"/>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22.2</w:t>
      </w:r>
      <w:r>
        <w:rPr>
          <w:rFonts w:hint="eastAsia" w:ascii="宋体" w:hAnsi="宋体" w:eastAsia="宋体" w:cs="宋体"/>
          <w:color w:val="auto"/>
          <w:sz w:val="21"/>
          <w:szCs w:val="21"/>
          <w:highlight w:val="none"/>
        </w:rPr>
        <w:t>每包的封面均应注明：项目名称、项目编号、供应商名称、磋商文件名称（即技术资信商务文件、报价文件）。</w:t>
      </w:r>
    </w:p>
    <w:p>
      <w:pPr>
        <w:keepNext w:val="0"/>
        <w:keepLines w:val="0"/>
        <w:pageBreakBefore w:val="0"/>
        <w:widowControl w:val="0"/>
        <w:numPr>
          <w:ilvl w:val="0"/>
          <w:numId w:val="10"/>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27" w:name="_Toc457934630"/>
      <w:r>
        <w:rPr>
          <w:rFonts w:hint="eastAsia" w:ascii="宋体" w:hAnsi="宋体" w:eastAsia="宋体" w:cs="宋体"/>
          <w:b/>
          <w:color w:val="auto"/>
          <w:sz w:val="21"/>
          <w:szCs w:val="21"/>
          <w:highlight w:val="none"/>
        </w:rPr>
        <w:t>响应文件的递交</w:t>
      </w:r>
      <w:bookmarkEnd w:id="27"/>
    </w:p>
    <w:p>
      <w:pPr>
        <w:keepNext w:val="0"/>
        <w:keepLines w:val="0"/>
        <w:pageBreakBefore w:val="0"/>
        <w:widowControl w:val="0"/>
        <w:numPr>
          <w:ilvl w:val="1"/>
          <w:numId w:val="9"/>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递交响应文件截止期</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供应商须在递交响应文件截止时间前将响应文件递交至衢州市柯城区交易中心四楼开标厅（浮石路188号），逾期不予接收。递交响应文件时还需递交法人授权委托书一份及被授权人身份证原件。</w:t>
      </w:r>
    </w:p>
    <w:p>
      <w:pPr>
        <w:keepNext w:val="0"/>
        <w:keepLines w:val="0"/>
        <w:pageBreakBefore w:val="0"/>
        <w:widowControl w:val="0"/>
        <w:numPr>
          <w:ilvl w:val="1"/>
          <w:numId w:val="9"/>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响应文件的修改和撤销</w:t>
      </w:r>
    </w:p>
    <w:p>
      <w:pPr>
        <w:keepNext w:val="0"/>
        <w:keepLines w:val="0"/>
        <w:pageBreakBefore w:val="0"/>
        <w:widowControl w:val="0"/>
        <w:numPr>
          <w:ilvl w:val="0"/>
          <w:numId w:val="0"/>
        </w:numPr>
        <w:kinsoku/>
        <w:wordWrap/>
        <w:overflowPunct/>
        <w:topLinePunct w:val="0"/>
        <w:bidi w:val="0"/>
        <w:snapToGrid w:val="0"/>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24.1</w:t>
      </w:r>
      <w:r>
        <w:rPr>
          <w:rFonts w:hint="eastAsia" w:ascii="宋体" w:hAnsi="宋体" w:eastAsia="宋体" w:cs="宋体"/>
          <w:color w:val="auto"/>
          <w:kern w:val="0"/>
          <w:sz w:val="21"/>
          <w:szCs w:val="21"/>
          <w:highlight w:val="none"/>
        </w:rPr>
        <w:t>供应商在提交响应文件截止时间前，可以对所提交的响应文件进行补充、修改或者撤回，并书面通知招标人。补充、修改的内容作为响应文件的组成部分。补充、修改的内容与响应文件不一致的，以补充、修改的内容为准。</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24.2</w:t>
      </w:r>
      <w:r>
        <w:rPr>
          <w:rFonts w:hint="eastAsia" w:ascii="宋体" w:hAnsi="宋体" w:eastAsia="宋体" w:cs="宋体"/>
          <w:color w:val="auto"/>
          <w:sz w:val="21"/>
          <w:szCs w:val="21"/>
          <w:highlight w:val="none"/>
        </w:rPr>
        <w:t>供应商修改后的响应文件应按原来的规定编制、密封、标记和递交。</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24.3</w:t>
      </w:r>
      <w:r>
        <w:rPr>
          <w:rFonts w:hint="eastAsia" w:ascii="宋体" w:hAnsi="宋体" w:eastAsia="宋体" w:cs="宋体"/>
          <w:color w:val="auto"/>
          <w:sz w:val="21"/>
          <w:szCs w:val="21"/>
          <w:highlight w:val="none"/>
        </w:rPr>
        <w:t>在递交响应文件截止时间之后，供应商不得对其响应文件做任何修改。</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24.4</w:t>
      </w:r>
      <w:r>
        <w:rPr>
          <w:rFonts w:hint="eastAsia" w:ascii="宋体" w:hAnsi="宋体" w:eastAsia="宋体" w:cs="宋体"/>
          <w:color w:val="auto"/>
          <w:sz w:val="21"/>
          <w:szCs w:val="21"/>
          <w:highlight w:val="none"/>
        </w:rPr>
        <w:t>已提交响应文件的供应商，在提交最后报价之前，可以根据磋商情况退出磋商。</w:t>
      </w:r>
    </w:p>
    <w:p>
      <w:pPr>
        <w:keepNext w:val="0"/>
        <w:keepLines w:val="0"/>
        <w:pageBreakBefore w:val="0"/>
        <w:widowControl w:val="0"/>
        <w:numPr>
          <w:ilvl w:val="0"/>
          <w:numId w:val="11"/>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、串通投标的情形</w:t>
      </w:r>
    </w:p>
    <w:p>
      <w:pPr>
        <w:keepNext w:val="0"/>
        <w:keepLines w:val="0"/>
        <w:pageBreakBefore w:val="0"/>
        <w:widowControl w:val="0"/>
        <w:kinsoku/>
        <w:wordWrap/>
        <w:overflowPunct/>
        <w:topLinePunct w:val="0"/>
        <w:bidi w:val="0"/>
        <w:snapToGrid w:val="0"/>
        <w:spacing w:line="420" w:lineRule="exact"/>
        <w:ind w:left="56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25.不同供应商的响应文件由同一单位或者个人编制；</w:t>
      </w:r>
    </w:p>
    <w:p>
      <w:pPr>
        <w:pStyle w:val="49"/>
        <w:keepNext w:val="0"/>
        <w:keepLines w:val="0"/>
        <w:pageBreakBefore w:val="0"/>
        <w:widowControl w:val="0"/>
        <w:numPr>
          <w:ilvl w:val="1"/>
          <w:numId w:val="11"/>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1"/>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1"/>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1"/>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1"/>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1"/>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1"/>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1"/>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2"/>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25.1</w:t>
      </w:r>
      <w:r>
        <w:rPr>
          <w:rFonts w:hint="eastAsia" w:ascii="宋体" w:hAnsi="宋体" w:eastAsia="宋体" w:cs="宋体"/>
          <w:bCs/>
          <w:color w:val="auto"/>
          <w:sz w:val="21"/>
          <w:szCs w:val="21"/>
          <w:highlight w:val="none"/>
        </w:rPr>
        <w:t>不同供应商委托同一单位或者个人办理磋商事宜；</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25.2</w:t>
      </w:r>
      <w:r>
        <w:rPr>
          <w:rFonts w:hint="eastAsia" w:ascii="宋体" w:hAnsi="宋体" w:eastAsia="宋体" w:cs="宋体"/>
          <w:bCs/>
          <w:color w:val="auto"/>
          <w:sz w:val="21"/>
          <w:szCs w:val="21"/>
          <w:highlight w:val="none"/>
        </w:rPr>
        <w:t>不同供应商的响应文件载明的项目管理成员或者联系人员为同一人；</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25.3</w:t>
      </w:r>
      <w:r>
        <w:rPr>
          <w:rFonts w:hint="eastAsia" w:ascii="宋体" w:hAnsi="宋体" w:eastAsia="宋体" w:cs="宋体"/>
          <w:bCs/>
          <w:color w:val="auto"/>
          <w:sz w:val="21"/>
          <w:szCs w:val="21"/>
          <w:highlight w:val="none"/>
        </w:rPr>
        <w:t>不同供应商的响应文件异常一致或者磋商报价呈规律性差异；</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25.4</w:t>
      </w:r>
      <w:r>
        <w:rPr>
          <w:rFonts w:hint="eastAsia" w:ascii="宋体" w:hAnsi="宋体" w:eastAsia="宋体" w:cs="宋体"/>
          <w:bCs/>
          <w:color w:val="auto"/>
          <w:sz w:val="21"/>
          <w:szCs w:val="21"/>
          <w:highlight w:val="none"/>
        </w:rPr>
        <w:t>不同供应商的响应文件相互混装；</w:t>
      </w:r>
    </w:p>
    <w:p>
      <w:pPr>
        <w:keepNext w:val="0"/>
        <w:keepLines w:val="0"/>
        <w:pageBreakBefore w:val="0"/>
        <w:widowControl w:val="0"/>
        <w:numPr>
          <w:ilvl w:val="0"/>
          <w:numId w:val="13"/>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28" w:name="_Toc359849105"/>
      <w:bookmarkStart w:id="29" w:name="_Toc457934631"/>
      <w:r>
        <w:rPr>
          <w:rFonts w:hint="eastAsia" w:ascii="宋体" w:hAnsi="宋体" w:eastAsia="宋体" w:cs="宋体"/>
          <w:b/>
          <w:color w:val="auto"/>
          <w:sz w:val="21"/>
          <w:szCs w:val="21"/>
          <w:highlight w:val="none"/>
        </w:rPr>
        <w:t>磋商无效的情形</w:t>
      </w:r>
      <w:bookmarkEnd w:id="28"/>
      <w:bookmarkEnd w:id="29"/>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实质上没有响应磋商文件要求的响应文件将被视为无效磋商。供应商不得通过修正或撤消不合要求的偏离或保留从而使其磋商成为实质上响应的磋商。如发生下列情况之一的，其响应文件视为无效：</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26.1</w:t>
      </w:r>
      <w:r>
        <w:rPr>
          <w:rFonts w:hint="eastAsia" w:ascii="宋体" w:hAnsi="宋体" w:eastAsia="宋体" w:cs="宋体"/>
          <w:color w:val="auto"/>
          <w:sz w:val="21"/>
          <w:szCs w:val="21"/>
          <w:highlight w:val="none"/>
        </w:rPr>
        <w:t>不具备</w:t>
      </w:r>
      <w:r>
        <w:rPr>
          <w:rFonts w:hint="eastAsia" w:ascii="宋体" w:hAnsi="宋体" w:eastAsia="宋体" w:cs="宋体"/>
          <w:bCs/>
          <w:color w:val="auto"/>
          <w:sz w:val="21"/>
          <w:szCs w:val="21"/>
          <w:highlight w:val="none"/>
        </w:rPr>
        <w:t>磋商</w:t>
      </w:r>
      <w:r>
        <w:rPr>
          <w:rFonts w:hint="eastAsia" w:ascii="宋体" w:hAnsi="宋体" w:eastAsia="宋体" w:cs="宋体"/>
          <w:color w:val="auto"/>
          <w:sz w:val="21"/>
          <w:szCs w:val="21"/>
          <w:highlight w:val="none"/>
        </w:rPr>
        <w:t>文件规定资格要求；</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26.2</w:t>
      </w:r>
      <w:r>
        <w:rPr>
          <w:rFonts w:hint="eastAsia" w:ascii="宋体" w:hAnsi="宋体" w:eastAsia="宋体" w:cs="宋体"/>
          <w:color w:val="auto"/>
          <w:sz w:val="21"/>
          <w:szCs w:val="21"/>
          <w:highlight w:val="none"/>
        </w:rPr>
        <w:t>响应文件未按</w:t>
      </w:r>
      <w:r>
        <w:rPr>
          <w:rFonts w:hint="eastAsia" w:ascii="宋体" w:hAnsi="宋体" w:eastAsia="宋体" w:cs="宋体"/>
          <w:bCs/>
          <w:color w:val="auto"/>
          <w:sz w:val="21"/>
          <w:szCs w:val="21"/>
          <w:highlight w:val="none"/>
        </w:rPr>
        <w:t>磋商</w:t>
      </w:r>
      <w:r>
        <w:rPr>
          <w:rFonts w:hint="eastAsia" w:ascii="宋体" w:hAnsi="宋体" w:eastAsia="宋体" w:cs="宋体"/>
          <w:color w:val="auto"/>
          <w:sz w:val="21"/>
          <w:szCs w:val="21"/>
          <w:highlight w:val="none"/>
        </w:rPr>
        <w:t>文件要求签署、盖章的，未有效授权的;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26.3</w:t>
      </w:r>
      <w:r>
        <w:rPr>
          <w:rFonts w:hint="eastAsia" w:ascii="宋体" w:hAnsi="宋体" w:eastAsia="宋体" w:cs="宋体"/>
          <w:bCs/>
          <w:color w:val="auto"/>
          <w:sz w:val="21"/>
          <w:szCs w:val="21"/>
          <w:highlight w:val="none"/>
        </w:rPr>
        <w:t>磋商</w:t>
      </w:r>
      <w:r>
        <w:rPr>
          <w:rFonts w:hint="eastAsia" w:ascii="宋体" w:hAnsi="宋体" w:eastAsia="宋体" w:cs="宋体"/>
          <w:color w:val="auto"/>
          <w:sz w:val="21"/>
          <w:szCs w:val="21"/>
          <w:highlight w:val="none"/>
        </w:rPr>
        <w:t>文件中有▲处条款供应商未作实质性响应的；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26.4</w:t>
      </w:r>
      <w:r>
        <w:rPr>
          <w:rFonts w:hint="eastAsia" w:ascii="宋体" w:hAnsi="宋体" w:eastAsia="宋体" w:cs="宋体"/>
          <w:color w:val="auto"/>
          <w:sz w:val="21"/>
          <w:szCs w:val="21"/>
          <w:highlight w:val="none"/>
        </w:rPr>
        <w:t>响应文件关键内容字迹模糊、无法辨认的；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26.5</w:t>
      </w:r>
      <w:r>
        <w:rPr>
          <w:rFonts w:hint="eastAsia" w:ascii="宋体" w:hAnsi="宋体" w:eastAsia="宋体" w:cs="宋体"/>
          <w:color w:val="auto"/>
          <w:sz w:val="21"/>
          <w:szCs w:val="21"/>
          <w:highlight w:val="none"/>
        </w:rPr>
        <w:t>响应文件含有采购人不能接受的附件条件的；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26.6</w:t>
      </w:r>
      <w:r>
        <w:rPr>
          <w:rFonts w:hint="eastAsia" w:ascii="宋体" w:hAnsi="宋体" w:eastAsia="宋体" w:cs="宋体"/>
          <w:color w:val="auto"/>
          <w:sz w:val="21"/>
          <w:szCs w:val="21"/>
          <w:highlight w:val="none"/>
        </w:rPr>
        <w:t>报价超出响应文件中规定的预算金额或者最高限价的；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26.7</w:t>
      </w:r>
      <w:r>
        <w:rPr>
          <w:rFonts w:hint="eastAsia" w:ascii="宋体" w:hAnsi="宋体" w:eastAsia="宋体" w:cs="宋体"/>
          <w:color w:val="auto"/>
          <w:sz w:val="21"/>
          <w:szCs w:val="21"/>
          <w:highlight w:val="none"/>
        </w:rPr>
        <w:t>提供虚假材料谋取中标、成交的；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26.8</w:t>
      </w:r>
      <w:r>
        <w:rPr>
          <w:rFonts w:hint="eastAsia" w:ascii="宋体" w:hAnsi="宋体" w:eastAsia="宋体" w:cs="宋体"/>
          <w:color w:val="auto"/>
          <w:sz w:val="21"/>
          <w:szCs w:val="21"/>
          <w:highlight w:val="none"/>
        </w:rPr>
        <w:t>供应商串通投标的；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26.9</w:t>
      </w:r>
      <w:r>
        <w:rPr>
          <w:rFonts w:hint="eastAsia" w:ascii="宋体" w:hAnsi="宋体" w:eastAsia="宋体" w:cs="宋体"/>
          <w:color w:val="auto"/>
          <w:sz w:val="21"/>
          <w:szCs w:val="21"/>
          <w:highlight w:val="none"/>
        </w:rPr>
        <w:t>不符合法律、法规和响应文件规定的其他实质性要求的。</w:t>
      </w:r>
    </w:p>
    <w:p>
      <w:pPr>
        <w:keepNext w:val="0"/>
        <w:keepLines w:val="0"/>
        <w:pageBreakBefore w:val="0"/>
        <w:widowControl w:val="0"/>
        <w:numPr>
          <w:ilvl w:val="0"/>
          <w:numId w:val="13"/>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30" w:name="_Toc457934632"/>
      <w:bookmarkStart w:id="31" w:name="_Toc359849106"/>
      <w:r>
        <w:rPr>
          <w:rFonts w:hint="eastAsia" w:ascii="宋体" w:hAnsi="宋体" w:eastAsia="宋体" w:cs="宋体"/>
          <w:b/>
          <w:color w:val="auto"/>
          <w:sz w:val="21"/>
          <w:szCs w:val="21"/>
          <w:highlight w:val="none"/>
        </w:rPr>
        <w:t>采购终止的情形</w:t>
      </w:r>
      <w:bookmarkEnd w:id="30"/>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采购中，</w:t>
      </w:r>
      <w:r>
        <w:rPr>
          <w:rFonts w:hint="eastAsia" w:ascii="宋体" w:hAnsi="宋体" w:eastAsia="宋体" w:cs="宋体"/>
          <w:color w:val="auto"/>
          <w:sz w:val="21"/>
          <w:szCs w:val="21"/>
          <w:highlight w:val="none"/>
          <w:shd w:val="clear" w:color="auto" w:fill="FFFFFF"/>
        </w:rPr>
        <w:t>出现下列情形之一的，采购人或者采购代理机构应当终止竞争性磋商采购活动，发布项目终止公告并说明原因，重新开展采购活动:</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27.1</w:t>
      </w:r>
      <w:r>
        <w:rPr>
          <w:rFonts w:hint="eastAsia" w:ascii="宋体" w:hAnsi="宋体" w:eastAsia="宋体" w:cs="宋体"/>
          <w:color w:val="auto"/>
          <w:sz w:val="21"/>
          <w:szCs w:val="21"/>
          <w:highlight w:val="none"/>
        </w:rPr>
        <w:t>因情况变化，不再符合规定的竞争性磋商采购方式适用情形的；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27.2</w:t>
      </w:r>
      <w:r>
        <w:rPr>
          <w:rFonts w:hint="eastAsia" w:ascii="宋体" w:hAnsi="宋体" w:eastAsia="宋体" w:cs="宋体"/>
          <w:color w:val="auto"/>
          <w:sz w:val="21"/>
          <w:szCs w:val="21"/>
          <w:highlight w:val="none"/>
        </w:rPr>
        <w:t>出现影响采购公证的违法、违规行为的；</w:t>
      </w:r>
    </w:p>
    <w:p>
      <w:pPr>
        <w:keepNext w:val="0"/>
        <w:keepLines w:val="0"/>
        <w:pageBreakBefore w:val="0"/>
        <w:widowControl w:val="0"/>
        <w:numPr>
          <w:ilvl w:val="0"/>
          <w:numId w:val="0"/>
        </w:numPr>
        <w:kinsoku/>
        <w:wordWrap/>
        <w:overflowPunct/>
        <w:topLinePunct w:val="0"/>
        <w:bidi w:val="0"/>
        <w:snapToGrid w:val="0"/>
        <w:spacing w:line="420" w:lineRule="exact"/>
        <w:ind w:left="0" w:leftChars="0" w:firstLine="638" w:firstLineChars="304"/>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shd w:val="clear" w:color="auto" w:fill="FFFFFF"/>
          <w:lang w:val="en-US" w:eastAsia="zh-CN"/>
        </w:rPr>
        <w:t>27.3</w:t>
      </w:r>
      <w:r>
        <w:rPr>
          <w:rFonts w:hint="eastAsia" w:ascii="宋体" w:hAnsi="宋体" w:eastAsia="宋体" w:cs="宋体"/>
          <w:color w:val="auto"/>
          <w:sz w:val="21"/>
          <w:szCs w:val="21"/>
          <w:highlight w:val="none"/>
          <w:shd w:val="clear" w:color="auto" w:fill="FFFFFF"/>
        </w:rPr>
        <w:t>在采购过程中符合要求的供应商或者报价未超过采购预算的供应商不足3家的(1、政府购买服务项目除外；2、市场竞争不充分的科研项目，以及需要扶持的科技成果转化项目除外)</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27.4</w:t>
      </w:r>
      <w:r>
        <w:rPr>
          <w:rFonts w:hint="eastAsia" w:ascii="宋体" w:hAnsi="宋体" w:eastAsia="宋体" w:cs="宋体"/>
          <w:color w:val="auto"/>
          <w:sz w:val="21"/>
          <w:szCs w:val="21"/>
          <w:highlight w:val="none"/>
          <w:lang w:val="en-US" w:eastAsia="zh-CN"/>
        </w:rPr>
        <w:t>经考察，合格的投标人不足3家的；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27.5</w:t>
      </w:r>
      <w:r>
        <w:rPr>
          <w:rFonts w:hint="eastAsia" w:ascii="宋体" w:hAnsi="宋体" w:eastAsia="宋体" w:cs="宋体"/>
          <w:color w:val="auto"/>
          <w:sz w:val="21"/>
          <w:szCs w:val="21"/>
          <w:highlight w:val="none"/>
        </w:rPr>
        <w:t>因重大变故，采购任务取消的；</w:t>
      </w:r>
    </w:p>
    <w:bookmarkEnd w:id="31"/>
    <w:p>
      <w:pPr>
        <w:keepNext w:val="0"/>
        <w:keepLines w:val="0"/>
        <w:pageBreakBefore w:val="0"/>
        <w:widowControl w:val="0"/>
        <w:numPr>
          <w:ilvl w:val="0"/>
          <w:numId w:val="13"/>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32" w:name="_Toc457934633"/>
      <w:r>
        <w:rPr>
          <w:rFonts w:hint="eastAsia" w:ascii="宋体" w:hAnsi="宋体" w:eastAsia="宋体" w:cs="宋体"/>
          <w:b/>
          <w:color w:val="auto"/>
          <w:sz w:val="21"/>
          <w:szCs w:val="21"/>
          <w:highlight w:val="none"/>
        </w:rPr>
        <w:t>磋商程序</w:t>
      </w:r>
      <w:bookmarkEnd w:id="32"/>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磋商小组评审供应商所递交的响应性文件，</w:t>
      </w:r>
      <w:r>
        <w:rPr>
          <w:rFonts w:hint="eastAsia" w:ascii="宋体" w:hAnsi="宋体" w:eastAsia="宋体" w:cs="宋体"/>
          <w:color w:val="auto"/>
          <w:sz w:val="21"/>
          <w:szCs w:val="21"/>
          <w:highlight w:val="none"/>
        </w:rPr>
        <w:t>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磋商小组所有成员集中与单一供应商分别进行磋商，所有参加磋商的供应商均有同等的磋商机会。</w:t>
      </w:r>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磋商过程中，磋商小组根据磋商文件和磋商情况实质性变动采购需求中的技术、服务要求以及合同草案条款。实质性变动是磋商文件的有效组成部分，磋商小组将以书面形式通知所有参加磋商的供应商。用“</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”加注或特别说明的内容为实质性要求。</w:t>
      </w:r>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供应商应当按照磋商文件的变动情况和磋商小组的要求重新提交响应文件，并由其法定代表人或授权代表签字或者加盖公章。</w:t>
      </w:r>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磋商结束后，磋商小组将要求所有继续参加磋商的供应商在规定时间内提交最后报价。最后报价由其法定代表人或授权代表签字或者加盖公章，最后报价是供应商响应文件的有效组成部分。</w:t>
      </w:r>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已提交响应文件的供应商，在提交最后报价之前，可以根据磋商情况退出磋商。</w:t>
      </w:r>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算术错误将按以下方法更正:</w:t>
      </w:r>
      <w:r>
        <w:rPr>
          <w:rFonts w:hint="eastAsia" w:ascii="宋体" w:hAnsi="宋体" w:eastAsia="宋体" w:cs="宋体"/>
          <w:bCs/>
          <w:color w:val="auto"/>
          <w:sz w:val="21"/>
          <w:szCs w:val="21"/>
          <w:highlight w:val="none"/>
        </w:rPr>
        <w:t xml:space="preserve"> 磋商时，</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文件中报价一览表内容与明细表内容不一致的，以报价一览表为准。</w:t>
      </w:r>
      <w:r>
        <w:rPr>
          <w:rFonts w:hint="eastAsia" w:ascii="宋体" w:hAnsi="宋体" w:cs="宋体"/>
          <w:bCs/>
          <w:color w:val="auto"/>
          <w:sz w:val="21"/>
          <w:szCs w:val="21"/>
          <w:highlight w:val="none"/>
          <w:lang w:eastAsia="zh-CN"/>
        </w:rPr>
        <w:t>报价</w:t>
      </w:r>
      <w:r>
        <w:rPr>
          <w:rFonts w:hint="eastAsia" w:ascii="宋体" w:hAnsi="宋体" w:eastAsia="宋体" w:cs="宋体"/>
          <w:bCs/>
          <w:color w:val="auto"/>
          <w:sz w:val="21"/>
          <w:szCs w:val="21"/>
          <w:highlight w:val="none"/>
        </w:rPr>
        <w:t>文件的大写金额和小写金额不一致的，以大写金额为准；总价金额与按单价汇总金额不一致的，以单价金额汇总结果为准；单价金额小数点有明显错位的，应以总价为准，并修改单价；对不同文字文本磋商文件的解释发生异议的，以中文文本为准。如果供应商不接受对其错误的更正，其磋商将被拒绝。</w:t>
      </w:r>
    </w:p>
    <w:p>
      <w:pPr>
        <w:keepNext w:val="0"/>
        <w:keepLines w:val="0"/>
        <w:pageBreakBefore w:val="0"/>
        <w:widowControl w:val="0"/>
        <w:numPr>
          <w:ilvl w:val="0"/>
          <w:numId w:val="13"/>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33" w:name="_Toc457934634"/>
      <w:bookmarkStart w:id="34" w:name="_Toc359849107"/>
      <w:r>
        <w:rPr>
          <w:rFonts w:hint="eastAsia" w:ascii="宋体" w:hAnsi="宋体" w:eastAsia="宋体" w:cs="宋体"/>
          <w:b/>
          <w:color w:val="auto"/>
          <w:sz w:val="21"/>
          <w:szCs w:val="21"/>
          <w:highlight w:val="none"/>
        </w:rPr>
        <w:t>授予合同</w:t>
      </w:r>
      <w:bookmarkEnd w:id="33"/>
      <w:bookmarkEnd w:id="34"/>
    </w:p>
    <w:p>
      <w:pPr>
        <w:keepNext w:val="0"/>
        <w:keepLines w:val="0"/>
        <w:pageBreakBefore w:val="0"/>
        <w:widowControl w:val="0"/>
        <w:numPr>
          <w:ilvl w:val="1"/>
          <w:numId w:val="14"/>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成交通知和合同授予</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35.1</w:t>
      </w:r>
      <w:r>
        <w:rPr>
          <w:rFonts w:hint="eastAsia" w:ascii="宋体" w:hAnsi="宋体" w:eastAsia="宋体" w:cs="宋体"/>
          <w:color w:val="auto"/>
          <w:sz w:val="21"/>
          <w:szCs w:val="21"/>
          <w:highlight w:val="none"/>
        </w:rPr>
        <w:t>评定结果经采购人确定后，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在成交供应商确定之日起2个工作日内将以书面形式发出《成交通知书》。供应商与采购单位须按本公告发出两个工作日后的三十天内签订合同。</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35.2</w:t>
      </w:r>
      <w:r>
        <w:rPr>
          <w:rFonts w:hint="eastAsia" w:ascii="宋体" w:hAnsi="宋体" w:eastAsia="宋体" w:cs="宋体"/>
          <w:color w:val="auto"/>
          <w:sz w:val="21"/>
          <w:szCs w:val="21"/>
          <w:highlight w:val="none"/>
        </w:rPr>
        <w:t>成交人不遵守磋商文件的要约、承诺，擅自修改磋商文件的内容或在接到成交通知书规定的时间内，借故拖延、拒签合同的，其磋商保证金不予退还，同时，将取消该成交人的成交资格。</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35.3</w:t>
      </w:r>
      <w:r>
        <w:rPr>
          <w:rFonts w:hint="eastAsia" w:ascii="宋体" w:hAnsi="宋体" w:eastAsia="宋体" w:cs="宋体"/>
          <w:color w:val="auto"/>
          <w:sz w:val="21"/>
          <w:szCs w:val="21"/>
          <w:highlight w:val="none"/>
        </w:rPr>
        <w:t>签约后即为磋商结束。响应文件一律不退。</w:t>
      </w:r>
    </w:p>
    <w:p>
      <w:pPr>
        <w:pStyle w:val="2"/>
        <w:keepNext w:val="0"/>
        <w:keepLines w:val="0"/>
        <w:pageBreakBefore w:val="0"/>
        <w:widowControl w:val="0"/>
        <w:kinsoku/>
        <w:wordWrap/>
        <w:overflowPunct/>
        <w:topLinePunct w:val="0"/>
        <w:autoSpaceDE/>
        <w:autoSpaceDN/>
        <w:bidi w:val="0"/>
        <w:adjustRightInd/>
        <w:spacing w:after="0" w:line="420" w:lineRule="exact"/>
        <w:ind w:left="0" w:leftChars="0" w:firstLine="420" w:firstLineChars="200"/>
        <w:textAlignment w:val="auto"/>
        <w:rPr>
          <w:rFonts w:hint="eastAsia"/>
          <w:color w:val="auto"/>
          <w:highlight w:val="none"/>
        </w:rPr>
      </w:pPr>
      <w:r>
        <w:rPr>
          <w:rFonts w:hint="eastAsia" w:ascii="宋体" w:hAnsi="宋体" w:cs="宋体"/>
          <w:color w:val="auto"/>
          <w:kern w:val="2"/>
          <w:sz w:val="21"/>
          <w:szCs w:val="21"/>
          <w:highlight w:val="none"/>
          <w:lang w:val="en-US" w:eastAsia="zh-CN" w:bidi="ar-SA"/>
        </w:rPr>
        <w:t>35.4</w:t>
      </w:r>
      <w:r>
        <w:rPr>
          <w:rFonts w:hint="eastAsia" w:ascii="宋体" w:hAnsi="宋体" w:eastAsia="宋体" w:cs="宋体"/>
          <w:color w:val="auto"/>
          <w:kern w:val="2"/>
          <w:sz w:val="21"/>
          <w:szCs w:val="21"/>
          <w:highlight w:val="none"/>
          <w:lang w:val="en-US" w:eastAsia="zh-CN" w:bidi="ar-SA"/>
        </w:rPr>
        <w:t>中标供应商可以凭借政府采购合同获得商业银行贷款。</w:t>
      </w:r>
    </w:p>
    <w:p>
      <w:pPr>
        <w:keepNext w:val="0"/>
        <w:keepLines w:val="0"/>
        <w:pageBreakBefore w:val="0"/>
        <w:widowControl w:val="0"/>
        <w:numPr>
          <w:ilvl w:val="0"/>
          <w:numId w:val="15"/>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质疑与投诉</w:t>
      </w:r>
    </w:p>
    <w:p>
      <w:pPr>
        <w:keepNext w:val="0"/>
        <w:keepLines w:val="0"/>
        <w:pageBreakBefore w:val="0"/>
        <w:widowControl w:val="0"/>
        <w:kinsoku/>
        <w:wordWrap/>
        <w:overflowPunct/>
        <w:topLinePunct w:val="0"/>
        <w:bidi w:val="0"/>
        <w:snapToGrid w:val="0"/>
        <w:spacing w:line="420" w:lineRule="exact"/>
        <w:ind w:firstLine="420" w:firstLineChars="200"/>
        <w:textAlignment w:val="auto"/>
        <w:outlineLvl w:val="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中华人民共和国政府采购法》、《中华人民共和国政府采购法实施条例》、《财政部关于加强政府采购供应商投诉受理审查工作的通知》(财库〔2007〕1号)和《浙江省政府采购供应商质疑处理办法》（浙财采监〔2012〕18号）的规定，政府采购供应商可以依法提起质疑和投诉。</w:t>
      </w:r>
    </w:p>
    <w:p>
      <w:pPr>
        <w:keepNext w:val="0"/>
        <w:keepLines w:val="0"/>
        <w:pageBreakBefore w:val="0"/>
        <w:widowControl w:val="0"/>
        <w:numPr>
          <w:ilvl w:val="1"/>
          <w:numId w:val="1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供应商询问</w:t>
      </w:r>
    </w:p>
    <w:p>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供应商对政府采购活动事项有疑问的，可以向采购机构提出询问，采购机构在3个工作日内作出答复，但答复的内容不得涉及商业秘密。</w:t>
      </w:r>
    </w:p>
    <w:p>
      <w:pPr>
        <w:keepNext w:val="0"/>
        <w:keepLines w:val="0"/>
        <w:pageBreakBefore w:val="0"/>
        <w:widowControl w:val="0"/>
        <w:numPr>
          <w:ilvl w:val="1"/>
          <w:numId w:val="16"/>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供应商质疑</w:t>
      </w:r>
    </w:p>
    <w:p>
      <w:pPr>
        <w:keepNext w:val="0"/>
        <w:keepLines w:val="0"/>
        <w:pageBreakBefore w:val="0"/>
        <w:widowControl w:val="0"/>
        <w:numPr>
          <w:ilvl w:val="0"/>
          <w:numId w:val="0"/>
        </w:numPr>
        <w:kinsoku/>
        <w:wordWrap/>
        <w:overflowPunct/>
        <w:topLinePunct w:val="0"/>
        <w:bidi w:val="0"/>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37.1</w:t>
      </w:r>
      <w:r>
        <w:rPr>
          <w:rFonts w:hint="eastAsia" w:ascii="宋体" w:hAnsi="宋体" w:eastAsia="宋体" w:cs="宋体"/>
          <w:color w:val="auto"/>
          <w:sz w:val="21"/>
          <w:szCs w:val="21"/>
          <w:highlight w:val="none"/>
        </w:rPr>
        <w:t>供应商认为采购文件、采购过程和中标、成交结果使自己的权益受到损害的，可以在知道或者应知其权益受到损害之日起七个工作日内，以书面形式向采购机构提出质疑。</w:t>
      </w:r>
    </w:p>
    <w:p>
      <w:pPr>
        <w:keepNext w:val="0"/>
        <w:keepLines w:val="0"/>
        <w:pageBreakBefore w:val="0"/>
        <w:widowControl w:val="0"/>
        <w:kinsoku/>
        <w:wordWrap/>
        <w:overflowPunct/>
        <w:topLinePunct w:val="0"/>
        <w:bidi w:val="0"/>
        <w:snapToGrid w:val="0"/>
        <w:spacing w:line="420" w:lineRule="exact"/>
        <w:ind w:left="5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政府采购法第五十二条规定的供应商应知其权益受到损害之日，是指：</w:t>
      </w:r>
    </w:p>
    <w:p>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（1）对可以质疑的采购文件提出质疑的，为收到采购文件之日或采购文件公告期限届满之日；</w:t>
      </w:r>
    </w:p>
    <w:p>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（3）对成交结果提出质疑的，为成交结果公告期限届满之日。</w:t>
      </w:r>
    </w:p>
    <w:p>
      <w:pPr>
        <w:pStyle w:val="49"/>
        <w:keepNext w:val="0"/>
        <w:keepLines w:val="0"/>
        <w:pageBreakBefore w:val="0"/>
        <w:widowControl w:val="0"/>
        <w:numPr>
          <w:ilvl w:val="0"/>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0"/>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0"/>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0"/>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0"/>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1"/>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pStyle w:val="49"/>
        <w:keepNext w:val="0"/>
        <w:keepLines w:val="0"/>
        <w:pageBreakBefore w:val="0"/>
        <w:widowControl w:val="0"/>
        <w:numPr>
          <w:ilvl w:val="2"/>
          <w:numId w:val="17"/>
        </w:numPr>
        <w:kinsoku/>
        <w:wordWrap/>
        <w:overflowPunct/>
        <w:topLinePunct w:val="0"/>
        <w:bidi w:val="0"/>
        <w:snapToGrid w:val="0"/>
        <w:spacing w:line="420" w:lineRule="exact"/>
        <w:ind w:firstLineChars="0"/>
        <w:textAlignment w:val="auto"/>
        <w:rPr>
          <w:rFonts w:hint="eastAsia" w:ascii="宋体" w:hAnsi="宋体" w:eastAsia="宋体" w:cs="宋体"/>
          <w:bCs/>
          <w:vanish/>
          <w:color w:val="auto"/>
          <w:sz w:val="21"/>
          <w:szCs w:val="21"/>
          <w:highlight w:val="none"/>
        </w:rPr>
      </w:pPr>
    </w:p>
    <w:p>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37.2供应商质疑应当有明确的请求和必要的证明材料。供应商提交的质疑书需一式三份，由法定代表人（负责人）签字（或盖章）并加盖单位公章。质疑书至少应包括下列主要内容：</w:t>
      </w:r>
    </w:p>
    <w:p>
      <w:pPr>
        <w:pStyle w:val="43"/>
        <w:keepNext w:val="0"/>
        <w:keepLines w:val="0"/>
        <w:pageBreakBefore w:val="0"/>
        <w:widowControl w:val="0"/>
        <w:kinsoku/>
        <w:wordWrap/>
        <w:overflowPunct/>
        <w:topLinePunct w:val="0"/>
        <w:bidi w:val="0"/>
        <w:snapToGrid w:val="0"/>
        <w:spacing w:before="0" w:line="420" w:lineRule="exact"/>
        <w:ind w:firstLine="5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（1）质疑人的名称、地址、邮政编码、联系人、联系电话，以及被质疑人名称及联系方式；</w:t>
      </w:r>
    </w:p>
    <w:p>
      <w:pPr>
        <w:pStyle w:val="43"/>
        <w:keepNext w:val="0"/>
        <w:keepLines w:val="0"/>
        <w:pageBreakBefore w:val="0"/>
        <w:widowControl w:val="0"/>
        <w:kinsoku/>
        <w:wordWrap/>
        <w:overflowPunct/>
        <w:topLinePunct w:val="0"/>
        <w:bidi w:val="0"/>
        <w:snapToGrid w:val="0"/>
        <w:spacing w:before="0" w:line="420" w:lineRule="exact"/>
        <w:ind w:firstLine="5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（2）被质疑采购项目名称、编号及采购内容；</w:t>
      </w:r>
    </w:p>
    <w:p>
      <w:pPr>
        <w:pStyle w:val="43"/>
        <w:keepNext w:val="0"/>
        <w:keepLines w:val="0"/>
        <w:pageBreakBefore w:val="0"/>
        <w:widowControl w:val="0"/>
        <w:kinsoku/>
        <w:wordWrap/>
        <w:overflowPunct/>
        <w:topLinePunct w:val="0"/>
        <w:bidi w:val="0"/>
        <w:snapToGrid w:val="0"/>
        <w:spacing w:before="0" w:line="420" w:lineRule="exact"/>
        <w:ind w:firstLine="5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（3）具体的质疑事项及事实依据；</w:t>
      </w:r>
    </w:p>
    <w:p>
      <w:pPr>
        <w:pStyle w:val="43"/>
        <w:keepNext w:val="0"/>
        <w:keepLines w:val="0"/>
        <w:pageBreakBefore w:val="0"/>
        <w:widowControl w:val="0"/>
        <w:numPr>
          <w:ilvl w:val="0"/>
          <w:numId w:val="18"/>
        </w:numPr>
        <w:kinsoku/>
        <w:wordWrap/>
        <w:overflowPunct/>
        <w:topLinePunct w:val="0"/>
        <w:bidi w:val="0"/>
        <w:snapToGrid w:val="0"/>
        <w:spacing w:before="0" w:line="420" w:lineRule="exact"/>
        <w:ind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认为自己合法权益受到损害或可能受到损害的相关证据材料；</w:t>
      </w:r>
    </w:p>
    <w:p>
      <w:pPr>
        <w:keepNext w:val="0"/>
        <w:keepLines w:val="0"/>
        <w:pageBreakBefore w:val="0"/>
        <w:widowControl w:val="0"/>
        <w:numPr>
          <w:ilvl w:val="0"/>
          <w:numId w:val="18"/>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提出质疑的日期。</w:t>
      </w:r>
    </w:p>
    <w:p>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37.3采购机构应当在收到供应商的书面质疑后七个工作日内作出答复，并以书面形式通知质疑供应商和其他与质疑处理结果有利害关系的政府采购当事人，但答复的内容不得涉及商业秘密。</w:t>
      </w:r>
    </w:p>
    <w:p>
      <w:pPr>
        <w:keepNext w:val="0"/>
        <w:keepLines w:val="0"/>
        <w:pageBreakBefore w:val="0"/>
        <w:widowControl w:val="0"/>
        <w:kinsoku/>
        <w:wordWrap/>
        <w:overflowPunct/>
        <w:topLinePunct w:val="0"/>
        <w:bidi w:val="0"/>
        <w:snapToGrid w:val="0"/>
        <w:spacing w:line="420" w:lineRule="exact"/>
        <w:ind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38.供应商投诉</w:t>
      </w:r>
    </w:p>
    <w:p>
      <w:pPr>
        <w:keepNext w:val="0"/>
        <w:keepLines w:val="0"/>
        <w:pageBreakBefore w:val="0"/>
        <w:widowControl w:val="0"/>
        <w:kinsoku/>
        <w:wordWrap/>
        <w:overflowPunct/>
        <w:topLinePunct w:val="0"/>
        <w:bidi w:val="0"/>
        <w:snapToGrid w:val="0"/>
        <w:spacing w:line="42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质疑供应商对采购机构的答复不满意或者采购机构未在规定的时间内作出答复的，可以在答复期满后十五个工作日内向</w:t>
      </w:r>
      <w:r>
        <w:rPr>
          <w:rFonts w:hint="eastAsia" w:ascii="宋体" w:hAnsi="宋体" w:eastAsia="宋体" w:cs="宋体"/>
          <w:bCs/>
          <w:color w:val="auto"/>
          <w:sz w:val="21"/>
          <w:szCs w:val="21"/>
          <w:highlight w:val="none"/>
        </w:rPr>
        <w:t>同级政府采购监督管理部门</w:t>
      </w:r>
      <w:r>
        <w:rPr>
          <w:rFonts w:hint="eastAsia" w:ascii="宋体" w:hAnsi="宋体" w:eastAsia="宋体" w:cs="宋体"/>
          <w:color w:val="auto"/>
          <w:sz w:val="21"/>
          <w:szCs w:val="21"/>
          <w:highlight w:val="none"/>
        </w:rPr>
        <w:t>提出投诉。</w:t>
      </w:r>
    </w:p>
    <w:p>
      <w:pPr>
        <w:keepNext w:val="0"/>
        <w:keepLines w:val="0"/>
        <w:pageBreakBefore w:val="0"/>
        <w:widowControl w:val="0"/>
        <w:numPr>
          <w:ilvl w:val="0"/>
          <w:numId w:val="19"/>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35" w:name="_Toc457934635"/>
      <w:bookmarkStart w:id="36" w:name="_Toc359849108"/>
      <w:r>
        <w:rPr>
          <w:rFonts w:hint="eastAsia" w:ascii="宋体" w:hAnsi="宋体" w:eastAsia="宋体" w:cs="宋体"/>
          <w:b/>
          <w:color w:val="auto"/>
          <w:sz w:val="21"/>
          <w:szCs w:val="21"/>
          <w:highlight w:val="none"/>
        </w:rPr>
        <w:t>法律责任</w:t>
      </w:r>
      <w:bookmarkEnd w:id="35"/>
      <w:bookmarkEnd w:id="36"/>
    </w:p>
    <w:p>
      <w:pPr>
        <w:keepNext w:val="0"/>
        <w:keepLines w:val="0"/>
        <w:pageBreakBefore w:val="0"/>
        <w:widowControl w:val="0"/>
        <w:numPr>
          <w:ilvl w:val="1"/>
          <w:numId w:val="20"/>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39.1</w:t>
      </w:r>
      <w:r>
        <w:rPr>
          <w:rFonts w:hint="eastAsia" w:ascii="宋体" w:hAnsi="宋体" w:eastAsia="宋体" w:cs="宋体"/>
          <w:color w:val="auto"/>
          <w:sz w:val="21"/>
          <w:szCs w:val="21"/>
          <w:highlight w:val="none"/>
        </w:rPr>
        <w:t>提供虚假材料谋取成交的;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采取不正当手段诋毁、排挤其他供应商的;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39.3</w:t>
      </w:r>
      <w:r>
        <w:rPr>
          <w:rFonts w:hint="eastAsia" w:ascii="宋体" w:hAnsi="宋体" w:eastAsia="宋体" w:cs="宋体"/>
          <w:color w:val="auto"/>
          <w:sz w:val="21"/>
          <w:szCs w:val="21"/>
          <w:highlight w:val="none"/>
        </w:rPr>
        <w:t>与采购人、采购代理机构、其他供应商恶意串通的;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39.4</w:t>
      </w:r>
      <w:r>
        <w:rPr>
          <w:rFonts w:hint="eastAsia" w:ascii="宋体" w:hAnsi="宋体" w:eastAsia="宋体" w:cs="宋体"/>
          <w:color w:val="auto"/>
          <w:sz w:val="21"/>
          <w:szCs w:val="21"/>
          <w:highlight w:val="none"/>
        </w:rPr>
        <w:t>向采购人、采购代理机构行贿或者提供其他不正当利益的;</w:t>
      </w:r>
    </w:p>
    <w:p>
      <w:pPr>
        <w:keepNext w:val="0"/>
        <w:keepLines w:val="0"/>
        <w:pageBreakBefore w:val="0"/>
        <w:widowControl w:val="0"/>
        <w:numPr>
          <w:ilvl w:val="0"/>
          <w:numId w:val="0"/>
        </w:numPr>
        <w:kinsoku/>
        <w:wordWrap/>
        <w:overflowPunct/>
        <w:topLinePunct w:val="0"/>
        <w:bidi w:val="0"/>
        <w:snapToGrid w:val="0"/>
        <w:spacing w:line="420" w:lineRule="exact"/>
        <w:ind w:left="567"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39.5</w:t>
      </w:r>
      <w:r>
        <w:rPr>
          <w:rFonts w:hint="eastAsia" w:ascii="宋体" w:hAnsi="宋体" w:eastAsia="宋体" w:cs="宋体"/>
          <w:color w:val="auto"/>
          <w:sz w:val="21"/>
          <w:szCs w:val="21"/>
          <w:highlight w:val="none"/>
        </w:rPr>
        <w:t>在磋商过程中与采购人进行协商谈判、不按照磋商文件和成交人的响应文件订立合同,或者与采购人另行订立背离合同实质性内容的协议的;</w:t>
      </w:r>
    </w:p>
    <w:p>
      <w:pPr>
        <w:keepNext w:val="0"/>
        <w:keepLines w:val="0"/>
        <w:pageBreakBefore w:val="0"/>
        <w:widowControl w:val="0"/>
        <w:numPr>
          <w:ilvl w:val="0"/>
          <w:numId w:val="0"/>
        </w:numPr>
        <w:kinsoku/>
        <w:wordWrap/>
        <w:overflowPunct/>
        <w:topLinePunct w:val="0"/>
        <w:bidi w:val="0"/>
        <w:snapToGrid w:val="0"/>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39.6</w:t>
      </w:r>
      <w:r>
        <w:rPr>
          <w:rFonts w:hint="eastAsia" w:ascii="宋体" w:hAnsi="宋体" w:eastAsia="宋体" w:cs="宋体"/>
          <w:color w:val="auto"/>
          <w:sz w:val="21"/>
          <w:szCs w:val="21"/>
          <w:highlight w:val="none"/>
        </w:rPr>
        <w:t>拒绝有关部门监督检查或者提供虚假情况的；</w:t>
      </w:r>
    </w:p>
    <w:p>
      <w:pPr>
        <w:keepNext w:val="0"/>
        <w:keepLines w:val="0"/>
        <w:pageBreakBefore w:val="0"/>
        <w:widowControl w:val="0"/>
        <w:numPr>
          <w:ilvl w:val="0"/>
          <w:numId w:val="19"/>
        </w:numPr>
        <w:kinsoku/>
        <w:wordWrap/>
        <w:overflowPunct/>
        <w:topLinePunct w:val="0"/>
        <w:bidi w:val="0"/>
        <w:snapToGrid w:val="0"/>
        <w:spacing w:line="420" w:lineRule="exact"/>
        <w:textAlignment w:val="auto"/>
        <w:outlineLvl w:val="1"/>
        <w:rPr>
          <w:rFonts w:hint="eastAsia" w:ascii="宋体" w:hAnsi="宋体" w:eastAsia="宋体" w:cs="宋体"/>
          <w:b/>
          <w:color w:val="auto"/>
          <w:sz w:val="21"/>
          <w:szCs w:val="21"/>
          <w:highlight w:val="none"/>
        </w:rPr>
      </w:pPr>
      <w:bookmarkStart w:id="37" w:name="_Toc359849109"/>
      <w:bookmarkStart w:id="38" w:name="_Toc457934636"/>
      <w:r>
        <w:rPr>
          <w:rFonts w:hint="eastAsia" w:ascii="宋体" w:hAnsi="宋体" w:eastAsia="宋体" w:cs="宋体"/>
          <w:b/>
          <w:color w:val="auto"/>
          <w:sz w:val="21"/>
          <w:szCs w:val="21"/>
          <w:highlight w:val="none"/>
        </w:rPr>
        <w:t>其他</w:t>
      </w:r>
      <w:bookmarkEnd w:id="37"/>
      <w:bookmarkEnd w:id="38"/>
    </w:p>
    <w:p>
      <w:pPr>
        <w:keepNext w:val="0"/>
        <w:keepLines w:val="0"/>
        <w:pageBreakBefore w:val="0"/>
        <w:widowControl w:val="0"/>
        <w:numPr>
          <w:ilvl w:val="1"/>
          <w:numId w:val="20"/>
        </w:numPr>
        <w:kinsoku/>
        <w:wordWrap/>
        <w:overflowPunct/>
        <w:topLinePunct w:val="0"/>
        <w:bidi w:val="0"/>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解释权：本磋商文件是依据《政府采购法》及有关规定编制的，解释权属招标人。</w:t>
      </w:r>
    </w:p>
    <w:p>
      <w:pPr>
        <w:widowControl/>
        <w:spacing w:line="312" w:lineRule="auto"/>
        <w:jc w:val="center"/>
        <w:outlineLvl w:val="0"/>
        <w:rPr>
          <w:rFonts w:hint="eastAsia" w:ascii="宋体" w:hAnsi="宋体" w:cs="宋体"/>
          <w:b/>
          <w:bCs/>
          <w:color w:val="auto"/>
          <w:kern w:val="0"/>
          <w:sz w:val="30"/>
          <w:szCs w:val="30"/>
          <w:highlight w:val="none"/>
        </w:rPr>
      </w:pPr>
    </w:p>
    <w:p>
      <w:pPr>
        <w:widowControl/>
        <w:spacing w:line="312" w:lineRule="auto"/>
        <w:jc w:val="center"/>
        <w:outlineLvl w:val="0"/>
        <w:rPr>
          <w:rFonts w:hint="eastAsia" w:ascii="宋体" w:hAnsi="宋体" w:cs="宋体"/>
          <w:b/>
          <w:bCs/>
          <w:color w:val="auto"/>
          <w:kern w:val="0"/>
          <w:sz w:val="30"/>
          <w:szCs w:val="30"/>
          <w:highlight w:val="none"/>
        </w:rPr>
      </w:pPr>
    </w:p>
    <w:p>
      <w:pPr>
        <w:widowControl/>
        <w:spacing w:line="312" w:lineRule="auto"/>
        <w:jc w:val="center"/>
        <w:outlineLvl w:val="0"/>
        <w:rPr>
          <w:rFonts w:hint="eastAsia" w:ascii="宋体" w:hAnsi="宋体" w:cs="宋体"/>
          <w:b/>
          <w:bCs/>
          <w:color w:val="auto"/>
          <w:kern w:val="0"/>
          <w:sz w:val="30"/>
          <w:szCs w:val="30"/>
          <w:highlight w:val="none"/>
        </w:rPr>
      </w:pPr>
    </w:p>
    <w:p>
      <w:pPr>
        <w:widowControl/>
        <w:spacing w:line="312" w:lineRule="auto"/>
        <w:jc w:val="center"/>
        <w:outlineLvl w:val="0"/>
        <w:rPr>
          <w:rFonts w:hint="eastAsia" w:ascii="宋体" w:hAnsi="宋体" w:cs="宋体"/>
          <w:b/>
          <w:bCs/>
          <w:color w:val="auto"/>
          <w:kern w:val="0"/>
          <w:szCs w:val="21"/>
          <w:highlight w:val="none"/>
        </w:rPr>
      </w:pPr>
      <w:r>
        <w:rPr>
          <w:rFonts w:hint="eastAsia" w:ascii="宋体" w:hAnsi="宋体" w:cs="宋体"/>
          <w:b/>
          <w:bCs/>
          <w:color w:val="auto"/>
          <w:kern w:val="0"/>
          <w:sz w:val="30"/>
          <w:szCs w:val="30"/>
          <w:highlight w:val="none"/>
        </w:rPr>
        <w:br w:type="page"/>
      </w:r>
      <w:bookmarkEnd w:id="10"/>
      <w:bookmarkEnd w:id="11"/>
      <w:bookmarkEnd w:id="12"/>
      <w:bookmarkStart w:id="39" w:name="_Toc24323"/>
      <w:r>
        <w:rPr>
          <w:rFonts w:hint="eastAsia" w:ascii="宋体" w:hAnsi="宋体" w:cs="宋体"/>
          <w:b/>
          <w:bCs/>
          <w:color w:val="auto"/>
          <w:kern w:val="0"/>
          <w:sz w:val="30"/>
          <w:szCs w:val="30"/>
          <w:highlight w:val="none"/>
        </w:rPr>
        <w:t>第三部分 采购合同的主要条款</w:t>
      </w:r>
    </w:p>
    <w:p>
      <w:pPr>
        <w:widowControl w:val="0"/>
        <w:adjustRightInd w:val="0"/>
        <w:snapToGrid w:val="0"/>
        <w:spacing w:after="60" w:line="360" w:lineRule="auto"/>
        <w:jc w:val="center"/>
        <w:rPr>
          <w:rFonts w:hint="eastAsia" w:hAnsi="宋体"/>
          <w:b/>
          <w:color w:val="auto"/>
          <w:sz w:val="22"/>
          <w:szCs w:val="21"/>
          <w:highlight w:val="none"/>
        </w:rPr>
      </w:pPr>
      <w:bookmarkStart w:id="40" w:name="_Toc351725135"/>
      <w:bookmarkStart w:id="41" w:name="_Toc351898272"/>
      <w:bookmarkStart w:id="42" w:name="_Toc351729485"/>
      <w:r>
        <w:rPr>
          <w:rFonts w:hint="eastAsia" w:hAnsi="宋体"/>
          <w:b/>
          <w:color w:val="auto"/>
          <w:sz w:val="22"/>
          <w:szCs w:val="21"/>
          <w:highlight w:val="none"/>
        </w:rPr>
        <w:t>（本合同为样稿，最终稿由甲乙双方协商后确定，但不允许偏离</w:t>
      </w:r>
      <w:r>
        <w:rPr>
          <w:rFonts w:hint="eastAsia" w:hAnsi="宋体"/>
          <w:b/>
          <w:color w:val="auto"/>
          <w:sz w:val="22"/>
          <w:szCs w:val="21"/>
          <w:highlight w:val="none"/>
          <w:lang w:eastAsia="zh-CN"/>
        </w:rPr>
        <w:t>采购文件及</w:t>
      </w:r>
      <w:r>
        <w:rPr>
          <w:rFonts w:hint="eastAsia" w:hAnsi="宋体"/>
          <w:b/>
          <w:color w:val="auto"/>
          <w:sz w:val="22"/>
          <w:szCs w:val="21"/>
          <w:highlight w:val="none"/>
          <w:lang w:val="en-US" w:eastAsia="zh-CN"/>
        </w:rPr>
        <w:t>磋商响应</w:t>
      </w:r>
      <w:r>
        <w:rPr>
          <w:rFonts w:hint="eastAsia" w:hAnsi="宋体"/>
          <w:b/>
          <w:color w:val="auto"/>
          <w:sz w:val="22"/>
          <w:szCs w:val="21"/>
          <w:highlight w:val="none"/>
        </w:rPr>
        <w:t>文件）</w:t>
      </w:r>
    </w:p>
    <w:bookmarkEnd w:id="40"/>
    <w:bookmarkEnd w:id="41"/>
    <w:bookmarkEnd w:id="42"/>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int="eastAsia" w:hAnsi="宋体" w:eastAsia="宋体"/>
          <w:color w:val="auto"/>
          <w:highlight w:val="none"/>
          <w:lang w:eastAsia="zh-CN"/>
        </w:rPr>
      </w:pPr>
      <w:r>
        <w:rPr>
          <w:rFonts w:hint="eastAsia" w:hAnsi="宋体"/>
          <w:color w:val="auto"/>
          <w:highlight w:val="none"/>
        </w:rPr>
        <w:t>项目名称：</w:t>
      </w:r>
      <w:r>
        <w:rPr>
          <w:rFonts w:hint="eastAsia" w:hAnsi="宋体"/>
          <w:color w:val="auto"/>
          <w:highlight w:val="none"/>
          <w:lang w:val="en-US" w:eastAsia="zh-CN"/>
        </w:rPr>
        <w:t xml:space="preserve"> </w:t>
      </w:r>
    </w:p>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int="eastAsia" w:hAnsi="宋体"/>
          <w:bCs/>
          <w:color w:val="auto"/>
          <w:highlight w:val="none"/>
          <w:lang w:val="en-US" w:eastAsia="zh-CN"/>
        </w:rPr>
      </w:pPr>
      <w:r>
        <w:rPr>
          <w:rFonts w:hint="eastAsia" w:hAnsi="宋体"/>
          <w:color w:val="auto"/>
          <w:highlight w:val="none"/>
        </w:rPr>
        <w:t>项目编号：</w:t>
      </w:r>
      <w:r>
        <w:rPr>
          <w:rFonts w:hint="eastAsia" w:hAnsi="宋体"/>
          <w:bCs/>
          <w:color w:val="auto"/>
          <w:highlight w:val="none"/>
          <w:lang w:val="en-US" w:eastAsia="zh-CN"/>
        </w:rPr>
        <w:t xml:space="preserve"> </w:t>
      </w:r>
    </w:p>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int="eastAsia" w:hAnsi="宋体" w:eastAsia="宋体"/>
          <w:bCs/>
          <w:color w:val="auto"/>
          <w:highlight w:val="none"/>
          <w:lang w:eastAsia="zh-CN"/>
        </w:rPr>
      </w:pPr>
      <w:r>
        <w:rPr>
          <w:rFonts w:hint="eastAsia" w:hAnsi="宋体"/>
          <w:color w:val="auto"/>
          <w:highlight w:val="none"/>
        </w:rPr>
        <w:t>甲方：（买方）</w:t>
      </w:r>
      <w:r>
        <w:rPr>
          <w:rFonts w:hint="eastAsia" w:hAnsi="宋体"/>
          <w:bCs/>
          <w:color w:val="auto"/>
          <w:highlight w:val="none"/>
          <w:lang w:val="en-US" w:eastAsia="zh-CN"/>
        </w:rPr>
        <w:t xml:space="preserve"> </w:t>
      </w:r>
    </w:p>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Ansi="宋体"/>
          <w:color w:val="auto"/>
          <w:highlight w:val="none"/>
        </w:rPr>
      </w:pPr>
      <w:r>
        <w:rPr>
          <w:rFonts w:hint="eastAsia" w:hAnsi="宋体"/>
          <w:color w:val="auto"/>
          <w:highlight w:val="none"/>
          <w:lang w:eastAsia="zh-CN"/>
        </w:rPr>
        <w:t>乙方</w:t>
      </w:r>
      <w:r>
        <w:rPr>
          <w:rFonts w:hint="eastAsia" w:hAnsi="宋体"/>
          <w:color w:val="auto"/>
          <w:highlight w:val="none"/>
        </w:rPr>
        <w:t>：（卖方）</w:t>
      </w:r>
    </w:p>
    <w:p>
      <w:pPr>
        <w:pStyle w:val="11"/>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Ansi="宋体"/>
          <w:b/>
          <w:color w:val="auto"/>
          <w:highlight w:val="none"/>
        </w:rPr>
      </w:pPr>
      <w:r>
        <w:rPr>
          <w:rFonts w:hint="eastAsia" w:hAnsi="宋体"/>
          <w:color w:val="auto"/>
          <w:highlight w:val="none"/>
        </w:rPr>
        <w:t>甲、乙双方根据《中华人民共和国政府采购法》、《中华人民共和国合同法》和_______________________项目招标文件的相关规定，双方达成一致签署本合同。</w:t>
      </w:r>
    </w:p>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int="eastAsia" w:hAnsi="宋体"/>
          <w:b/>
          <w:color w:val="auto"/>
          <w:highlight w:val="none"/>
        </w:rPr>
      </w:pPr>
      <w:r>
        <w:rPr>
          <w:rFonts w:hint="eastAsia" w:hAnsi="宋体"/>
          <w:b/>
          <w:color w:val="auto"/>
          <w:highlight w:val="none"/>
        </w:rPr>
        <w:t>一、货物内容及金额</w:t>
      </w:r>
    </w:p>
    <w:tbl>
      <w:tblPr>
        <w:tblStyle w:val="23"/>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014"/>
        <w:gridCol w:w="1527"/>
        <w:gridCol w:w="1886"/>
        <w:gridCol w:w="123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4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产品名称</w:t>
            </w:r>
          </w:p>
        </w:tc>
        <w:tc>
          <w:tcPr>
            <w:tcW w:w="201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hint="eastAsia" w:ascii="Arial" w:hAnsi="宋体" w:cs="Arial"/>
                <w:color w:val="auto"/>
                <w:szCs w:val="21"/>
                <w:highlight w:val="none"/>
              </w:rPr>
              <w:t>规格</w:t>
            </w: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计划数量（吨）</w:t>
            </w: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hint="eastAsia" w:ascii="Arial" w:hAnsi="宋体" w:cs="Arial"/>
                <w:color w:val="auto"/>
                <w:szCs w:val="21"/>
                <w:highlight w:val="none"/>
                <w:lang w:eastAsia="zh-CN"/>
              </w:rPr>
              <w:t>出</w:t>
            </w:r>
            <w:r>
              <w:rPr>
                <w:rFonts w:ascii="Arial" w:hAnsi="宋体" w:cs="Arial"/>
                <w:color w:val="auto"/>
                <w:szCs w:val="21"/>
                <w:highlight w:val="none"/>
              </w:rPr>
              <w:t>场单价</w:t>
            </w:r>
            <w:r>
              <w:rPr>
                <w:rFonts w:ascii="Arial" w:hAnsi="Arial" w:cs="Arial"/>
                <w:color w:val="auto"/>
                <w:szCs w:val="21"/>
                <w:highlight w:val="none"/>
              </w:rPr>
              <w:t>(</w:t>
            </w:r>
            <w:r>
              <w:rPr>
                <w:rFonts w:ascii="Arial" w:hAnsi="宋体" w:cs="Arial"/>
                <w:color w:val="auto"/>
                <w:szCs w:val="21"/>
                <w:highlight w:val="none"/>
              </w:rPr>
              <w:t>元</w:t>
            </w:r>
            <w:r>
              <w:rPr>
                <w:rFonts w:ascii="Arial" w:hAnsi="Arial" w:cs="Arial"/>
                <w:color w:val="auto"/>
                <w:szCs w:val="21"/>
                <w:highlight w:val="none"/>
              </w:rPr>
              <w:t>/</w:t>
            </w:r>
            <w:r>
              <w:rPr>
                <w:rFonts w:ascii="Arial" w:hAnsi="宋体" w:cs="Arial"/>
                <w:color w:val="auto"/>
                <w:szCs w:val="21"/>
                <w:highlight w:val="none"/>
              </w:rPr>
              <w:t>吨</w:t>
            </w:r>
            <w:r>
              <w:rPr>
                <w:rFonts w:ascii="Arial" w:hAnsi="Arial" w:cs="Arial"/>
                <w:color w:val="auto"/>
                <w:szCs w:val="21"/>
                <w:highlight w:val="none"/>
              </w:rPr>
              <w:t>)</w:t>
            </w: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金额（元）</w:t>
            </w: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4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Arial" w:hAnsi="Arial" w:cs="Arial"/>
                <w:color w:val="auto"/>
                <w:szCs w:val="21"/>
                <w:highlight w:val="none"/>
              </w:rPr>
            </w:pPr>
          </w:p>
        </w:tc>
        <w:tc>
          <w:tcPr>
            <w:tcW w:w="201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宋体" w:cs="Arial"/>
                <w:color w:val="auto"/>
                <w:kern w:val="0"/>
                <w:sz w:val="22"/>
                <w:szCs w:val="22"/>
                <w:highlight w:val="none"/>
              </w:rPr>
            </w:pP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4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Arial" w:hAnsi="宋体" w:cs="Arial"/>
                <w:color w:val="auto"/>
                <w:kern w:val="0"/>
                <w:sz w:val="22"/>
                <w:szCs w:val="22"/>
                <w:highlight w:val="none"/>
              </w:rPr>
            </w:pPr>
          </w:p>
        </w:tc>
        <w:tc>
          <w:tcPr>
            <w:tcW w:w="201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宋体" w:cs="Arial"/>
                <w:color w:val="auto"/>
                <w:kern w:val="0"/>
                <w:sz w:val="22"/>
                <w:szCs w:val="22"/>
                <w:highlight w:val="none"/>
              </w:rPr>
            </w:pP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4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Arial" w:hAnsi="宋体" w:cs="Arial"/>
                <w:color w:val="auto"/>
                <w:kern w:val="0"/>
                <w:sz w:val="22"/>
                <w:szCs w:val="22"/>
                <w:highlight w:val="none"/>
              </w:rPr>
            </w:pPr>
          </w:p>
        </w:tc>
        <w:tc>
          <w:tcPr>
            <w:tcW w:w="201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宋体" w:cs="Arial"/>
                <w:color w:val="auto"/>
                <w:kern w:val="0"/>
                <w:sz w:val="22"/>
                <w:szCs w:val="22"/>
                <w:highlight w:val="none"/>
              </w:rPr>
            </w:pP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54" w:type="dxa"/>
            <w:gridSpan w:val="2"/>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合</w:t>
            </w:r>
            <w:r>
              <w:rPr>
                <w:rFonts w:ascii="Arial" w:hAnsi="Arial" w:cs="Arial"/>
                <w:color w:val="auto"/>
                <w:szCs w:val="21"/>
                <w:highlight w:val="none"/>
              </w:rPr>
              <w:t xml:space="preserve">    </w:t>
            </w:r>
            <w:r>
              <w:rPr>
                <w:rFonts w:ascii="Arial" w:hAnsi="宋体" w:cs="Arial"/>
                <w:color w:val="auto"/>
                <w:szCs w:val="21"/>
                <w:highlight w:val="none"/>
              </w:rPr>
              <w:t>计</w:t>
            </w: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r>
    </w:tbl>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b w:val="0"/>
          <w:bCs w:val="0"/>
          <w:color w:val="auto"/>
          <w:sz w:val="21"/>
          <w:szCs w:val="21"/>
          <w:highlight w:val="none"/>
        </w:rPr>
      </w:pPr>
      <w:r>
        <w:rPr>
          <w:rFonts w:hint="eastAsia" w:hAnsi="宋体"/>
          <w:b w:val="0"/>
          <w:bCs/>
          <w:color w:val="auto"/>
          <w:highlight w:val="none"/>
          <w:u w:val="none"/>
        </w:rPr>
        <w:t>本合同</w:t>
      </w:r>
      <w:r>
        <w:rPr>
          <w:rFonts w:hint="eastAsia" w:hAnsi="宋体"/>
          <w:b w:val="0"/>
          <w:bCs/>
          <w:color w:val="auto"/>
          <w:highlight w:val="none"/>
          <w:u w:val="none"/>
          <w:lang w:eastAsia="zh-CN"/>
        </w:rPr>
        <w:t>为固定单价合同</w:t>
      </w:r>
      <w:r>
        <w:rPr>
          <w:rFonts w:hint="eastAsia" w:hAnsi="宋体"/>
          <w:b w:val="0"/>
          <w:bCs/>
          <w:color w:val="auto"/>
          <w:highlight w:val="none"/>
          <w:u w:val="none"/>
        </w:rPr>
        <w:t>。综合单价</w:t>
      </w:r>
      <w:r>
        <w:rPr>
          <w:rFonts w:hint="eastAsia" w:hAnsi="宋体"/>
          <w:b w:val="0"/>
          <w:bCs/>
          <w:color w:val="auto"/>
          <w:highlight w:val="none"/>
          <w:u w:val="none"/>
          <w:lang w:val="en-US" w:eastAsia="zh-CN"/>
        </w:rPr>
        <w:t>包含但不限于</w:t>
      </w:r>
      <w:r>
        <w:rPr>
          <w:rFonts w:hint="eastAsia" w:hAnsi="宋体"/>
          <w:b w:val="0"/>
          <w:bCs/>
          <w:color w:val="auto"/>
          <w:highlight w:val="none"/>
          <w:u w:val="none"/>
          <w:lang w:eastAsia="zh-CN"/>
        </w:rPr>
        <w:t>场地建设费、</w:t>
      </w:r>
      <w:r>
        <w:rPr>
          <w:rFonts w:hint="eastAsia" w:hAnsi="宋体"/>
          <w:b w:val="0"/>
          <w:bCs/>
          <w:color w:val="auto"/>
          <w:highlight w:val="none"/>
          <w:u w:val="none"/>
          <w:lang w:val="en-US" w:eastAsia="zh-CN"/>
        </w:rPr>
        <w:t>制砂/石</w:t>
      </w:r>
      <w:r>
        <w:rPr>
          <w:rFonts w:hint="eastAsia" w:hAnsi="宋体"/>
          <w:b w:val="0"/>
          <w:bCs/>
          <w:color w:val="auto"/>
          <w:highlight w:val="none"/>
          <w:u w:val="none"/>
          <w:lang w:eastAsia="zh-CN"/>
        </w:rPr>
        <w:t>设备费、</w:t>
      </w:r>
      <w:r>
        <w:rPr>
          <w:rFonts w:hint="eastAsia" w:hAnsi="宋体"/>
          <w:b w:val="0"/>
          <w:bCs/>
          <w:color w:val="auto"/>
          <w:highlight w:val="none"/>
          <w:u w:val="none"/>
          <w:lang w:val="en-US" w:eastAsia="zh-CN"/>
        </w:rPr>
        <w:t>环保设备费、废渣尾渣处置费、</w:t>
      </w:r>
      <w:r>
        <w:rPr>
          <w:rFonts w:hint="eastAsia" w:hAnsi="宋体"/>
          <w:b w:val="0"/>
          <w:bCs/>
          <w:color w:val="auto"/>
          <w:highlight w:val="none"/>
          <w:u w:val="none"/>
          <w:lang w:eastAsia="zh-CN"/>
        </w:rPr>
        <w:t>加工费</w:t>
      </w:r>
      <w:r>
        <w:rPr>
          <w:rFonts w:hint="eastAsia" w:hAnsi="宋体"/>
          <w:b w:val="0"/>
          <w:bCs/>
          <w:color w:val="auto"/>
          <w:highlight w:val="none"/>
          <w:u w:val="none"/>
        </w:rPr>
        <w:t>、临时存放保管费</w:t>
      </w:r>
      <w:r>
        <w:rPr>
          <w:rFonts w:hint="eastAsia" w:hAnsi="宋体"/>
          <w:b w:val="0"/>
          <w:bCs/>
          <w:color w:val="auto"/>
          <w:highlight w:val="none"/>
          <w:u w:val="none"/>
          <w:lang w:eastAsia="zh-CN"/>
        </w:rPr>
        <w:t>、</w:t>
      </w:r>
      <w:r>
        <w:rPr>
          <w:rFonts w:hint="eastAsia" w:hAnsi="宋体"/>
          <w:b w:val="0"/>
          <w:bCs/>
          <w:color w:val="auto"/>
          <w:highlight w:val="none"/>
          <w:u w:val="none"/>
        </w:rPr>
        <w:t>分批供货费</w:t>
      </w:r>
      <w:r>
        <w:rPr>
          <w:rFonts w:hint="eastAsia" w:hAnsi="宋体"/>
          <w:b w:val="0"/>
          <w:bCs/>
          <w:color w:val="auto"/>
          <w:highlight w:val="none"/>
          <w:u w:val="none"/>
          <w:lang w:eastAsia="zh-CN"/>
        </w:rPr>
        <w:t>、场内</w:t>
      </w:r>
      <w:r>
        <w:rPr>
          <w:rFonts w:hint="eastAsia" w:hAnsi="宋体"/>
          <w:b w:val="0"/>
          <w:bCs/>
          <w:color w:val="auto"/>
          <w:highlight w:val="none"/>
          <w:u w:val="none"/>
        </w:rPr>
        <w:t>运输费、装卸费、</w:t>
      </w:r>
      <w:r>
        <w:rPr>
          <w:rFonts w:hint="eastAsia" w:hAnsi="宋体"/>
          <w:b w:val="0"/>
          <w:bCs/>
          <w:color w:val="auto"/>
          <w:highlight w:val="none"/>
          <w:u w:val="none"/>
          <w:lang w:eastAsia="zh-CN"/>
        </w:rPr>
        <w:t>保险费、</w:t>
      </w:r>
      <w:r>
        <w:rPr>
          <w:rFonts w:hint="eastAsia" w:hAnsi="宋体"/>
          <w:b w:val="0"/>
          <w:bCs/>
          <w:color w:val="auto"/>
          <w:highlight w:val="none"/>
          <w:u w:val="none"/>
        </w:rPr>
        <w:t>检测费、</w:t>
      </w:r>
      <w:r>
        <w:rPr>
          <w:rFonts w:hint="eastAsia" w:hAnsi="宋体"/>
          <w:b w:val="0"/>
          <w:bCs/>
          <w:color w:val="auto"/>
          <w:highlight w:val="none"/>
          <w:u w:val="none"/>
          <w:lang w:val="en-US" w:eastAsia="zh-CN"/>
        </w:rPr>
        <w:t>机械检修费、耗材燃料费、</w:t>
      </w:r>
      <w:r>
        <w:rPr>
          <w:rFonts w:hint="eastAsia" w:hAnsi="宋体"/>
          <w:b w:val="0"/>
          <w:bCs/>
          <w:color w:val="auto"/>
          <w:highlight w:val="none"/>
          <w:u w:val="none"/>
        </w:rPr>
        <w:t>人工费、税金等及完成合同所需的一切本身和不可或缺的其它开支、政策性文件规定及所有风险、责任等各项费用。</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hAnsi="宋体"/>
          <w:b w:val="0"/>
          <w:bCs/>
          <w:color w:val="auto"/>
          <w:highlight w:val="none"/>
          <w:u w:val="none"/>
          <w:lang w:eastAsia="zh-CN"/>
        </w:rPr>
      </w:pPr>
      <w:r>
        <w:rPr>
          <w:rFonts w:hint="eastAsia" w:hAnsi="宋体"/>
          <w:b w:val="0"/>
          <w:bCs/>
          <w:color w:val="auto"/>
          <w:highlight w:val="none"/>
          <w:u w:val="none"/>
          <w:lang w:eastAsia="zh-CN"/>
        </w:rPr>
        <w:t>具体成品料规格由甲方根据施工需求而定，乙方须无条件满足成品料规格的调整需求。</w:t>
      </w:r>
    </w:p>
    <w:p>
      <w:pPr>
        <w:pStyle w:val="11"/>
        <w:keepNext w:val="0"/>
        <w:keepLines w:val="0"/>
        <w:pageBreakBefore w:val="0"/>
        <w:widowControl w:val="0"/>
        <w:kinsoku/>
        <w:wordWrap/>
        <w:overflowPunct/>
        <w:topLinePunct w:val="0"/>
        <w:autoSpaceDE/>
        <w:autoSpaceDN/>
        <w:bidi w:val="0"/>
        <w:snapToGrid w:val="0"/>
        <w:spacing w:line="440" w:lineRule="exact"/>
        <w:jc w:val="left"/>
        <w:textAlignment w:val="auto"/>
        <w:rPr>
          <w:rFonts w:hint="eastAsia" w:hAnsi="宋体"/>
          <w:b/>
          <w:color w:val="auto"/>
          <w:highlight w:val="none"/>
          <w:lang w:val="en-US" w:eastAsia="zh-CN"/>
        </w:rPr>
      </w:pPr>
      <w:r>
        <w:rPr>
          <w:rFonts w:hint="eastAsia" w:hAnsi="宋体"/>
          <w:b/>
          <w:color w:val="auto"/>
          <w:highlight w:val="none"/>
          <w:lang w:val="en-US" w:eastAsia="zh-CN"/>
        </w:rPr>
        <w:t>二、技术资料</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hAnsi="宋体"/>
          <w:color w:val="auto"/>
          <w:highlight w:val="none"/>
        </w:rPr>
      </w:pPr>
      <w:r>
        <w:rPr>
          <w:rFonts w:hint="eastAsia" w:hAnsi="宋体"/>
          <w:color w:val="auto"/>
          <w:highlight w:val="none"/>
          <w:lang w:eastAsia="zh-CN"/>
        </w:rPr>
        <w:t>乙方</w:t>
      </w:r>
      <w:r>
        <w:rPr>
          <w:rFonts w:hint="eastAsia" w:hAnsi="宋体"/>
          <w:color w:val="auto"/>
          <w:highlight w:val="none"/>
        </w:rPr>
        <w:t>应按招标文件规定的时间向甲方提供使用货物的有关技术资料、检验检测报告等。</w:t>
      </w:r>
    </w:p>
    <w:p>
      <w:pPr>
        <w:pStyle w:val="11"/>
        <w:keepNext w:val="0"/>
        <w:keepLines w:val="0"/>
        <w:pageBreakBefore w:val="0"/>
        <w:widowControl w:val="0"/>
        <w:kinsoku/>
        <w:wordWrap/>
        <w:overflowPunct/>
        <w:topLinePunct w:val="0"/>
        <w:autoSpaceDE/>
        <w:autoSpaceDN/>
        <w:bidi w:val="0"/>
        <w:snapToGrid w:val="0"/>
        <w:spacing w:line="440" w:lineRule="exact"/>
        <w:jc w:val="left"/>
        <w:textAlignment w:val="auto"/>
        <w:rPr>
          <w:rFonts w:hint="eastAsia" w:hAnsi="宋体"/>
          <w:b/>
          <w:color w:val="auto"/>
          <w:highlight w:val="none"/>
          <w:lang w:val="en-US" w:eastAsia="zh-CN"/>
        </w:rPr>
      </w:pPr>
      <w:r>
        <w:rPr>
          <w:rFonts w:hint="eastAsia" w:hAnsi="宋体"/>
          <w:b/>
          <w:color w:val="auto"/>
          <w:highlight w:val="none"/>
          <w:lang w:val="en-US" w:eastAsia="zh-CN"/>
        </w:rPr>
        <w:t>三、砂石加工要求：</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2"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1、产能及设备</w:t>
      </w:r>
      <w:r>
        <w:rPr>
          <w:rFonts w:hint="eastAsia" w:ascii="宋体" w:hAnsi="宋体" w:eastAsia="宋体" w:cs="宋体"/>
          <w:color w:val="auto"/>
          <w:sz w:val="21"/>
          <w:szCs w:val="21"/>
          <w:highlight w:val="none"/>
          <w:lang w:val="en-US" w:eastAsia="zh-CN"/>
        </w:rPr>
        <w:t>：由</w:t>
      </w:r>
      <w:r>
        <w:rPr>
          <w:rFonts w:hint="eastAsia" w:hAnsi="宋体" w:eastAsia="宋体"/>
          <w:color w:val="auto"/>
          <w:highlight w:val="none"/>
          <w:lang w:eastAsia="zh-CN"/>
        </w:rPr>
        <w:t>乙方</w:t>
      </w:r>
      <w:r>
        <w:rPr>
          <w:rFonts w:hint="eastAsia" w:ascii="宋体" w:hAnsi="宋体" w:eastAsia="宋体" w:cs="宋体"/>
          <w:color w:val="auto"/>
          <w:sz w:val="21"/>
          <w:szCs w:val="21"/>
          <w:highlight w:val="none"/>
          <w:lang w:val="en-US" w:eastAsia="zh-CN"/>
        </w:rPr>
        <w:t>负责投入满足项目需求的设备。生产线主设备需包含振动筛、振动给料机、鄂式破碎机、圆锥破碎机及立轴式冲击破碎机等，还须配置挖掘机、铲车等配套设备。</w:t>
      </w:r>
      <w:r>
        <w:rPr>
          <w:rFonts w:hint="eastAsia" w:hAnsi="宋体" w:eastAsia="宋体"/>
          <w:color w:val="auto"/>
          <w:highlight w:val="none"/>
          <w:lang w:eastAsia="zh-CN"/>
        </w:rPr>
        <w:t>乙方</w:t>
      </w:r>
      <w:r>
        <w:rPr>
          <w:rFonts w:hint="eastAsia" w:ascii="宋体" w:hAnsi="宋体" w:eastAsia="宋体" w:cs="宋体"/>
          <w:color w:val="auto"/>
          <w:sz w:val="21"/>
          <w:szCs w:val="21"/>
          <w:highlight w:val="none"/>
        </w:rPr>
        <w:t>在中标后</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个月内须</w:t>
      </w:r>
      <w:r>
        <w:rPr>
          <w:rFonts w:hint="eastAsia" w:ascii="宋体" w:hAnsi="宋体" w:eastAsia="宋体" w:cs="宋体"/>
          <w:color w:val="auto"/>
          <w:sz w:val="21"/>
          <w:szCs w:val="21"/>
          <w:highlight w:val="none"/>
          <w:lang w:eastAsia="zh-CN"/>
        </w:rPr>
        <w:t>建成满足环保及生产需求的场地，投入满足项目需求的设备，要求</w:t>
      </w:r>
      <w:r>
        <w:rPr>
          <w:rFonts w:hint="eastAsia" w:ascii="宋体" w:hAnsi="宋体" w:eastAsia="宋体" w:cs="宋体"/>
          <w:b/>
          <w:bCs/>
          <w:color w:val="auto"/>
          <w:sz w:val="21"/>
          <w:szCs w:val="21"/>
          <w:highlight w:val="none"/>
          <w:u w:val="single"/>
          <w:lang w:eastAsia="zh-CN"/>
        </w:rPr>
        <w:t>实际生产能力每小时必须达到或超</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eastAsia="zh-CN"/>
        </w:rPr>
        <w:t>00吨</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经整改后实际生产能力仍达不到</w:t>
      </w:r>
      <w:r>
        <w:rPr>
          <w:rFonts w:hint="eastAsia" w:ascii="宋体" w:hAnsi="宋体" w:eastAsia="宋体" w:cs="宋体"/>
          <w:color w:val="auto"/>
          <w:sz w:val="21"/>
          <w:szCs w:val="21"/>
          <w:highlight w:val="none"/>
          <w:lang w:val="en-US" w:eastAsia="zh-CN"/>
        </w:rPr>
        <w:t>300吨/小时，</w:t>
      </w:r>
      <w:r>
        <w:rPr>
          <w:rFonts w:hint="eastAsia" w:hAnsi="宋体"/>
          <w:bCs/>
          <w:color w:val="auto"/>
          <w:highlight w:val="none"/>
          <w:lang w:eastAsia="zh-CN"/>
        </w:rPr>
        <w:t>甲方</w:t>
      </w:r>
      <w:r>
        <w:rPr>
          <w:rFonts w:hint="eastAsia" w:ascii="宋体" w:hAnsi="宋体" w:eastAsia="宋体" w:cs="宋体"/>
          <w:color w:val="auto"/>
          <w:sz w:val="21"/>
          <w:szCs w:val="21"/>
          <w:highlight w:val="none"/>
          <w:lang w:val="en-US" w:eastAsia="zh-CN"/>
        </w:rPr>
        <w:t>有权单方解除合同并</w:t>
      </w:r>
      <w:r>
        <w:rPr>
          <w:rFonts w:hint="eastAsia" w:ascii="宋体" w:hAnsi="宋体" w:eastAsia="宋体" w:cs="宋体"/>
          <w:color w:val="auto"/>
          <w:sz w:val="21"/>
          <w:szCs w:val="21"/>
          <w:highlight w:val="none"/>
        </w:rPr>
        <w:t>扣除100%履约保证金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2、场地：</w:t>
      </w:r>
      <w:r>
        <w:rPr>
          <w:rFonts w:hint="eastAsia" w:ascii="宋体" w:hAnsi="宋体" w:eastAsia="宋体" w:cs="宋体"/>
          <w:color w:val="auto"/>
          <w:sz w:val="21"/>
          <w:szCs w:val="21"/>
          <w:highlight w:val="none"/>
          <w:lang w:val="en-US" w:eastAsia="zh-CN"/>
        </w:rPr>
        <w:t>碎石机制砂加工场地须位于衢州市柯城区范围内，</w:t>
      </w:r>
      <w:r>
        <w:rPr>
          <w:rFonts w:hint="eastAsia"/>
          <w:color w:val="auto"/>
          <w:sz w:val="21"/>
          <w:szCs w:val="21"/>
          <w:highlight w:val="none"/>
          <w:lang w:eastAsia="zh-CN"/>
        </w:rPr>
        <w:t>且满足临时用地审批的非农用土地。</w:t>
      </w:r>
      <w:r>
        <w:rPr>
          <w:rFonts w:hint="eastAsia" w:ascii="宋体" w:hAnsi="宋体" w:eastAsia="宋体" w:cs="宋体"/>
          <w:color w:val="auto"/>
          <w:sz w:val="21"/>
          <w:szCs w:val="21"/>
          <w:highlight w:val="none"/>
          <w:lang w:val="en-US" w:eastAsia="zh-CN"/>
        </w:rPr>
        <w:t>场地面积</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亩，具有良好的运输条件。由</w:t>
      </w:r>
      <w:r>
        <w:rPr>
          <w:rFonts w:hint="eastAsia" w:hAnsi="宋体" w:eastAsia="宋体"/>
          <w:color w:val="auto"/>
          <w:highlight w:val="none"/>
          <w:lang w:eastAsia="zh-CN"/>
        </w:rPr>
        <w:t>乙方</w:t>
      </w:r>
      <w:r>
        <w:rPr>
          <w:rFonts w:hint="eastAsia" w:ascii="宋体" w:hAnsi="宋体" w:eastAsia="宋体" w:cs="宋体"/>
          <w:color w:val="auto"/>
          <w:sz w:val="21"/>
          <w:szCs w:val="21"/>
          <w:highlight w:val="none"/>
          <w:lang w:val="en-US" w:eastAsia="zh-CN"/>
        </w:rPr>
        <w:t>负责场地区域内供电、供水、道路、照明、通讯网络、围墙建设（高度≥2米）等。场地要求配有地磅、配电房、变压器、临时加油点设施等其他配套设施。</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中标通知书发出之日30日内，乙方须提供面积不少于20亩的原料堆场并完成场地围墙建设，如乙方提供的堆场位于拟建加工场地之外的，则由乙方自行负责将已堆放原料运输至砂石加工场地并承担相关运输费用。</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3、环保：</w:t>
      </w:r>
      <w:r>
        <w:rPr>
          <w:rFonts w:hint="eastAsia" w:ascii="宋体" w:hAnsi="宋体" w:eastAsia="宋体" w:cs="宋体"/>
          <w:color w:val="auto"/>
          <w:sz w:val="21"/>
          <w:szCs w:val="21"/>
          <w:highlight w:val="none"/>
          <w:lang w:val="en-US" w:eastAsia="zh-CN"/>
        </w:rPr>
        <w:t>由</w:t>
      </w:r>
      <w:r>
        <w:rPr>
          <w:rFonts w:hint="eastAsia" w:hAnsi="宋体" w:eastAsia="宋体"/>
          <w:color w:val="auto"/>
          <w:highlight w:val="none"/>
          <w:lang w:eastAsia="zh-CN"/>
        </w:rPr>
        <w:t>乙方</w:t>
      </w:r>
      <w:r>
        <w:rPr>
          <w:rFonts w:hint="eastAsia" w:ascii="宋体" w:hAnsi="宋体" w:eastAsia="宋体" w:cs="宋体"/>
          <w:color w:val="auto"/>
          <w:sz w:val="21"/>
          <w:szCs w:val="21"/>
          <w:highlight w:val="none"/>
          <w:lang w:val="en-US" w:eastAsia="zh-CN"/>
        </w:rPr>
        <w:t>负责碎石机制砂加工场地区域的环保设施（污水循环系统、淤泥压滤机）建设等；对产生的各类污染物都采取了切实可行的治理措施，严格控制在国家规定的排放标准内，项目建设不会对区域生态环境产生明显的影响。项目设计中采用了清洁生产工艺，应用清洁原材料，生产清洁产品，同时采取完善和有效的清洁生产措施，能够切实起到消除和减少污染的作用。项目建成投产后，各项环境指标均符合国家和地方清洁生产的标准要求。 否则，</w:t>
      </w:r>
      <w:r>
        <w:rPr>
          <w:rFonts w:hint="eastAsia" w:ascii="宋体" w:hAnsi="宋体" w:eastAsia="宋体" w:cs="宋体"/>
          <w:color w:val="auto"/>
          <w:sz w:val="21"/>
          <w:szCs w:val="21"/>
          <w:highlight w:val="none"/>
        </w:rPr>
        <w:t>由此造成的一切后果由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cs="宋体"/>
          <w:b w:val="0"/>
          <w:bCs/>
          <w:color w:val="auto"/>
          <w:szCs w:val="21"/>
          <w:highlight w:val="none"/>
          <w:u w:val="none"/>
          <w:lang w:val="en-US" w:eastAsia="zh-CN"/>
        </w:rPr>
      </w:pPr>
      <w:r>
        <w:rPr>
          <w:rFonts w:hint="eastAsia" w:ascii="宋体" w:hAnsi="宋体" w:cs="宋体"/>
          <w:b/>
          <w:bCs/>
          <w:color w:val="auto"/>
          <w:sz w:val="21"/>
          <w:szCs w:val="21"/>
          <w:highlight w:val="none"/>
          <w:lang w:val="en-US" w:eastAsia="zh-CN"/>
        </w:rPr>
        <w:t>4、供货</w:t>
      </w:r>
      <w:r>
        <w:rPr>
          <w:rFonts w:hint="eastAsia" w:ascii="宋体" w:hAnsi="宋体" w:eastAsia="宋体" w:cs="宋体"/>
          <w:b/>
          <w:bCs/>
          <w:color w:val="auto"/>
          <w:sz w:val="21"/>
          <w:szCs w:val="21"/>
          <w:highlight w:val="none"/>
          <w:lang w:val="en-US" w:eastAsia="zh-CN"/>
        </w:rPr>
        <w:t>运输：</w:t>
      </w:r>
      <w:r>
        <w:rPr>
          <w:rFonts w:hint="eastAsia" w:ascii="宋体" w:hAnsi="宋体" w:eastAsia="宋体" w:cs="宋体"/>
          <w:color w:val="auto"/>
          <w:sz w:val="21"/>
          <w:szCs w:val="21"/>
          <w:highlight w:val="none"/>
          <w:lang w:val="en-US" w:eastAsia="zh-CN"/>
        </w:rPr>
        <w:t>由</w:t>
      </w:r>
      <w:r>
        <w:rPr>
          <w:rFonts w:hint="eastAsia" w:hAnsi="宋体" w:eastAsia="宋体"/>
          <w:color w:val="auto"/>
          <w:highlight w:val="none"/>
          <w:lang w:eastAsia="zh-CN"/>
        </w:rPr>
        <w:t>乙方</w:t>
      </w:r>
      <w:r>
        <w:rPr>
          <w:rFonts w:hint="eastAsia" w:ascii="宋体" w:hAnsi="宋体" w:eastAsia="宋体" w:cs="宋体"/>
          <w:color w:val="auto"/>
          <w:sz w:val="21"/>
          <w:szCs w:val="21"/>
          <w:highlight w:val="none"/>
          <w:lang w:val="en-US" w:eastAsia="zh-CN"/>
        </w:rPr>
        <w:t>负责碎石及机制砂加工工艺流程、原料及成品料的堆场、成品料出场装车及淤泥压榨尾料的处理。成品料及原料场外</w:t>
      </w:r>
      <w:r>
        <w:rPr>
          <w:rFonts w:hint="eastAsia" w:ascii="Arial" w:hAnsi="宋体" w:cs="Arial"/>
          <w:color w:val="auto"/>
          <w:szCs w:val="21"/>
          <w:highlight w:val="none"/>
        </w:rPr>
        <w:t>运输的一切责任和风险由</w:t>
      </w:r>
      <w:r>
        <w:rPr>
          <w:rFonts w:hint="eastAsia" w:ascii="宋体" w:hAnsi="宋体" w:eastAsia="宋体" w:cs="宋体"/>
          <w:b w:val="0"/>
          <w:bCs w:val="0"/>
          <w:color w:val="auto"/>
          <w:sz w:val="21"/>
          <w:szCs w:val="21"/>
          <w:highlight w:val="none"/>
          <w:lang w:val="en-US" w:eastAsia="zh-CN"/>
        </w:rPr>
        <w:t>甲方</w:t>
      </w:r>
      <w:r>
        <w:rPr>
          <w:rFonts w:hint="eastAsia" w:ascii="Arial" w:hAnsi="宋体" w:cs="Arial"/>
          <w:color w:val="auto"/>
          <w:szCs w:val="21"/>
          <w:highlight w:val="none"/>
        </w:rPr>
        <w:t>自行承担</w:t>
      </w:r>
      <w:r>
        <w:rPr>
          <w:rFonts w:hint="eastAsia" w:ascii="Arial" w:hAnsi="宋体" w:cs="Arial"/>
          <w:color w:val="auto"/>
          <w:szCs w:val="21"/>
          <w:highlight w:val="none"/>
          <w:lang w:eastAsia="zh-CN"/>
        </w:rPr>
        <w:t>，场内运输</w:t>
      </w:r>
      <w:r>
        <w:rPr>
          <w:rFonts w:hint="eastAsia" w:ascii="Arial" w:hAnsi="宋体" w:cs="Arial"/>
          <w:color w:val="auto"/>
          <w:szCs w:val="21"/>
          <w:highlight w:val="none"/>
        </w:rPr>
        <w:t>的一切责任和风险</w:t>
      </w:r>
      <w:r>
        <w:rPr>
          <w:rFonts w:hint="eastAsia" w:ascii="宋体" w:hAnsi="宋体" w:cs="宋体"/>
          <w:b w:val="0"/>
          <w:bCs/>
          <w:color w:val="auto"/>
          <w:szCs w:val="21"/>
          <w:highlight w:val="none"/>
          <w:u w:val="none"/>
          <w:lang w:val="en-US" w:eastAsia="zh-CN"/>
        </w:rPr>
        <w:t>由乙方自行承担。</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b w:val="0"/>
          <w:bCs/>
          <w:color w:val="auto"/>
          <w:szCs w:val="21"/>
          <w:highlight w:val="none"/>
          <w:u w:val="none"/>
          <w:lang w:val="en-US" w:eastAsia="zh-CN"/>
        </w:rPr>
      </w:pPr>
      <w:r>
        <w:rPr>
          <w:rFonts w:hint="eastAsia" w:ascii="宋体" w:hAnsi="宋体" w:cs="宋体"/>
          <w:b w:val="0"/>
          <w:bCs/>
          <w:color w:val="auto"/>
          <w:szCs w:val="21"/>
          <w:highlight w:val="none"/>
          <w:u w:val="none"/>
          <w:lang w:val="en-US" w:eastAsia="zh-CN"/>
        </w:rPr>
        <w:t>由乙方负责加工场地至公路主干道之间的道路为满足进料出料车辆通行所需的一切措施，由乙方负责此段道路的日常维修、养护工作以及为确保此段道路正常通行与周边村社组织、周边居民的日常协调工作，并承担所有费用。</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hAnsi="宋体"/>
          <w:bCs/>
          <w:color w:val="auto"/>
          <w:highlight w:val="none"/>
          <w:lang w:eastAsia="zh-CN"/>
        </w:rPr>
      </w:pPr>
      <w:r>
        <w:rPr>
          <w:rFonts w:hint="eastAsia" w:ascii="宋体" w:hAnsi="宋体" w:eastAsia="宋体" w:cs="宋体"/>
          <w:b/>
          <w:bCs/>
          <w:color w:val="auto"/>
          <w:sz w:val="21"/>
          <w:szCs w:val="21"/>
          <w:highlight w:val="none"/>
          <w:lang w:val="en-US" w:eastAsia="zh-CN"/>
        </w:rPr>
        <w:t>5、原料供应：</w:t>
      </w:r>
      <w:r>
        <w:rPr>
          <w:rFonts w:hint="eastAsia" w:ascii="宋体" w:hAnsi="宋体" w:eastAsia="宋体" w:cs="宋体"/>
          <w:b w:val="0"/>
          <w:bCs w:val="0"/>
          <w:color w:val="auto"/>
          <w:sz w:val="21"/>
          <w:szCs w:val="21"/>
          <w:highlight w:val="none"/>
          <w:lang w:val="en-US" w:eastAsia="zh-CN"/>
        </w:rPr>
        <w:t>由甲方负责原料的供应，负责将原料运至乙方加工场地，</w:t>
      </w:r>
      <w:r>
        <w:rPr>
          <w:rFonts w:hint="eastAsia" w:hAnsi="宋体" w:eastAsia="宋体"/>
          <w:bCs/>
          <w:color w:val="auto"/>
          <w:highlight w:val="none"/>
          <w:lang w:eastAsia="zh-CN"/>
        </w:rPr>
        <w:t>甲</w:t>
      </w:r>
      <w:r>
        <w:rPr>
          <w:rFonts w:hint="eastAsia" w:hAnsi="宋体"/>
          <w:bCs/>
          <w:color w:val="auto"/>
          <w:highlight w:val="none"/>
        </w:rPr>
        <w:t>方要确保所供</w:t>
      </w:r>
      <w:r>
        <w:rPr>
          <w:rFonts w:hint="eastAsia" w:hAnsi="宋体"/>
          <w:bCs/>
          <w:color w:val="auto"/>
          <w:highlight w:val="none"/>
          <w:lang w:eastAsia="zh-CN"/>
        </w:rPr>
        <w:t>原</w:t>
      </w:r>
      <w:r>
        <w:rPr>
          <w:rFonts w:hint="eastAsia" w:hAnsi="宋体"/>
          <w:bCs/>
          <w:color w:val="auto"/>
          <w:highlight w:val="none"/>
        </w:rPr>
        <w:t>料及时到位。</w:t>
      </w:r>
      <w:r>
        <w:rPr>
          <w:rFonts w:hint="eastAsia" w:hAnsi="宋体"/>
          <w:bCs/>
          <w:color w:val="auto"/>
          <w:highlight w:val="none"/>
          <w:lang w:eastAsia="zh-CN"/>
        </w:rPr>
        <w:t>否则造成的成品料供货不足及延迟供货责任由甲方自行承担。</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2" w:firstLineChars="200"/>
        <w:jc w:val="left"/>
        <w:textAlignment w:val="auto"/>
        <w:rPr>
          <w:rFonts w:hint="default" w:hAnsi="宋体"/>
          <w:bCs/>
          <w:color w:val="auto"/>
          <w:highlight w:val="none"/>
          <w:lang w:val="en-US" w:eastAsia="zh-CN"/>
        </w:rPr>
      </w:pPr>
      <w:r>
        <w:rPr>
          <w:rFonts w:hint="eastAsia" w:hAnsi="宋体" w:cs="宋体"/>
          <w:b/>
          <w:bCs w:val="0"/>
          <w:color w:val="auto"/>
          <w:szCs w:val="21"/>
          <w:highlight w:val="none"/>
          <w:u w:val="none"/>
          <w:lang w:val="en-US" w:eastAsia="zh-CN"/>
        </w:rPr>
        <w:t>6、安全：</w:t>
      </w:r>
      <w:r>
        <w:rPr>
          <w:rFonts w:hint="eastAsia" w:ascii="宋体" w:hAnsi="宋体" w:cs="宋体"/>
          <w:b w:val="0"/>
          <w:bCs/>
          <w:color w:val="auto"/>
          <w:szCs w:val="21"/>
          <w:highlight w:val="none"/>
          <w:u w:val="none"/>
          <w:lang w:val="en-US" w:eastAsia="zh-CN"/>
        </w:rPr>
        <w:t>乙方所有员工</w:t>
      </w:r>
      <w:r>
        <w:rPr>
          <w:rFonts w:hint="eastAsia" w:hAnsi="宋体" w:cs="宋体"/>
          <w:b w:val="0"/>
          <w:bCs/>
          <w:color w:val="auto"/>
          <w:szCs w:val="21"/>
          <w:highlight w:val="none"/>
          <w:u w:val="none"/>
          <w:lang w:val="en-US" w:eastAsia="zh-CN"/>
        </w:rPr>
        <w:t>必须购买</w:t>
      </w:r>
      <w:r>
        <w:rPr>
          <w:rFonts w:hint="eastAsia" w:ascii="宋体" w:hAnsi="宋体" w:cs="宋体"/>
          <w:b w:val="0"/>
          <w:bCs/>
          <w:color w:val="auto"/>
          <w:szCs w:val="21"/>
          <w:highlight w:val="none"/>
          <w:u w:val="none"/>
          <w:lang w:val="en-US" w:eastAsia="zh-CN"/>
        </w:rPr>
        <w:t>人身保险，生产过程中出现工伤及安全事故等，由乙方负责且所有费用由乙方自行承担。乙方应严格遵从《安全生产法》、《环境保护法》等相关法律法规及有关部门要求生产，如因此产生所有费用，由乙方自行承担。若因此造成影响，双倍赔偿甲方损失。</w:t>
      </w:r>
      <w:r>
        <w:rPr>
          <w:rFonts w:hint="default" w:hAnsi="宋体"/>
          <w:bCs/>
          <w:color w:val="auto"/>
          <w:highlight w:val="none"/>
          <w:lang w:val="en-US" w:eastAsia="zh-CN"/>
        </w:rPr>
        <w:t>加工砂石是一项带有一定危险性的工作，要求</w:t>
      </w:r>
      <w:r>
        <w:rPr>
          <w:rFonts w:hint="eastAsia" w:hAnsi="宋体"/>
          <w:bCs/>
          <w:color w:val="auto"/>
          <w:highlight w:val="none"/>
          <w:lang w:val="en-US" w:eastAsia="zh-CN"/>
        </w:rPr>
        <w:t>乙方</w:t>
      </w:r>
      <w:r>
        <w:rPr>
          <w:rFonts w:hint="default" w:hAnsi="宋体"/>
          <w:bCs/>
          <w:color w:val="auto"/>
          <w:highlight w:val="none"/>
          <w:lang w:val="en-US" w:eastAsia="zh-CN"/>
        </w:rPr>
        <w:t>对员工经常进行安全教育，防止自身人员伤害，并做好人身意外伤害险的投保工作，要求所有施工人员和生产管理人员每人保险额度在80万元及以上。如果发生人员安全伤害，则由</w:t>
      </w:r>
      <w:r>
        <w:rPr>
          <w:rFonts w:hint="eastAsia" w:hAnsi="宋体"/>
          <w:bCs/>
          <w:color w:val="auto"/>
          <w:highlight w:val="none"/>
          <w:lang w:val="en-US" w:eastAsia="zh-CN"/>
        </w:rPr>
        <w:t>乙方</w:t>
      </w:r>
      <w:r>
        <w:rPr>
          <w:rFonts w:hint="default" w:hAnsi="宋体"/>
          <w:bCs/>
          <w:color w:val="auto"/>
          <w:highlight w:val="none"/>
          <w:lang w:val="en-US" w:eastAsia="zh-CN"/>
        </w:rPr>
        <w:t>自行承担，与</w:t>
      </w:r>
      <w:r>
        <w:rPr>
          <w:rFonts w:hint="eastAsia" w:hAnsi="宋体"/>
          <w:bCs/>
          <w:color w:val="auto"/>
          <w:highlight w:val="none"/>
          <w:lang w:val="en-US" w:eastAsia="zh-CN"/>
        </w:rPr>
        <w:t>甲方</w:t>
      </w:r>
      <w:r>
        <w:rPr>
          <w:rFonts w:hint="default" w:hAnsi="宋体"/>
          <w:bCs/>
          <w:color w:val="auto"/>
          <w:highlight w:val="none"/>
          <w:lang w:val="en-US" w:eastAsia="zh-CN"/>
        </w:rPr>
        <w:t>概无关系。</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b w:val="0"/>
          <w:bCs/>
          <w:color w:val="auto"/>
          <w:szCs w:val="21"/>
          <w:highlight w:val="none"/>
          <w:u w:val="none"/>
          <w:lang w:val="en-US" w:eastAsia="zh-CN"/>
        </w:rPr>
      </w:pPr>
      <w:r>
        <w:rPr>
          <w:rFonts w:hint="default" w:hAnsi="宋体"/>
          <w:bCs/>
          <w:color w:val="auto"/>
          <w:highlight w:val="none"/>
          <w:lang w:val="en-US" w:eastAsia="zh-CN"/>
        </w:rPr>
        <w:t>在生产过程中，发生各类事故、人身伤害事故、砂石料失窃行为等，</w:t>
      </w:r>
      <w:r>
        <w:rPr>
          <w:rFonts w:hint="eastAsia" w:hAnsi="宋体"/>
          <w:bCs/>
          <w:color w:val="auto"/>
          <w:highlight w:val="none"/>
          <w:lang w:val="en-US" w:eastAsia="zh-CN"/>
        </w:rPr>
        <w:t>砂石料失窃行为发生一次，处以砂石款的100%的罚款，超过三次，甲方</w:t>
      </w:r>
      <w:r>
        <w:rPr>
          <w:rFonts w:hint="default" w:hAnsi="宋体"/>
          <w:bCs/>
          <w:color w:val="auto"/>
          <w:highlight w:val="none"/>
          <w:lang w:val="en-US" w:eastAsia="zh-CN"/>
        </w:rPr>
        <w:t>有权单方面终止合同。</w:t>
      </w:r>
      <w:r>
        <w:rPr>
          <w:rFonts w:hint="eastAsia" w:hAnsi="宋体"/>
          <w:bCs/>
          <w:color w:val="auto"/>
          <w:highlight w:val="none"/>
          <w:lang w:val="en-US" w:eastAsia="zh-CN"/>
        </w:rPr>
        <w:t>发生各类事故，未造成人身死亡的，每发生一次，处以10万元罚款；超过三次或者造成死亡事故的，甲方</w:t>
      </w:r>
      <w:r>
        <w:rPr>
          <w:rFonts w:hint="default" w:hAnsi="宋体"/>
          <w:bCs/>
          <w:color w:val="auto"/>
          <w:highlight w:val="none"/>
          <w:lang w:val="en-US" w:eastAsia="zh-CN"/>
        </w:rPr>
        <w:t>可视情节轻重</w:t>
      </w:r>
      <w:r>
        <w:rPr>
          <w:rFonts w:hint="eastAsia" w:hAnsi="宋体"/>
          <w:bCs/>
          <w:color w:val="auto"/>
          <w:highlight w:val="none"/>
          <w:lang w:val="en-US" w:eastAsia="zh-CN"/>
        </w:rPr>
        <w:t>进行10万元以上的经济处罚并</w:t>
      </w:r>
      <w:r>
        <w:rPr>
          <w:rFonts w:hint="default" w:hAnsi="宋体"/>
          <w:bCs/>
          <w:color w:val="auto"/>
          <w:highlight w:val="none"/>
          <w:lang w:val="en-US" w:eastAsia="zh-CN"/>
        </w:rPr>
        <w:t>有权单方面终止合同。</w:t>
      </w:r>
    </w:p>
    <w:p>
      <w:pPr>
        <w:spacing w:line="420" w:lineRule="exact"/>
        <w:ind w:firstLine="422" w:firstLineChars="200"/>
        <w:rPr>
          <w:rFonts w:hint="eastAsia"/>
          <w:color w:val="auto"/>
          <w:sz w:val="24"/>
          <w:highlight w:val="none"/>
        </w:rPr>
      </w:pPr>
      <w:r>
        <w:rPr>
          <w:rFonts w:hint="eastAsia" w:ascii="宋体" w:hAnsi="宋体" w:eastAsia="宋体" w:cs="宋体"/>
          <w:b/>
          <w:bCs/>
          <w:color w:val="auto"/>
          <w:sz w:val="21"/>
          <w:szCs w:val="21"/>
          <w:highlight w:val="none"/>
          <w:lang w:val="en-US" w:eastAsia="zh-CN"/>
        </w:rPr>
        <w:t>7、</w:t>
      </w:r>
      <w:r>
        <w:rPr>
          <w:rFonts w:hint="eastAsia" w:ascii="宋体" w:hAnsi="宋体" w:cs="宋体"/>
          <w:b/>
          <w:bCs/>
          <w:color w:val="auto"/>
          <w:sz w:val="21"/>
          <w:szCs w:val="21"/>
          <w:highlight w:val="none"/>
          <w:lang w:val="en-US" w:eastAsia="zh-CN"/>
        </w:rPr>
        <w:t>人员：</w:t>
      </w:r>
      <w:r>
        <w:rPr>
          <w:rFonts w:hint="eastAsia" w:ascii="宋体" w:hAnsi="宋体" w:eastAsia="宋体" w:cs="宋体"/>
          <w:b w:val="0"/>
          <w:bCs w:val="0"/>
          <w:color w:val="auto"/>
          <w:sz w:val="21"/>
          <w:szCs w:val="21"/>
          <w:highlight w:val="none"/>
          <w:lang w:val="en-US" w:eastAsia="zh-CN"/>
        </w:rPr>
        <w:t>各类生产和管理人员按生产量由乙方合理自行安排，特殊工种须持证上岗。乙方必须建立规范的管理制度和各种安全管理体系，保证在加工期间设备正常运行，确保料场内道路畅通和过往车辆及人身安全。</w:t>
      </w:r>
    </w:p>
    <w:p>
      <w:pPr>
        <w:pStyle w:val="11"/>
        <w:keepNext w:val="0"/>
        <w:keepLines w:val="0"/>
        <w:pageBreakBefore w:val="0"/>
        <w:widowControl w:val="0"/>
        <w:kinsoku/>
        <w:wordWrap/>
        <w:overflowPunct/>
        <w:topLinePunct w:val="0"/>
        <w:autoSpaceDE/>
        <w:autoSpaceDN/>
        <w:bidi w:val="0"/>
        <w:snapToGrid w:val="0"/>
        <w:spacing w:line="440" w:lineRule="exact"/>
        <w:ind w:left="410" w:hanging="358" w:hangingChars="170"/>
        <w:textAlignment w:val="auto"/>
        <w:rPr>
          <w:rFonts w:hint="eastAsia" w:hAnsi="宋体"/>
          <w:b/>
          <w:color w:val="auto"/>
          <w:highlight w:val="none"/>
        </w:rPr>
      </w:pPr>
      <w:r>
        <w:rPr>
          <w:rFonts w:hint="eastAsia" w:hAnsi="宋体"/>
          <w:b/>
          <w:color w:val="auto"/>
          <w:highlight w:val="none"/>
        </w:rPr>
        <w:t>四、质量保证</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rPr>
      </w:pPr>
      <w:r>
        <w:rPr>
          <w:rFonts w:hint="eastAsia" w:hAnsi="宋体"/>
          <w:bCs/>
          <w:color w:val="auto"/>
          <w:highlight w:val="none"/>
          <w:lang w:val="en-US" w:eastAsia="zh-CN"/>
        </w:rPr>
        <w:t>1、</w:t>
      </w:r>
      <w:r>
        <w:rPr>
          <w:rFonts w:hint="eastAsia" w:hAnsi="宋体"/>
          <w:bCs/>
          <w:color w:val="auto"/>
          <w:highlight w:val="none"/>
        </w:rPr>
        <w:t>质量要求</w:t>
      </w:r>
      <w:r>
        <w:rPr>
          <w:rFonts w:hint="eastAsia" w:hAnsi="宋体"/>
          <w:bCs/>
          <w:color w:val="auto"/>
          <w:highlight w:val="none"/>
          <w:lang w:eastAsia="zh-CN"/>
        </w:rPr>
        <w:t>：</w:t>
      </w:r>
      <w:r>
        <w:rPr>
          <w:rFonts w:hint="eastAsia" w:hAnsi="宋体" w:eastAsia="宋体" w:cs="宋体"/>
          <w:color w:val="auto"/>
          <w:sz w:val="21"/>
          <w:szCs w:val="21"/>
          <w:highlight w:val="none"/>
          <w:lang w:eastAsia="zh-CN"/>
        </w:rPr>
        <w:t>乙方</w:t>
      </w:r>
      <w:r>
        <w:rPr>
          <w:rFonts w:hint="eastAsia" w:hAnsi="宋体"/>
          <w:bCs/>
          <w:color w:val="auto"/>
          <w:highlight w:val="none"/>
          <w:lang w:eastAsia="zh-CN"/>
        </w:rPr>
        <w:t>须执行</w:t>
      </w:r>
      <w:r>
        <w:rPr>
          <w:rFonts w:hint="eastAsia" w:hAnsi="宋体"/>
          <w:bCs/>
          <w:color w:val="auto"/>
          <w:highlight w:val="none"/>
          <w:lang w:val="en-US" w:eastAsia="zh-CN"/>
        </w:rPr>
        <w:t>《机制砂石生产技术规程》 等标准，应严格按照碎石、机制砂产品标准组织生产。</w:t>
      </w:r>
      <w:r>
        <w:rPr>
          <w:rFonts w:hint="eastAsia" w:hAnsi="宋体"/>
          <w:bCs/>
          <w:color w:val="auto"/>
          <w:highlight w:val="none"/>
        </w:rPr>
        <w:t>提供的</w:t>
      </w:r>
      <w:r>
        <w:rPr>
          <w:rFonts w:hint="eastAsia" w:hAnsi="宋体"/>
          <w:bCs/>
          <w:color w:val="auto"/>
          <w:highlight w:val="none"/>
          <w:lang w:eastAsia="zh-CN"/>
        </w:rPr>
        <w:t>机制砂</w:t>
      </w:r>
      <w:r>
        <w:rPr>
          <w:rFonts w:hint="eastAsia" w:hAnsi="宋体"/>
          <w:bCs/>
          <w:color w:val="auto"/>
          <w:highlight w:val="none"/>
        </w:rPr>
        <w:t>须满足《建设用砂》(GB/T14684-2011)的标准，提供的碎石须满足《建设用卵石、碎石》（GB/T14685-2011）的标准。</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rPr>
      </w:pPr>
      <w:r>
        <w:rPr>
          <w:rFonts w:hint="eastAsia" w:hAnsi="宋体"/>
          <w:bCs/>
          <w:color w:val="auto"/>
          <w:highlight w:val="none"/>
          <w:lang w:val="en-US" w:eastAsia="zh-CN"/>
        </w:rPr>
        <w:t>2、</w:t>
      </w:r>
      <w:r>
        <w:rPr>
          <w:rFonts w:hint="eastAsia" w:hAnsi="宋体" w:eastAsia="宋体" w:cs="宋体"/>
          <w:color w:val="auto"/>
          <w:sz w:val="21"/>
          <w:szCs w:val="21"/>
          <w:highlight w:val="none"/>
          <w:lang w:eastAsia="zh-CN"/>
        </w:rPr>
        <w:t>乙方</w:t>
      </w:r>
      <w:r>
        <w:rPr>
          <w:rFonts w:hint="eastAsia" w:hAnsi="宋体"/>
          <w:bCs/>
          <w:color w:val="auto"/>
          <w:highlight w:val="none"/>
        </w:rPr>
        <w:t>的碎石</w:t>
      </w:r>
      <w:r>
        <w:rPr>
          <w:rFonts w:hint="eastAsia" w:hAnsi="宋体"/>
          <w:bCs/>
          <w:color w:val="auto"/>
          <w:highlight w:val="none"/>
          <w:lang w:eastAsia="zh-CN"/>
        </w:rPr>
        <w:t>及机制砂</w:t>
      </w:r>
      <w:r>
        <w:rPr>
          <w:rFonts w:hint="eastAsia" w:hAnsi="宋体"/>
          <w:bCs/>
          <w:color w:val="auto"/>
          <w:highlight w:val="none"/>
        </w:rPr>
        <w:t>质量技术指标须符合国家相关标准，合同签订前</w:t>
      </w:r>
      <w:r>
        <w:rPr>
          <w:rFonts w:hint="eastAsia" w:hAnsi="宋体" w:eastAsia="宋体" w:cs="宋体"/>
          <w:color w:val="auto"/>
          <w:sz w:val="21"/>
          <w:szCs w:val="21"/>
          <w:highlight w:val="none"/>
          <w:lang w:eastAsia="zh-CN"/>
        </w:rPr>
        <w:t>乙方</w:t>
      </w:r>
      <w:r>
        <w:rPr>
          <w:rFonts w:hint="eastAsia" w:hAnsi="宋体"/>
          <w:bCs/>
          <w:color w:val="auto"/>
          <w:highlight w:val="none"/>
        </w:rPr>
        <w:t>须向</w:t>
      </w:r>
      <w:r>
        <w:rPr>
          <w:rFonts w:hint="eastAsia" w:hAnsi="宋体"/>
          <w:bCs/>
          <w:color w:val="auto"/>
          <w:highlight w:val="none"/>
          <w:lang w:eastAsia="zh-CN"/>
        </w:rPr>
        <w:t>甲方</w:t>
      </w:r>
      <w:r>
        <w:rPr>
          <w:rFonts w:hint="eastAsia" w:hAnsi="宋体"/>
          <w:bCs/>
          <w:color w:val="auto"/>
          <w:highlight w:val="none"/>
        </w:rPr>
        <w:t>提供由第三方检测机构出具的相应规格的检验报告。</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3、甲方对乙方提供的货物在使用前进行检检测时，乙方需负责协助甲方一起检测，直到符合技术要求，甲方才做最终验收。</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在使用期间如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机制砂</w:t>
      </w:r>
      <w:r>
        <w:rPr>
          <w:rFonts w:hint="eastAsia" w:ascii="宋体" w:hAnsi="宋体" w:eastAsia="宋体" w:cs="宋体"/>
          <w:color w:val="auto"/>
          <w:sz w:val="21"/>
          <w:szCs w:val="21"/>
          <w:highlight w:val="none"/>
        </w:rPr>
        <w:t>、碎石存在质量问题时，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有权对存在问题的</w:t>
      </w:r>
      <w:r>
        <w:rPr>
          <w:rFonts w:hint="eastAsia" w:ascii="宋体" w:hAnsi="宋体" w:eastAsia="宋体" w:cs="宋体"/>
          <w:color w:val="auto"/>
          <w:sz w:val="21"/>
          <w:szCs w:val="21"/>
          <w:highlight w:val="none"/>
          <w:lang w:eastAsia="zh-CN"/>
        </w:rPr>
        <w:t>机制砂</w:t>
      </w:r>
      <w:r>
        <w:rPr>
          <w:rFonts w:hint="eastAsia" w:ascii="宋体" w:hAnsi="宋体" w:eastAsia="宋体" w:cs="宋体"/>
          <w:color w:val="auto"/>
          <w:sz w:val="21"/>
          <w:szCs w:val="21"/>
          <w:highlight w:val="none"/>
        </w:rPr>
        <w:t>、碎石进行取样、封存，并委托双方认可的第三方检测机构进行检验，相关费用由</w:t>
      </w:r>
      <w:r>
        <w:rPr>
          <w:rFonts w:hint="eastAsia"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承担。若检测不合格，全部退回本次供货，在第二次重新供货时，若供料品质在随机抽样检测中仍不合格的，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有权解除合同，并扣除100%履约保证金，由此造成的一切后果由</w:t>
      </w:r>
      <w:r>
        <w:rPr>
          <w:rFonts w:hint="eastAsia"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bidi="en-US"/>
        </w:rPr>
      </w:pPr>
      <w:r>
        <w:rPr>
          <w:rFonts w:hint="eastAsia" w:hAnsi="宋体" w:eastAsia="宋体" w:cs="宋体"/>
          <w:color w:val="auto"/>
          <w:sz w:val="21"/>
          <w:szCs w:val="21"/>
          <w:highlight w:val="none"/>
          <w:lang w:val="en-US" w:eastAsia="zh-CN"/>
        </w:rPr>
        <w:t>5、由于甲方验收采用的是抽检形式，</w:t>
      </w:r>
      <w:r>
        <w:rPr>
          <w:rFonts w:hint="eastAsia" w:hAnsi="宋体" w:eastAsia="宋体" w:cs="宋体"/>
          <w:color w:val="auto"/>
          <w:sz w:val="21"/>
          <w:szCs w:val="21"/>
          <w:highlight w:val="none"/>
          <w:lang w:eastAsia="zh-CN"/>
        </w:rPr>
        <w:t>乙方</w:t>
      </w:r>
      <w:r>
        <w:rPr>
          <w:rFonts w:hint="eastAsia" w:hAnsi="宋体"/>
          <w:bCs/>
          <w:color w:val="auto"/>
          <w:highlight w:val="none"/>
          <w:lang w:bidi="en-US"/>
        </w:rPr>
        <w:t>须对因投标货物使用期内本身的固有缺陷和瑕疵承担责任。</w:t>
      </w:r>
      <w:r>
        <w:rPr>
          <w:rFonts w:hAnsi="宋体"/>
          <w:color w:val="auto"/>
          <w:highlight w:val="none"/>
          <w:lang w:bidi="en-US"/>
        </w:rPr>
        <w:t>因</w:t>
      </w:r>
      <w:r>
        <w:rPr>
          <w:rFonts w:hint="eastAsia" w:hAnsi="宋体"/>
          <w:color w:val="auto"/>
          <w:highlight w:val="none"/>
          <w:lang w:eastAsia="zh-CN" w:bidi="en-US"/>
        </w:rPr>
        <w:t>乙方</w:t>
      </w:r>
      <w:r>
        <w:rPr>
          <w:rFonts w:hint="eastAsia" w:hAnsi="宋体" w:eastAsia="宋体" w:cs="宋体"/>
          <w:color w:val="auto"/>
          <w:sz w:val="21"/>
          <w:szCs w:val="21"/>
          <w:highlight w:val="none"/>
          <w:lang w:val="en-US" w:eastAsia="zh-CN"/>
        </w:rPr>
        <w:t>所供成品料引起的工程质量问题及甲方</w:t>
      </w:r>
      <w:r>
        <w:rPr>
          <w:rFonts w:hAnsi="宋体"/>
          <w:color w:val="auto"/>
          <w:highlight w:val="none"/>
          <w:lang w:bidi="en-US"/>
        </w:rPr>
        <w:t>的损失由</w:t>
      </w:r>
      <w:r>
        <w:rPr>
          <w:rFonts w:hint="eastAsia" w:hAnsi="宋体"/>
          <w:color w:val="auto"/>
          <w:highlight w:val="none"/>
          <w:lang w:eastAsia="zh-CN" w:bidi="en-US"/>
        </w:rPr>
        <w:t>乙方</w:t>
      </w:r>
      <w:r>
        <w:rPr>
          <w:rFonts w:hAnsi="宋体"/>
          <w:color w:val="auto"/>
          <w:highlight w:val="none"/>
          <w:lang w:bidi="en-US"/>
        </w:rPr>
        <w:t>承担。</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6、甲方派专人(或授权使用单位)在现场负责验收签认。</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default" w:hAnsi="宋体"/>
          <w:bCs/>
          <w:color w:val="auto"/>
          <w:highlight w:val="none"/>
          <w:lang w:val="en-US" w:eastAsia="zh-CN"/>
        </w:rPr>
      </w:pPr>
      <w:r>
        <w:rPr>
          <w:rFonts w:hint="eastAsia" w:hAnsi="宋体"/>
          <w:bCs/>
          <w:color w:val="auto"/>
          <w:highlight w:val="none"/>
          <w:lang w:val="en-US" w:eastAsia="zh-CN"/>
        </w:rPr>
        <w:t>7、产品的分类堆放，不能随意乱堆，否则造成相关损失由乙方负责。</w:t>
      </w:r>
    </w:p>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int="eastAsia" w:hAnsi="宋体"/>
          <w:b/>
          <w:color w:val="auto"/>
          <w:highlight w:val="none"/>
        </w:rPr>
      </w:pPr>
      <w:r>
        <w:rPr>
          <w:rFonts w:hint="eastAsia" w:hAnsi="宋体"/>
          <w:b/>
          <w:color w:val="auto"/>
          <w:highlight w:val="none"/>
          <w:lang w:eastAsia="zh-CN"/>
        </w:rPr>
        <w:t>五</w:t>
      </w:r>
      <w:r>
        <w:rPr>
          <w:rFonts w:hint="eastAsia" w:hAnsi="宋体"/>
          <w:b/>
          <w:color w:val="auto"/>
          <w:highlight w:val="none"/>
        </w:rPr>
        <w:t>、交货</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服务期</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27个月，其中建设期3个月确保具备开工生产条件（自中标通知书发出之日起），加工生产（供货）期24个月。</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420" w:firstLineChars="200"/>
        <w:textAlignment w:val="auto"/>
        <w:rPr>
          <w:rFonts w:hint="eastAsia" w:cs="Arial"/>
          <w:bCs/>
          <w:color w:val="auto"/>
          <w:kern w:val="2"/>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供货时间：</w:t>
      </w:r>
      <w:r>
        <w:rPr>
          <w:rFonts w:hint="eastAsia" w:hAnsi="宋体" w:eastAsia="宋体"/>
          <w:bCs/>
          <w:color w:val="auto"/>
          <w:highlight w:val="none"/>
          <w:lang w:eastAsia="zh-CN"/>
        </w:rPr>
        <w:t>乙方</w:t>
      </w:r>
      <w:r>
        <w:rPr>
          <w:rFonts w:hint="eastAsia" w:hAnsi="宋体"/>
          <w:bCs/>
          <w:color w:val="auto"/>
          <w:highlight w:val="none"/>
        </w:rPr>
        <w:t>要确保所供材料的及时到位。</w:t>
      </w:r>
      <w:r>
        <w:rPr>
          <w:rFonts w:hint="eastAsia" w:hAnsi="宋体"/>
          <w:bCs/>
          <w:color w:val="auto"/>
          <w:highlight w:val="none"/>
          <w:lang w:eastAsia="zh-CN"/>
        </w:rPr>
        <w:t>乙方</w:t>
      </w:r>
      <w:r>
        <w:rPr>
          <w:rFonts w:hint="eastAsia" w:hAnsi="宋体"/>
          <w:bCs/>
          <w:color w:val="auto"/>
          <w:highlight w:val="none"/>
        </w:rPr>
        <w:t>必须全天候24小时满足甲方的供货要求，并指定专门的联系人为甲方服务。</w:t>
      </w:r>
      <w:r>
        <w:rPr>
          <w:rFonts w:hint="eastAsia" w:cs="Arial"/>
          <w:bCs/>
          <w:color w:val="auto"/>
          <w:kern w:val="2"/>
          <w:highlight w:val="none"/>
        </w:rPr>
        <w:t>根据甲方</w:t>
      </w:r>
      <w:r>
        <w:rPr>
          <w:rFonts w:hint="eastAsia" w:cs="Arial"/>
          <w:bCs/>
          <w:color w:val="auto"/>
          <w:kern w:val="2"/>
          <w:highlight w:val="none"/>
          <w:lang w:eastAsia="zh-CN"/>
        </w:rPr>
        <w:t>需求</w:t>
      </w:r>
      <w:r>
        <w:rPr>
          <w:rFonts w:hint="eastAsia" w:cs="Arial"/>
          <w:bCs/>
          <w:color w:val="auto"/>
          <w:kern w:val="2"/>
          <w:highlight w:val="none"/>
        </w:rPr>
        <w:t>，分期分批供货。</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供货地点：</w:t>
      </w:r>
      <w:r>
        <w:rPr>
          <w:rFonts w:hint="eastAsia" w:hAnsi="宋体" w:eastAsia="宋体"/>
          <w:bCs/>
          <w:color w:val="auto"/>
          <w:highlight w:val="none"/>
          <w:lang w:eastAsia="zh-CN"/>
        </w:rPr>
        <w:t>乙方</w:t>
      </w:r>
      <w:r>
        <w:rPr>
          <w:rFonts w:hint="eastAsia" w:ascii="宋体" w:hAnsi="宋体" w:eastAsia="宋体" w:cs="宋体"/>
          <w:color w:val="auto"/>
          <w:sz w:val="21"/>
          <w:szCs w:val="21"/>
          <w:highlight w:val="none"/>
          <w:lang w:eastAsia="zh-CN"/>
        </w:rPr>
        <w:t>碎石机制砂加工场地出入口</w:t>
      </w:r>
      <w:r>
        <w:rPr>
          <w:rFonts w:hint="eastAsia" w:ascii="宋体" w:hAnsi="宋体" w:eastAsia="宋体" w:cs="宋体"/>
          <w:color w:val="auto"/>
          <w:sz w:val="21"/>
          <w:szCs w:val="21"/>
          <w:highlight w:val="none"/>
          <w:lang w:val="en-US" w:eastAsia="zh-CN"/>
        </w:rPr>
        <w:t>500m范围内</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供货数量：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提前2天</w:t>
      </w:r>
      <w:r>
        <w:rPr>
          <w:rFonts w:hint="eastAsia" w:hAnsi="宋体"/>
          <w:bCs/>
          <w:color w:val="auto"/>
          <w:highlight w:val="none"/>
        </w:rPr>
        <w:t>书面或电话方式</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要求数量按时供货。如由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原因引起的要求延期供应，</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 xml:space="preserve">应无条件配合。 </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rPr>
      </w:pPr>
      <w:r>
        <w:rPr>
          <w:rFonts w:hint="eastAsia" w:hAnsi="宋体"/>
          <w:bCs/>
          <w:color w:val="auto"/>
          <w:highlight w:val="none"/>
          <w:lang w:val="en-US" w:eastAsia="zh-CN"/>
        </w:rPr>
        <w:t>5</w:t>
      </w:r>
      <w:r>
        <w:rPr>
          <w:rFonts w:hint="eastAsia" w:hAnsi="宋体"/>
          <w:bCs/>
          <w:color w:val="auto"/>
          <w:highlight w:val="none"/>
        </w:rPr>
        <w:t>、</w:t>
      </w:r>
      <w:r>
        <w:rPr>
          <w:rFonts w:hint="eastAsia" w:hAnsi="宋体"/>
          <w:bCs/>
          <w:color w:val="auto"/>
          <w:highlight w:val="none"/>
          <w:lang w:eastAsia="zh-CN"/>
        </w:rPr>
        <w:t>甲方负责成品料的场外运输，乙方负责成品料的装车、过磅。</w:t>
      </w:r>
      <w:r>
        <w:rPr>
          <w:rFonts w:hint="eastAsia" w:hAnsi="宋体"/>
          <w:color w:val="auto"/>
          <w:highlight w:val="none"/>
          <w:lang w:eastAsia="zh-CN"/>
        </w:rPr>
        <w:t>成品料</w:t>
      </w:r>
      <w:r>
        <w:rPr>
          <w:rFonts w:hint="eastAsia" w:ascii="宋体" w:hAnsi="宋体"/>
          <w:color w:val="auto"/>
          <w:highlight w:val="none"/>
        </w:rPr>
        <w:t>在</w:t>
      </w:r>
      <w:r>
        <w:rPr>
          <w:rFonts w:hint="eastAsia" w:hAnsi="宋体"/>
          <w:color w:val="auto"/>
          <w:highlight w:val="none"/>
          <w:lang w:eastAsia="zh-CN"/>
        </w:rPr>
        <w:t>乙方</w:t>
      </w:r>
      <w:r>
        <w:rPr>
          <w:rFonts w:hint="eastAsia" w:ascii="宋体" w:hAnsi="宋体"/>
          <w:color w:val="auto"/>
          <w:highlight w:val="none"/>
        </w:rPr>
        <w:t>场地过磅，双方</w:t>
      </w:r>
      <w:r>
        <w:rPr>
          <w:rFonts w:hint="eastAsia" w:hAnsi="宋体"/>
          <w:color w:val="auto"/>
          <w:highlight w:val="none"/>
          <w:lang w:eastAsia="zh-CN"/>
        </w:rPr>
        <w:t>（</w:t>
      </w:r>
      <w:r>
        <w:rPr>
          <w:rFonts w:hint="eastAsia" w:ascii="宋体" w:hAnsi="宋体" w:cs="宋体"/>
          <w:color w:val="auto"/>
          <w:sz w:val="21"/>
          <w:szCs w:val="21"/>
          <w:highlight w:val="none"/>
          <w:lang w:eastAsia="zh-CN"/>
        </w:rPr>
        <w:t>有监理则三方</w:t>
      </w:r>
      <w:r>
        <w:rPr>
          <w:rFonts w:hint="eastAsia" w:hAnsi="宋体"/>
          <w:color w:val="auto"/>
          <w:highlight w:val="none"/>
          <w:lang w:eastAsia="zh-CN"/>
        </w:rPr>
        <w:t>）</w:t>
      </w:r>
      <w:r>
        <w:rPr>
          <w:rFonts w:hint="eastAsia" w:ascii="宋体" w:hAnsi="宋体"/>
          <w:color w:val="auto"/>
          <w:highlight w:val="none"/>
        </w:rPr>
        <w:t>验收数量无异议后，由双方</w:t>
      </w:r>
      <w:r>
        <w:rPr>
          <w:rFonts w:hint="eastAsia" w:hAnsi="宋体"/>
          <w:color w:val="auto"/>
          <w:highlight w:val="none"/>
          <w:lang w:eastAsia="zh-CN"/>
        </w:rPr>
        <w:t>（</w:t>
      </w:r>
      <w:r>
        <w:rPr>
          <w:rFonts w:hint="eastAsia" w:ascii="宋体" w:hAnsi="宋体" w:cs="宋体"/>
          <w:color w:val="auto"/>
          <w:sz w:val="21"/>
          <w:szCs w:val="21"/>
          <w:highlight w:val="none"/>
          <w:lang w:eastAsia="zh-CN"/>
        </w:rPr>
        <w:t>有监理则三方</w:t>
      </w:r>
      <w:r>
        <w:rPr>
          <w:rFonts w:hint="eastAsia" w:hAnsi="宋体"/>
          <w:color w:val="auto"/>
          <w:highlight w:val="none"/>
          <w:lang w:eastAsia="zh-CN"/>
        </w:rPr>
        <w:t>）</w:t>
      </w:r>
      <w:r>
        <w:rPr>
          <w:rFonts w:hint="eastAsia" w:ascii="宋体" w:hAnsi="宋体"/>
          <w:color w:val="auto"/>
          <w:highlight w:val="none"/>
        </w:rPr>
        <w:t>代表在‘</w:t>
      </w:r>
      <w:r>
        <w:rPr>
          <w:rFonts w:hint="eastAsia" w:hAnsi="宋体"/>
          <w:color w:val="auto"/>
          <w:highlight w:val="none"/>
          <w:lang w:eastAsia="zh-CN"/>
        </w:rPr>
        <w:t>收料单</w:t>
      </w:r>
      <w:r>
        <w:rPr>
          <w:rFonts w:hint="eastAsia" w:ascii="宋体" w:hAnsi="宋体"/>
          <w:color w:val="auto"/>
          <w:highlight w:val="none"/>
        </w:rPr>
        <w:t>’上签字，</w:t>
      </w:r>
      <w:r>
        <w:rPr>
          <w:rFonts w:hint="eastAsia" w:hAnsi="宋体" w:cs="宋体"/>
          <w:color w:val="auto"/>
          <w:sz w:val="21"/>
          <w:szCs w:val="21"/>
          <w:highlight w:val="none"/>
          <w:lang w:eastAsia="zh-CN"/>
        </w:rPr>
        <w:t>乙方</w:t>
      </w:r>
      <w:r>
        <w:rPr>
          <w:rFonts w:hint="eastAsia" w:hAnsi="宋体"/>
          <w:bCs/>
          <w:color w:val="auto"/>
          <w:highlight w:val="none"/>
        </w:rPr>
        <w:t>即完成交货义务（但交货完成仅代表货物数量验收完成）。</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6、</w:t>
      </w:r>
      <w:r>
        <w:rPr>
          <w:rFonts w:hint="eastAsia" w:hAnsi="宋体"/>
          <w:bCs/>
          <w:color w:val="auto"/>
          <w:highlight w:val="none"/>
          <w:lang w:val="zh-CN" w:eastAsia="zh-CN"/>
        </w:rPr>
        <w:t>如发现乙方私自卖砂石，则视作偷盗行为，数额较小的作以一罚十处理，数额较大的甲方有权没收乙方履约保证金，终止合同，并移交公安机关处理。</w:t>
      </w:r>
    </w:p>
    <w:p>
      <w:pPr>
        <w:pStyle w:val="11"/>
        <w:keepNext w:val="0"/>
        <w:keepLines w:val="0"/>
        <w:pageBreakBefore w:val="0"/>
        <w:widowControl w:val="0"/>
        <w:kinsoku/>
        <w:wordWrap/>
        <w:overflowPunct/>
        <w:topLinePunct w:val="0"/>
        <w:autoSpaceDE/>
        <w:autoSpaceDN/>
        <w:bidi w:val="0"/>
        <w:snapToGrid w:val="0"/>
        <w:spacing w:line="440" w:lineRule="exact"/>
        <w:ind w:left="410" w:hanging="358" w:hangingChars="170"/>
        <w:textAlignment w:val="auto"/>
        <w:rPr>
          <w:rFonts w:hAnsi="宋体"/>
          <w:b/>
          <w:color w:val="auto"/>
          <w:highlight w:val="none"/>
        </w:rPr>
      </w:pPr>
      <w:r>
        <w:rPr>
          <w:rFonts w:hint="eastAsia" w:hAnsi="宋体"/>
          <w:b/>
          <w:color w:val="auto"/>
          <w:highlight w:val="none"/>
          <w:lang w:eastAsia="zh-CN"/>
        </w:rPr>
        <w:t>六</w:t>
      </w:r>
      <w:r>
        <w:rPr>
          <w:rFonts w:hint="eastAsia" w:hAnsi="宋体"/>
          <w:b/>
          <w:color w:val="auto"/>
          <w:highlight w:val="none"/>
        </w:rPr>
        <w:t>、履约保证金</w:t>
      </w:r>
    </w:p>
    <w:p>
      <w:pPr>
        <w:keepNext w:val="0"/>
        <w:keepLines w:val="0"/>
        <w:pageBreakBefore w:val="0"/>
        <w:widowControl w:val="0"/>
        <w:numPr>
          <w:ilvl w:val="0"/>
          <w:numId w:val="0"/>
        </w:numPr>
        <w:kinsoku/>
        <w:wordWrap/>
        <w:overflowPunct/>
        <w:topLinePunct w:val="0"/>
        <w:autoSpaceDE/>
        <w:autoSpaceDN/>
        <w:bidi w:val="0"/>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hAnsi="宋体"/>
          <w:bCs/>
          <w:color w:val="auto"/>
          <w:highlight w:val="none"/>
          <w:lang w:eastAsia="zh-CN"/>
        </w:rPr>
        <w:t>乙方</w:t>
      </w:r>
      <w:r>
        <w:rPr>
          <w:rFonts w:hint="eastAsia" w:ascii="宋体" w:hAnsi="宋体" w:eastAsia="宋体" w:cs="宋体"/>
          <w:color w:val="auto"/>
          <w:sz w:val="21"/>
          <w:szCs w:val="21"/>
          <w:highlight w:val="none"/>
        </w:rPr>
        <w:t>须向采购单位缴纳</w:t>
      </w:r>
      <w:r>
        <w:rPr>
          <w:rFonts w:hint="eastAsia" w:ascii="宋体" w:hAnsi="宋体" w:eastAsia="宋体" w:cs="宋体"/>
          <w:b/>
          <w:bCs/>
          <w:color w:val="auto"/>
          <w:sz w:val="21"/>
          <w:szCs w:val="21"/>
          <w:highlight w:val="none"/>
          <w:u w:val="none"/>
          <w:lang w:eastAsia="zh-CN"/>
        </w:rPr>
        <w:t>合同价</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color w:val="auto"/>
          <w:sz w:val="21"/>
          <w:szCs w:val="21"/>
          <w:highlight w:val="none"/>
        </w:rPr>
        <w:t>的履约保证金，履约保证金在合同履约完成结合服务考核后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个工作日内无息退还。</w:t>
      </w:r>
    </w:p>
    <w:p>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b/>
          <w:bCs/>
          <w:color w:val="auto"/>
          <w:sz w:val="21"/>
          <w:szCs w:val="21"/>
          <w:highlight w:val="none"/>
        </w:rPr>
      </w:pPr>
      <w:r>
        <w:rPr>
          <w:rFonts w:hint="eastAsia" w:hAnsi="宋体"/>
          <w:b/>
          <w:color w:val="auto"/>
          <w:highlight w:val="none"/>
          <w:lang w:eastAsia="zh-CN"/>
        </w:rPr>
        <w:t>七</w:t>
      </w:r>
      <w:r>
        <w:rPr>
          <w:rFonts w:hint="eastAsia" w:hAnsi="宋体"/>
          <w:b/>
          <w:color w:val="auto"/>
          <w:highlight w:val="none"/>
        </w:rPr>
        <w:t>、</w:t>
      </w:r>
      <w:r>
        <w:rPr>
          <w:rFonts w:hint="eastAsia" w:ascii="宋体" w:hAnsi="宋体" w:eastAsia="宋体" w:cs="宋体"/>
          <w:b/>
          <w:bCs/>
          <w:color w:val="auto"/>
          <w:sz w:val="21"/>
          <w:szCs w:val="21"/>
          <w:highlight w:val="none"/>
        </w:rPr>
        <w:t>服务考核</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1、如因乙方原因不能按时供货，由此造成的经济损失由乙方承担，每发生一次扣履约保证金5000元，超过三次甲方有权解除本合同并扣除100%履约保证金。</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default" w:hAnsi="宋体"/>
          <w:bCs/>
          <w:color w:val="auto"/>
          <w:highlight w:val="none"/>
          <w:lang w:val="en-US" w:eastAsia="zh-CN"/>
        </w:rPr>
      </w:pPr>
      <w:r>
        <w:rPr>
          <w:rFonts w:hint="eastAsia" w:hAnsi="宋体"/>
          <w:bCs/>
          <w:color w:val="auto"/>
          <w:highlight w:val="none"/>
          <w:lang w:val="en-US" w:eastAsia="zh-CN"/>
        </w:rPr>
        <w:t>2、在使用期间如甲方发现机制砂、碎石存在质量问题时，甲方有权对存在问题的机制砂、碎石进行取样、封存，并委托双方认可的第三方检测机构进行检验，相关费用由乙方承担。若检测不合格，全部退回本次供货，在第二次重新供货时，若供料品质在随机抽样检测中仍不合格的，甲方有权解除合同，并扣除100%履约保证金，由此造成的一切后果由乙方承担。</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default" w:hAnsi="宋体"/>
          <w:bCs/>
          <w:color w:val="auto"/>
          <w:highlight w:val="none"/>
          <w:lang w:val="en-US" w:eastAsia="zh-CN"/>
        </w:rPr>
      </w:pPr>
      <w:r>
        <w:rPr>
          <w:rFonts w:hint="eastAsia" w:hAnsi="宋体"/>
          <w:bCs/>
          <w:color w:val="auto"/>
          <w:highlight w:val="none"/>
          <w:lang w:val="en-US" w:eastAsia="zh-CN"/>
        </w:rPr>
        <w:t>3、如合同履约过程中，经整改后实际生产能力仍达不到300吨/小时，甲方有权单方解除合同并扣除100%履约保证金。</w:t>
      </w:r>
    </w:p>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int="eastAsia" w:hAnsi="宋体"/>
          <w:b/>
          <w:bCs/>
          <w:color w:val="auto"/>
          <w:highlight w:val="none"/>
        </w:rPr>
      </w:pPr>
      <w:r>
        <w:rPr>
          <w:rFonts w:hint="eastAsia" w:hAnsi="宋体"/>
          <w:b/>
          <w:bCs/>
          <w:color w:val="auto"/>
          <w:highlight w:val="none"/>
          <w:lang w:eastAsia="zh-CN"/>
        </w:rPr>
        <w:t>八</w:t>
      </w:r>
      <w:r>
        <w:rPr>
          <w:rFonts w:hint="eastAsia" w:hAnsi="宋体"/>
          <w:b/>
          <w:bCs/>
          <w:color w:val="auto"/>
          <w:highlight w:val="none"/>
        </w:rPr>
        <w:t>、结算与支付方式</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1、本项目为</w:t>
      </w:r>
      <w:r>
        <w:rPr>
          <w:rFonts w:hint="eastAsia" w:hAnsi="宋体"/>
          <w:b/>
          <w:bCs w:val="0"/>
          <w:color w:val="auto"/>
          <w:highlight w:val="none"/>
          <w:lang w:val="en-US" w:eastAsia="zh-CN"/>
        </w:rPr>
        <w:t>固定单价合同</w:t>
      </w:r>
      <w:r>
        <w:rPr>
          <w:rFonts w:hint="eastAsia" w:hAnsi="宋体"/>
          <w:bCs/>
          <w:color w:val="auto"/>
          <w:highlight w:val="none"/>
          <w:lang w:val="en-US" w:eastAsia="zh-CN"/>
        </w:rPr>
        <w:t>，数量按实结算。</w:t>
      </w:r>
      <w:r>
        <w:rPr>
          <w:rFonts w:hint="eastAsia" w:hAnsi="宋体"/>
          <w:b/>
          <w:bCs w:val="0"/>
          <w:color w:val="auto"/>
          <w:highlight w:val="none"/>
          <w:lang w:val="en-US" w:eastAsia="zh-CN"/>
        </w:rPr>
        <w:t>结算款=甲方实际销售的成品料数量×中标单价。</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2、成品料在乙方场地过磅，双方（有监理则三方）验收数量无异议后，由双方（有监理则三方）代表在‘收料单’上签字，乙方即完成交货义务（但交货完成仅代表货物数量验收完成）。未有双方签字（有监理则三方）的，不能作为结算依据。</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3、付款方式：按月结算，乙方在每月22日前向甲方提供全套结算资料及支付凭证，每月按</w:t>
      </w:r>
      <w:r>
        <w:rPr>
          <w:rFonts w:hint="eastAsia" w:hAnsi="宋体"/>
          <w:b w:val="0"/>
          <w:bCs/>
          <w:color w:val="auto"/>
          <w:highlight w:val="none"/>
          <w:lang w:val="en-US" w:eastAsia="zh-CN"/>
        </w:rPr>
        <w:t>甲方实际销售的成品料数量</w:t>
      </w:r>
      <w:r>
        <w:rPr>
          <w:rFonts w:hint="eastAsia" w:hAnsi="宋体"/>
          <w:bCs/>
          <w:color w:val="auto"/>
          <w:highlight w:val="none"/>
          <w:lang w:val="en-US" w:eastAsia="zh-CN"/>
        </w:rPr>
        <w:t>支付实际结算款的</w:t>
      </w:r>
      <w:r>
        <w:rPr>
          <w:rFonts w:hint="eastAsia" w:hAnsi="宋体"/>
          <w:b/>
          <w:bCs w:val="0"/>
          <w:color w:val="auto"/>
          <w:highlight w:val="none"/>
          <w:lang w:val="en-US" w:eastAsia="zh-CN"/>
        </w:rPr>
        <w:t>97.5%</w:t>
      </w:r>
      <w:r>
        <w:rPr>
          <w:rFonts w:hint="eastAsia" w:hAnsi="宋体"/>
          <w:bCs/>
          <w:color w:val="auto"/>
          <w:highlight w:val="none"/>
          <w:lang w:val="en-US" w:eastAsia="zh-CN"/>
        </w:rPr>
        <w:t>，余款2.5%质保金按季度返还，在下一季度并提供全部技术资料后无息返还；支付前提供与支付金额等额的增值税专用发票。</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4、甲方可根据实际情况增加或减少供货数量，乙方须无条件服从，并按实际销售数量结算。数量不论增减多少，单价不变，乙方不得拒绝。结算时乙方必须根据实际使用量供货，最终结算金额按实际销售数量进行结算。</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eastAsia="宋体"/>
          <w:bCs/>
          <w:color w:val="auto"/>
          <w:highlight w:val="none"/>
          <w:lang w:val="en-US" w:eastAsia="zh-CN"/>
        </w:rPr>
      </w:pPr>
      <w:r>
        <w:rPr>
          <w:rFonts w:hint="eastAsia" w:hAnsi="宋体"/>
          <w:bCs/>
          <w:color w:val="auto"/>
          <w:highlight w:val="none"/>
          <w:lang w:val="en-US" w:eastAsia="zh-CN"/>
        </w:rPr>
        <w:t>5、服务期内如实际销售的成品料数量超出80万吨，超出部分数量甲方予以奖励1元/吨；如因甲方原料供应不足造成实际销售的成品料数量不足80万吨，不足部分数量甲方予以补贴1元/吨；如甲方原料供应充足，因乙方生产能力不足等原因造成实际销售的成品料数量不足80万吨，不足部分数量甲方予以罚款1元/吨。</w:t>
      </w:r>
    </w:p>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Ansi="宋体"/>
          <w:b/>
          <w:color w:val="auto"/>
          <w:highlight w:val="none"/>
        </w:rPr>
      </w:pPr>
      <w:r>
        <w:rPr>
          <w:rFonts w:hint="eastAsia" w:hAnsi="宋体"/>
          <w:b/>
          <w:bCs/>
          <w:color w:val="auto"/>
          <w:highlight w:val="none"/>
          <w:lang w:eastAsia="zh-CN"/>
        </w:rPr>
        <w:t>九</w:t>
      </w:r>
      <w:r>
        <w:rPr>
          <w:rFonts w:hint="eastAsia" w:hAnsi="宋体"/>
          <w:b/>
          <w:bCs/>
          <w:color w:val="auto"/>
          <w:highlight w:val="none"/>
        </w:rPr>
        <w:t>、</w:t>
      </w:r>
      <w:r>
        <w:rPr>
          <w:rFonts w:hint="eastAsia" w:hAnsi="宋体"/>
          <w:b/>
          <w:color w:val="auto"/>
          <w:highlight w:val="none"/>
        </w:rPr>
        <w:t>转包或分包</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1、本合同范围的货物，应由乙方直接供应，不得转让他人供应；</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2、除非得到甲方的书面同意，乙方不得将本合同范围的货物全部或部分分包给他人供应；</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3、如有转让和未经甲方同意的分包行为，甲方有权解除合同，履约保证金不予退回并追究乙方的违约责任。</w:t>
      </w:r>
    </w:p>
    <w:p>
      <w:pPr>
        <w:keepNext w:val="0"/>
        <w:keepLines w:val="0"/>
        <w:pageBreakBefore w:val="0"/>
        <w:widowControl w:val="0"/>
        <w:kinsoku/>
        <w:wordWrap/>
        <w:overflowPunct/>
        <w:topLinePunct w:val="0"/>
        <w:autoSpaceDE/>
        <w:autoSpaceDN/>
        <w:bidi w:val="0"/>
        <w:spacing w:line="440" w:lineRule="exact"/>
        <w:ind w:firstLine="480"/>
        <w:textAlignment w:val="auto"/>
        <w:rPr>
          <w:rFonts w:hAnsi="宋体"/>
          <w:b/>
          <w:color w:val="auto"/>
          <w:highlight w:val="none"/>
        </w:rPr>
      </w:pPr>
      <w:r>
        <w:rPr>
          <w:rFonts w:hint="eastAsia" w:hAnsi="宋体"/>
          <w:b/>
          <w:color w:val="auto"/>
          <w:highlight w:val="none"/>
        </w:rPr>
        <w:t>十、不可抗力事件处理</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1.在合同有效期内，任何一方因不可抗力事件导致不能履行合同，则合同履行期可延长，其延长期与不可抗力影响期相同。</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2.不可抗力事件发生后，应立即通知对方，并寄送有关权威机构出具的证明。</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3.不可抗力事件延续120天以上，双方应通过友好协商，确定是否继续履行合同。</w:t>
      </w:r>
    </w:p>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Ansi="宋体"/>
          <w:b/>
          <w:color w:val="auto"/>
          <w:highlight w:val="none"/>
        </w:rPr>
      </w:pPr>
      <w:r>
        <w:rPr>
          <w:rFonts w:hint="eastAsia" w:hAnsi="宋体"/>
          <w:b/>
          <w:color w:val="auto"/>
          <w:highlight w:val="none"/>
        </w:rPr>
        <w:t>十</w:t>
      </w:r>
      <w:r>
        <w:rPr>
          <w:rFonts w:hint="eastAsia" w:hAnsi="宋体"/>
          <w:b/>
          <w:color w:val="auto"/>
          <w:highlight w:val="none"/>
          <w:lang w:eastAsia="zh-CN"/>
        </w:rPr>
        <w:t>一</w:t>
      </w:r>
      <w:r>
        <w:rPr>
          <w:rFonts w:hint="eastAsia" w:hAnsi="宋体"/>
          <w:b/>
          <w:color w:val="auto"/>
          <w:highlight w:val="none"/>
        </w:rPr>
        <w:t>、诉讼</w:t>
      </w:r>
    </w:p>
    <w:p>
      <w:pPr>
        <w:pStyle w:val="11"/>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Ansi="宋体"/>
          <w:color w:val="auto"/>
          <w:highlight w:val="none"/>
        </w:rPr>
      </w:pPr>
      <w:r>
        <w:rPr>
          <w:rFonts w:hint="eastAsia" w:hAnsi="宋体"/>
          <w:color w:val="auto"/>
          <w:highlight w:val="none"/>
        </w:rPr>
        <w:t>双方在执行合同中所发生的一切争议，应通过协商解决。如协商不成，可向甲方所在地人民法院起诉。</w:t>
      </w:r>
    </w:p>
    <w:p>
      <w:pPr>
        <w:pStyle w:val="11"/>
        <w:keepNext w:val="0"/>
        <w:keepLines w:val="0"/>
        <w:pageBreakBefore w:val="0"/>
        <w:widowControl w:val="0"/>
        <w:kinsoku/>
        <w:wordWrap/>
        <w:overflowPunct/>
        <w:topLinePunct w:val="0"/>
        <w:autoSpaceDE/>
        <w:autoSpaceDN/>
        <w:bidi w:val="0"/>
        <w:snapToGrid w:val="0"/>
        <w:spacing w:line="440" w:lineRule="exact"/>
        <w:textAlignment w:val="auto"/>
        <w:rPr>
          <w:rFonts w:hAnsi="宋体"/>
          <w:b/>
          <w:color w:val="auto"/>
          <w:highlight w:val="none"/>
        </w:rPr>
      </w:pPr>
      <w:r>
        <w:rPr>
          <w:rFonts w:hint="eastAsia" w:hAnsi="宋体"/>
          <w:b/>
          <w:color w:val="auto"/>
          <w:highlight w:val="none"/>
        </w:rPr>
        <w:t>十</w:t>
      </w:r>
      <w:r>
        <w:rPr>
          <w:rFonts w:hint="eastAsia" w:hAnsi="宋体"/>
          <w:b/>
          <w:color w:val="auto"/>
          <w:highlight w:val="none"/>
          <w:lang w:eastAsia="zh-CN"/>
        </w:rPr>
        <w:t>二</w:t>
      </w:r>
      <w:r>
        <w:rPr>
          <w:rFonts w:hint="eastAsia" w:hAnsi="宋体"/>
          <w:b/>
          <w:color w:val="auto"/>
          <w:highlight w:val="none"/>
        </w:rPr>
        <w:t>、合同生效及其它</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1.合同经双方法定代表人或授权代表签字并加盖单位公章后生效。</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2.合同执行中涉及采购资金和采购内容修改或补充的，签书面补充协议，作为主合同不可分割的一部分。</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3.本合同未尽事宜，遵照《合同法》有关条文执行。</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4. 本合同正本一式四份,甲乙双方签字盖章后生效。</w:t>
      </w:r>
    </w:p>
    <w:p>
      <w:pPr>
        <w:pStyle w:val="11"/>
        <w:snapToGrid w:val="0"/>
        <w:spacing w:beforeLines="0" w:afterLines="0" w:line="480" w:lineRule="exact"/>
        <w:ind w:firstLine="210" w:firstLineChars="100"/>
        <w:rPr>
          <w:rFonts w:hAnsi="宋体"/>
          <w:color w:val="auto"/>
          <w:highlight w:val="none"/>
        </w:rPr>
      </w:pPr>
      <w:r>
        <w:rPr>
          <w:rFonts w:hint="eastAsia" w:hAnsi="宋体"/>
          <w:color w:val="auto"/>
          <w:highlight w:val="none"/>
        </w:rPr>
        <w:t>甲方（盖章）：</w:t>
      </w:r>
      <w:r>
        <w:rPr>
          <w:rFonts w:hint="eastAsia" w:hAnsi="宋体"/>
          <w:color w:val="auto"/>
          <w:highlight w:val="none"/>
          <w:lang w:val="en-US" w:eastAsia="zh-CN"/>
        </w:rPr>
        <w:t xml:space="preserve"> </w:t>
      </w:r>
      <w:r>
        <w:rPr>
          <w:rFonts w:hint="eastAsia" w:hAnsi="宋体"/>
          <w:color w:val="auto"/>
          <w:highlight w:val="none"/>
        </w:rPr>
        <w:t xml:space="preserve">    </w:t>
      </w:r>
    </w:p>
    <w:p>
      <w:pPr>
        <w:pStyle w:val="11"/>
        <w:snapToGrid w:val="0"/>
        <w:spacing w:beforeLines="0" w:afterLines="0" w:line="480" w:lineRule="exact"/>
        <w:rPr>
          <w:rFonts w:hAnsi="宋体"/>
          <w:color w:val="auto"/>
          <w:highlight w:val="none"/>
        </w:rPr>
      </w:pPr>
      <w:r>
        <w:rPr>
          <w:rFonts w:hint="eastAsia" w:hAnsi="宋体"/>
          <w:color w:val="auto"/>
          <w:highlight w:val="none"/>
        </w:rPr>
        <w:t xml:space="preserve">  地址：                                    </w:t>
      </w:r>
    </w:p>
    <w:p>
      <w:pPr>
        <w:pStyle w:val="11"/>
        <w:snapToGrid w:val="0"/>
        <w:spacing w:beforeLines="0" w:afterLines="0" w:line="480" w:lineRule="exact"/>
        <w:rPr>
          <w:rFonts w:hAnsi="宋体"/>
          <w:color w:val="auto"/>
          <w:highlight w:val="none"/>
        </w:rPr>
      </w:pPr>
      <w:r>
        <w:rPr>
          <w:rFonts w:hint="eastAsia" w:hAnsi="宋体"/>
          <w:color w:val="auto"/>
          <w:highlight w:val="none"/>
        </w:rPr>
        <w:t xml:space="preserve">  法定（授权）代表人：                     </w:t>
      </w:r>
    </w:p>
    <w:p>
      <w:pPr>
        <w:pStyle w:val="11"/>
        <w:snapToGrid w:val="0"/>
        <w:spacing w:beforeLines="0" w:afterLines="0" w:line="480" w:lineRule="exact"/>
        <w:ind w:firstLine="210" w:firstLineChars="100"/>
        <w:rPr>
          <w:rFonts w:hAnsi="宋体"/>
          <w:color w:val="auto"/>
          <w:highlight w:val="none"/>
        </w:rPr>
      </w:pPr>
      <w:r>
        <w:rPr>
          <w:rFonts w:hint="eastAsia" w:hAnsi="宋体"/>
          <w:color w:val="auto"/>
          <w:highlight w:val="none"/>
        </w:rPr>
        <w:t xml:space="preserve">签订日期：     年　  月　 日            </w:t>
      </w:r>
    </w:p>
    <w:p>
      <w:pPr>
        <w:pStyle w:val="11"/>
        <w:snapToGrid w:val="0"/>
        <w:spacing w:beforeLines="0" w:afterLines="0" w:line="480" w:lineRule="exact"/>
        <w:ind w:firstLine="315" w:firstLineChars="150"/>
        <w:rPr>
          <w:rFonts w:hint="eastAsia" w:hAnsi="宋体"/>
          <w:color w:val="auto"/>
          <w:highlight w:val="none"/>
        </w:rPr>
      </w:pPr>
    </w:p>
    <w:p>
      <w:pPr>
        <w:pStyle w:val="11"/>
        <w:snapToGrid w:val="0"/>
        <w:spacing w:beforeLines="0" w:afterLines="0" w:line="480" w:lineRule="exact"/>
        <w:ind w:firstLine="315" w:firstLineChars="150"/>
        <w:rPr>
          <w:rFonts w:hint="eastAsia" w:hAnsi="宋体"/>
          <w:color w:val="auto"/>
          <w:highlight w:val="none"/>
        </w:rPr>
      </w:pPr>
      <w:r>
        <w:rPr>
          <w:rFonts w:hint="eastAsia" w:hAnsi="宋体"/>
          <w:color w:val="auto"/>
          <w:highlight w:val="none"/>
          <w:lang w:eastAsia="zh-CN"/>
        </w:rPr>
        <w:t>乙方</w:t>
      </w:r>
      <w:r>
        <w:rPr>
          <w:rFonts w:hint="eastAsia" w:hAnsi="宋体"/>
          <w:color w:val="auto"/>
          <w:highlight w:val="none"/>
        </w:rPr>
        <w:t>（盖章）：</w:t>
      </w:r>
    </w:p>
    <w:p>
      <w:pPr>
        <w:pStyle w:val="11"/>
        <w:snapToGrid w:val="0"/>
        <w:spacing w:beforeLines="0" w:afterLines="0" w:line="480" w:lineRule="exact"/>
        <w:ind w:firstLine="315" w:firstLineChars="150"/>
        <w:rPr>
          <w:rFonts w:hint="eastAsia" w:hAnsi="宋体"/>
          <w:color w:val="auto"/>
          <w:highlight w:val="none"/>
        </w:rPr>
      </w:pPr>
      <w:r>
        <w:rPr>
          <w:rFonts w:hint="eastAsia" w:hAnsi="宋体"/>
          <w:color w:val="auto"/>
          <w:highlight w:val="none"/>
        </w:rPr>
        <w:t>地址：</w:t>
      </w:r>
    </w:p>
    <w:p>
      <w:pPr>
        <w:pStyle w:val="11"/>
        <w:snapToGrid w:val="0"/>
        <w:spacing w:beforeLines="0" w:afterLines="0" w:line="480" w:lineRule="exact"/>
        <w:ind w:firstLine="315" w:firstLineChars="150"/>
        <w:rPr>
          <w:rFonts w:hint="eastAsia" w:hAnsi="宋体"/>
          <w:color w:val="auto"/>
          <w:highlight w:val="none"/>
        </w:rPr>
      </w:pPr>
      <w:r>
        <w:rPr>
          <w:rFonts w:hint="eastAsia" w:hAnsi="宋体"/>
          <w:color w:val="auto"/>
          <w:highlight w:val="none"/>
        </w:rPr>
        <w:t>法定（授权）代表人：</w:t>
      </w:r>
    </w:p>
    <w:p>
      <w:pPr>
        <w:pStyle w:val="11"/>
        <w:snapToGrid w:val="0"/>
        <w:spacing w:beforeLines="0" w:afterLines="0" w:line="480" w:lineRule="exact"/>
        <w:ind w:firstLine="315" w:firstLineChars="150"/>
        <w:rPr>
          <w:rFonts w:hint="eastAsia" w:hAnsi="宋体"/>
          <w:color w:val="auto"/>
          <w:highlight w:val="none"/>
        </w:rPr>
      </w:pPr>
      <w:r>
        <w:rPr>
          <w:rFonts w:hint="eastAsia" w:hAnsi="宋体"/>
          <w:color w:val="auto"/>
          <w:highlight w:val="none"/>
        </w:rPr>
        <w:t>签订日期：     年　  月　 日</w:t>
      </w:r>
    </w:p>
    <w:p>
      <w:pPr>
        <w:pStyle w:val="11"/>
        <w:snapToGrid w:val="0"/>
        <w:spacing w:beforeLines="0" w:afterLines="0" w:line="480" w:lineRule="exact"/>
        <w:ind w:firstLine="315" w:firstLineChars="150"/>
        <w:rPr>
          <w:rFonts w:hint="eastAsia" w:hAnsi="宋体"/>
          <w:color w:val="auto"/>
          <w:highlight w:val="none"/>
        </w:rPr>
      </w:pPr>
    </w:p>
    <w:p>
      <w:pPr>
        <w:snapToGrid w:val="0"/>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廉政合同</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甲   方：  </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   方：</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为加强采购业务活动中的廉政建设，规范供需双方的各项活动，防止发生各种谋取不正当利益的违法违纪行为，保护国家、集体和当事人的合法权益，根据国家有关法律法规和廉政建设责任制度规定，特签订廉政合同。</w:t>
      </w:r>
    </w:p>
    <w:p>
      <w:pPr>
        <w:snapToGrid w:val="0"/>
        <w:spacing w:line="360" w:lineRule="auto"/>
        <w:ind w:firstLine="422" w:firstLineChars="200"/>
        <w:jc w:val="left"/>
        <w:rPr>
          <w:rFonts w:hint="eastAsia" w:ascii="宋体" w:hAnsi="宋体"/>
          <w:color w:val="auto"/>
          <w:szCs w:val="21"/>
          <w:highlight w:val="none"/>
        </w:rPr>
      </w:pPr>
      <w:r>
        <w:rPr>
          <w:rFonts w:hint="eastAsia" w:ascii="宋体" w:hAnsi="宋体"/>
          <w:b/>
          <w:color w:val="auto"/>
          <w:szCs w:val="21"/>
          <w:highlight w:val="none"/>
        </w:rPr>
        <w:t>第一条</w:t>
      </w:r>
      <w:r>
        <w:rPr>
          <w:rFonts w:hint="eastAsia" w:ascii="宋体" w:hAnsi="宋体"/>
          <w:color w:val="auto"/>
          <w:szCs w:val="21"/>
          <w:highlight w:val="none"/>
        </w:rPr>
        <w:t xml:space="preserve">  甲、乙双方约定：</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（一）甲、乙双方应共同严格遵守国家和省市等有关法律、法规和相关政策，以及廉政建设的各项规定。</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（二）甲、乙双方应认真执行双方签订的合同，自觉按合同约定履行责任。</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（三）甲、乙双方的业务活动必须坚持公开、公平、公正、诚信、透明的原则（除法律法规另有规定者外）。不得为获取不正当的利益，损害国家、集体和对方利益；不得违反经济建设管理相关规章制度。</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（四）甲、乙双方有对本方人员开展廉政告知、廉政教育和职业道德教育的义务。</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（五）甲、乙双方应加强对本方人员廉政监督，建立健全廉政制度，认真严肃查处本方人员违法违纪行为。</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（六）甲、乙双方如发现对方人员在业务活动中有违规、违纪、违法行为的，应及时提醒对方并督促其纠正；拒不改正的，向对方纪检监察部门反映情况；情节严重的,直接检察机关反映情况。</w:t>
      </w:r>
    </w:p>
    <w:p>
      <w:pPr>
        <w:snapToGrid w:val="0"/>
        <w:spacing w:line="360" w:lineRule="auto"/>
        <w:ind w:firstLine="422" w:firstLineChars="200"/>
        <w:jc w:val="left"/>
        <w:rPr>
          <w:rFonts w:hint="eastAsia" w:ascii="宋体" w:hAnsi="宋体"/>
          <w:color w:val="auto"/>
          <w:szCs w:val="21"/>
          <w:highlight w:val="none"/>
        </w:rPr>
      </w:pPr>
      <w:r>
        <w:rPr>
          <w:rFonts w:hint="eastAsia" w:ascii="宋体" w:hAnsi="宋体"/>
          <w:b/>
          <w:color w:val="auto"/>
          <w:szCs w:val="21"/>
          <w:highlight w:val="none"/>
        </w:rPr>
        <w:t>第二条</w:t>
      </w:r>
      <w:r>
        <w:rPr>
          <w:rFonts w:hint="eastAsia" w:ascii="宋体" w:hAnsi="宋体"/>
          <w:color w:val="auto"/>
          <w:szCs w:val="21"/>
          <w:highlight w:val="none"/>
        </w:rPr>
        <w:t xml:space="preserve">  乙方的廉政责任</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（一）乙方不得以任何理由向甲方工作人员赠送礼金、有价证券、贵重物品、银行卡及其他支付凭证。</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（二）乙方不得以任何理由或名义向甲方工作人员支付回扣、好处费、感谢费等。</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（三）乙方不得以任何理由或名义为甲方工作人员报销任何应由个人支付的费用。</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（四）乙方不得以任何理由为甲方工作人员购置或长期提供通信工具、交通工具等。</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（五）乙方不得以任何理由为甲方工作人员的住房装修、婚丧嫁娶、配偶子女的工作安排以及出国（境）、旅游等提供方便或支付费用。</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（六）乙方不得以任何理由为甲方工作人员组织有可能影响公正执行公务的宴请和各类休闲娱乐等活动。</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（七）乙方及其工作人员必须严格按照有关规程办事，不得与其他单位互相串通，损害甲方利益。</w:t>
      </w:r>
    </w:p>
    <w:p>
      <w:pPr>
        <w:snapToGrid w:val="0"/>
        <w:spacing w:line="360" w:lineRule="auto"/>
        <w:ind w:firstLine="422" w:firstLineChars="200"/>
        <w:jc w:val="left"/>
        <w:rPr>
          <w:rFonts w:hint="eastAsia" w:ascii="宋体" w:hAnsi="宋体"/>
          <w:color w:val="auto"/>
          <w:szCs w:val="21"/>
          <w:highlight w:val="none"/>
        </w:rPr>
      </w:pPr>
      <w:r>
        <w:rPr>
          <w:rFonts w:hint="eastAsia" w:ascii="宋体" w:hAnsi="宋体"/>
          <w:b/>
          <w:color w:val="auto"/>
          <w:szCs w:val="21"/>
          <w:highlight w:val="none"/>
        </w:rPr>
        <w:t>第三条</w:t>
      </w:r>
      <w:r>
        <w:rPr>
          <w:rFonts w:hint="eastAsia" w:ascii="宋体" w:hAnsi="宋体"/>
          <w:color w:val="auto"/>
          <w:szCs w:val="21"/>
          <w:highlight w:val="none"/>
        </w:rPr>
        <w:t xml:space="preserve">  违约责任</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（一）乙方或其工作人员有违反本合同第一、二条行为的，乙方或其上级单位应对相关责任人员进行处理,并将处理决定通报甲方;给甲方单位造成经济损失的，乙方承担赔偿责任。</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（二）乙方或其工作人员有违反本合同第一、二条行为，被纪检监察部门或检察机关立案查处的，甲方有权中止项目合同，由此造成甲方的经济损失以及一切费用均由乙方承担赔偿责任。</w:t>
      </w:r>
    </w:p>
    <w:p>
      <w:pPr>
        <w:snapToGrid w:val="0"/>
        <w:spacing w:line="360" w:lineRule="auto"/>
        <w:ind w:firstLine="422" w:firstLineChars="200"/>
        <w:jc w:val="left"/>
        <w:rPr>
          <w:rFonts w:hint="eastAsia" w:ascii="宋体" w:hAnsi="宋体"/>
          <w:color w:val="auto"/>
          <w:szCs w:val="21"/>
          <w:highlight w:val="none"/>
        </w:rPr>
      </w:pPr>
      <w:r>
        <w:rPr>
          <w:rFonts w:hint="eastAsia" w:ascii="宋体" w:hAnsi="宋体"/>
          <w:b/>
          <w:color w:val="auto"/>
          <w:szCs w:val="21"/>
          <w:highlight w:val="none"/>
        </w:rPr>
        <w:t>第四条</w:t>
      </w:r>
      <w:r>
        <w:rPr>
          <w:rFonts w:hint="eastAsia" w:ascii="宋体" w:hAnsi="宋体"/>
          <w:color w:val="auto"/>
          <w:szCs w:val="21"/>
          <w:highlight w:val="none"/>
        </w:rPr>
        <w:t xml:space="preserve">  乙方应在每年末或在采购业务执行完毕时，根据规定向甲方提交《廉政合同》执行情况报告；甲方将结合货物验收、乙方资质认证以及年度考评等相关工作对乙方执行廉政合同的情况进行考评。乙方在规定时间不提交《廉政合同》执行情况报告的，甲方将暂停与乙方的所有业务活动。</w:t>
      </w:r>
    </w:p>
    <w:p>
      <w:pPr>
        <w:snapToGrid w:val="0"/>
        <w:spacing w:line="360" w:lineRule="auto"/>
        <w:ind w:firstLine="422" w:firstLineChars="200"/>
        <w:jc w:val="left"/>
        <w:rPr>
          <w:rFonts w:hint="eastAsia" w:ascii="宋体" w:hAnsi="宋体"/>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eastAsia="zh-CN"/>
        </w:rPr>
        <w:t>五</w:t>
      </w:r>
      <w:r>
        <w:rPr>
          <w:rFonts w:hint="eastAsia" w:ascii="宋体" w:hAnsi="宋体"/>
          <w:b/>
          <w:color w:val="auto"/>
          <w:szCs w:val="21"/>
          <w:highlight w:val="none"/>
        </w:rPr>
        <w:t>条</w:t>
      </w:r>
      <w:r>
        <w:rPr>
          <w:rFonts w:hint="eastAsia" w:ascii="宋体" w:hAnsi="宋体"/>
          <w:color w:val="auto"/>
          <w:szCs w:val="21"/>
          <w:highlight w:val="none"/>
        </w:rPr>
        <w:t xml:space="preserve">  本合同作为采购合同的附件，与采购合同具有同等法律效力，经双方签署后立即生效。</w:t>
      </w:r>
    </w:p>
    <w:p>
      <w:pPr>
        <w:snapToGrid w:val="0"/>
        <w:spacing w:line="360" w:lineRule="auto"/>
        <w:ind w:firstLine="422" w:firstLineChars="200"/>
        <w:jc w:val="left"/>
        <w:rPr>
          <w:rFonts w:hint="eastAsia" w:ascii="宋体" w:hAnsi="宋体"/>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eastAsia="zh-CN"/>
        </w:rPr>
        <w:t>六</w:t>
      </w:r>
      <w:r>
        <w:rPr>
          <w:rFonts w:hint="eastAsia" w:ascii="宋体" w:hAnsi="宋体"/>
          <w:b/>
          <w:color w:val="auto"/>
          <w:szCs w:val="21"/>
          <w:highlight w:val="none"/>
        </w:rPr>
        <w:t>条</w:t>
      </w:r>
      <w:r>
        <w:rPr>
          <w:rFonts w:hint="eastAsia" w:ascii="宋体" w:hAnsi="宋体"/>
          <w:color w:val="auto"/>
          <w:szCs w:val="21"/>
          <w:highlight w:val="none"/>
        </w:rPr>
        <w:t xml:space="preserve">  本合同的有效期为双方签署之日起至该采购项目实施完毕时止。</w:t>
      </w:r>
    </w:p>
    <w:p>
      <w:pPr>
        <w:snapToGrid w:val="0"/>
        <w:spacing w:line="360" w:lineRule="auto"/>
        <w:ind w:firstLine="422" w:firstLineChars="200"/>
        <w:jc w:val="left"/>
        <w:rPr>
          <w:rFonts w:hint="eastAsia" w:ascii="宋体" w:hAnsi="宋体"/>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eastAsia="zh-CN"/>
        </w:rPr>
        <w:t>七</w:t>
      </w:r>
      <w:r>
        <w:rPr>
          <w:rFonts w:hint="eastAsia" w:ascii="宋体" w:hAnsi="宋体"/>
          <w:b/>
          <w:color w:val="auto"/>
          <w:szCs w:val="21"/>
          <w:highlight w:val="none"/>
        </w:rPr>
        <w:t>条</w:t>
      </w:r>
      <w:r>
        <w:rPr>
          <w:rFonts w:hint="eastAsia" w:ascii="宋体" w:hAnsi="宋体"/>
          <w:color w:val="auto"/>
          <w:szCs w:val="21"/>
          <w:highlight w:val="none"/>
        </w:rPr>
        <w:t xml:space="preserve">  本合同一式四份，由甲、乙双方</w:t>
      </w:r>
      <w:r>
        <w:rPr>
          <w:rFonts w:hint="eastAsia" w:ascii="宋体" w:hAnsi="宋体"/>
          <w:color w:val="auto"/>
          <w:szCs w:val="21"/>
          <w:highlight w:val="none"/>
          <w:lang w:eastAsia="zh-CN"/>
        </w:rPr>
        <w:t>各执两份。</w:t>
      </w:r>
    </w:p>
    <w:p>
      <w:pPr>
        <w:snapToGrid w:val="0"/>
        <w:spacing w:line="360" w:lineRule="auto"/>
        <w:ind w:firstLine="420" w:firstLineChars="200"/>
        <w:jc w:val="left"/>
        <w:rPr>
          <w:rFonts w:hint="eastAsia" w:ascii="宋体" w:hAnsi="宋体"/>
          <w:color w:val="auto"/>
          <w:szCs w:val="21"/>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甲方单位：（盖章）                 乙方单位：（盖章）</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甲方代表：（签字）                 乙方代表：（签字）</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                                                         </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                                                     年     月     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cs="宋体"/>
          <w:b/>
          <w:color w:val="auto"/>
          <w:kern w:val="0"/>
          <w:sz w:val="30"/>
          <w:szCs w:val="30"/>
          <w:highlight w:val="none"/>
        </w:rPr>
        <w:br w:type="page"/>
      </w:r>
      <w:bookmarkEnd w:id="39"/>
      <w:bookmarkStart w:id="43" w:name="_Toc32601"/>
      <w:bookmarkStart w:id="44" w:name="_Toc414279423"/>
      <w:bookmarkStart w:id="45" w:name="_Toc406762107"/>
    </w:p>
    <w:p>
      <w:pPr>
        <w:widowControl/>
        <w:spacing w:line="312" w:lineRule="auto"/>
        <w:jc w:val="center"/>
        <w:outlineLvl w:val="0"/>
        <w:rPr>
          <w:rFonts w:hint="eastAsia" w:ascii="宋体" w:hAnsi="宋体" w:cs="宋体"/>
          <w:b/>
          <w:color w:val="auto"/>
          <w:kern w:val="0"/>
          <w:szCs w:val="21"/>
          <w:highlight w:val="none"/>
        </w:rPr>
      </w:pPr>
      <w:r>
        <w:rPr>
          <w:rFonts w:hint="eastAsia" w:ascii="宋体" w:hAnsi="宋体" w:eastAsia="宋体" w:cs="宋体"/>
          <w:b/>
          <w:color w:val="auto"/>
          <w:kern w:val="0"/>
          <w:sz w:val="28"/>
          <w:szCs w:val="28"/>
          <w:highlight w:val="none"/>
          <w:lang w:val="en-US" w:eastAsia="zh-CN" w:bidi="ar-SA"/>
        </w:rPr>
        <w:t>第四部分 招标内容及要求</w:t>
      </w:r>
    </w:p>
    <w:p>
      <w:pPr>
        <w:numPr>
          <w:ilvl w:val="0"/>
          <w:numId w:val="21"/>
        </w:numPr>
        <w:spacing w:line="46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采购内容</w:t>
      </w:r>
    </w:p>
    <w:tbl>
      <w:tblPr>
        <w:tblStyle w:val="23"/>
        <w:tblW w:w="9225"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431"/>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26" w:type="dxa"/>
            <w:vAlign w:val="center"/>
          </w:tcPr>
          <w:p>
            <w:pPr>
              <w:widowControl/>
              <w:autoSpaceDE/>
              <w:autoSpaceDN/>
              <w:adjustRightInd/>
              <w:spacing w:line="46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w:t>
            </w:r>
          </w:p>
        </w:tc>
        <w:tc>
          <w:tcPr>
            <w:tcW w:w="1431" w:type="dxa"/>
            <w:vAlign w:val="center"/>
          </w:tcPr>
          <w:p>
            <w:pPr>
              <w:widowControl/>
              <w:autoSpaceDE/>
              <w:autoSpaceDN/>
              <w:adjustRightInd/>
              <w:spacing w:line="46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规格</w:t>
            </w:r>
          </w:p>
        </w:tc>
        <w:tc>
          <w:tcPr>
            <w:tcW w:w="6568" w:type="dxa"/>
            <w:vAlign w:val="center"/>
          </w:tcPr>
          <w:p>
            <w:pPr>
              <w:widowControl/>
              <w:autoSpaceDE/>
              <w:autoSpaceDN/>
              <w:adjustRightInd/>
              <w:spacing w:line="46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26" w:type="dxa"/>
            <w:vMerge w:val="restart"/>
            <w:vAlign w:val="center"/>
          </w:tcPr>
          <w:p>
            <w:pPr>
              <w:widowControl/>
              <w:autoSpaceDE/>
              <w:autoSpaceDN/>
              <w:adjustRightInd/>
              <w:spacing w:line="460" w:lineRule="exact"/>
              <w:jc w:val="center"/>
              <w:rPr>
                <w:rFonts w:hint="eastAsia" w:ascii="宋体" w:hAnsi="宋体" w:eastAsia="宋体" w:cs="宋体"/>
                <w:color w:val="auto"/>
                <w:highlight w:val="none"/>
                <w:lang w:val="zh-CN" w:eastAsia="zh-CN"/>
              </w:rPr>
            </w:pPr>
            <w:r>
              <w:rPr>
                <w:rFonts w:hint="eastAsia" w:ascii="宋体" w:hAnsi="宋体" w:eastAsia="宋体" w:cs="宋体"/>
                <w:color w:val="auto"/>
                <w:szCs w:val="24"/>
                <w:highlight w:val="none"/>
                <w:lang w:eastAsia="zh-CN"/>
              </w:rPr>
              <w:t>机制砂</w:t>
            </w:r>
          </w:p>
        </w:tc>
        <w:tc>
          <w:tcPr>
            <w:tcW w:w="1431" w:type="dxa"/>
            <w:vAlign w:val="center"/>
          </w:tcPr>
          <w:p>
            <w:pPr>
              <w:widowControl/>
              <w:autoSpaceDE/>
              <w:autoSpaceDN/>
              <w:adjustRightInd/>
              <w:spacing w:line="46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中粗（毛）</w:t>
            </w:r>
          </w:p>
        </w:tc>
        <w:tc>
          <w:tcPr>
            <w:tcW w:w="6568" w:type="dxa"/>
            <w:vMerge w:val="restart"/>
            <w:vAlign w:val="center"/>
          </w:tcPr>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lang w:eastAsia="zh-CN"/>
              </w:rPr>
              <w:t>须执行</w:t>
            </w:r>
            <w:r>
              <w:rPr>
                <w:rFonts w:hint="eastAsia" w:ascii="宋体" w:hAnsi="宋体" w:eastAsia="宋体" w:cs="宋体"/>
                <w:color w:val="auto"/>
                <w:szCs w:val="24"/>
                <w:highlight w:val="none"/>
                <w:lang w:val="en-US" w:eastAsia="zh-CN"/>
              </w:rPr>
              <w:t>《机制砂石生产技术规程》 等标准，应严格按照碎石、机制砂产品标准组织生产。</w:t>
            </w:r>
            <w:r>
              <w:rPr>
                <w:rFonts w:hint="eastAsia" w:ascii="宋体" w:hAnsi="宋体" w:eastAsia="宋体" w:cs="宋体"/>
                <w:color w:val="auto"/>
                <w:szCs w:val="24"/>
                <w:highlight w:val="none"/>
              </w:rPr>
              <w:t>提供的</w:t>
            </w:r>
            <w:r>
              <w:rPr>
                <w:rFonts w:hint="eastAsia" w:ascii="宋体" w:hAnsi="宋体" w:eastAsia="宋体" w:cs="宋体"/>
                <w:color w:val="auto"/>
                <w:szCs w:val="24"/>
                <w:highlight w:val="none"/>
                <w:lang w:eastAsia="zh-CN"/>
              </w:rPr>
              <w:t>机制砂</w:t>
            </w:r>
            <w:r>
              <w:rPr>
                <w:rFonts w:hint="eastAsia" w:ascii="宋体" w:hAnsi="宋体" w:eastAsia="宋体" w:cs="宋体"/>
                <w:color w:val="auto"/>
                <w:szCs w:val="24"/>
                <w:highlight w:val="none"/>
              </w:rPr>
              <w:t>须满足《建设用砂》(GB/T14684-2011)的标准，提供的碎石须满足《建设用卵石、碎石》（GB/T14685-2011）的标准。</w:t>
            </w:r>
            <w:r>
              <w:rPr>
                <w:rFonts w:hint="eastAsia" w:hAnsi="宋体"/>
                <w:b w:val="0"/>
                <w:bCs/>
                <w:color w:val="auto"/>
                <w:highlight w:val="none"/>
                <w:u w:val="none"/>
                <w:lang w:eastAsia="zh-CN"/>
              </w:rPr>
              <w:t>具体成品料规格由甲方根据施工需求而定，乙方须无条件满足成品料规格的调整需求。</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9"/>
              <w:rPr>
                <w:rFonts w:hint="eastAsia" w:ascii="宋体" w:hAnsi="宋体" w:cs="宋体"/>
                <w:b w:val="0"/>
                <w:bCs w:val="0"/>
                <w:color w:val="auto"/>
                <w:sz w:val="21"/>
                <w:szCs w:val="21"/>
                <w:highlight w:val="none"/>
              </w:rPr>
            </w:pPr>
            <w:r>
              <w:rPr>
                <w:rFonts w:hint="eastAsia" w:ascii="宋体" w:hAnsi="宋体" w:eastAsia="宋体" w:cs="宋体"/>
                <w:color w:val="auto"/>
                <w:szCs w:val="24"/>
                <w:highlight w:val="none"/>
                <w:lang w:val="en-US" w:eastAsia="zh-CN"/>
              </w:rPr>
              <w:t>2.</w:t>
            </w:r>
            <w:r>
              <w:rPr>
                <w:rFonts w:hint="eastAsia" w:ascii="宋体" w:hAnsi="宋体" w:cs="宋体"/>
                <w:b/>
                <w:bCs/>
                <w:color w:val="auto"/>
                <w:sz w:val="21"/>
                <w:szCs w:val="21"/>
                <w:highlight w:val="none"/>
              </w:rPr>
              <w:t>本次采购</w:t>
            </w:r>
            <w:r>
              <w:rPr>
                <w:rFonts w:hint="eastAsia" w:ascii="宋体" w:hAnsi="宋体" w:cs="宋体"/>
                <w:b/>
                <w:bCs/>
                <w:color w:val="auto"/>
                <w:sz w:val="21"/>
                <w:szCs w:val="21"/>
                <w:highlight w:val="none"/>
                <w:lang w:eastAsia="zh-CN"/>
              </w:rPr>
              <w:t>成品料单价</w:t>
            </w:r>
            <w:r>
              <w:rPr>
                <w:rFonts w:hint="eastAsia" w:ascii="宋体" w:hAnsi="宋体" w:cs="宋体"/>
                <w:b/>
                <w:bCs/>
                <w:color w:val="auto"/>
                <w:sz w:val="21"/>
                <w:szCs w:val="21"/>
                <w:highlight w:val="none"/>
              </w:rPr>
              <w:t>最高限价为</w:t>
            </w:r>
            <w:r>
              <w:rPr>
                <w:rFonts w:hint="eastAsia" w:ascii="宋体" w:hAnsi="宋体" w:cs="宋体"/>
                <w:b/>
                <w:bCs/>
                <w:color w:val="auto"/>
                <w:sz w:val="21"/>
                <w:szCs w:val="21"/>
                <w:highlight w:val="none"/>
                <w:u w:val="single"/>
              </w:rPr>
              <w:t>2</w:t>
            </w:r>
            <w:r>
              <w:rPr>
                <w:rFonts w:hint="eastAsia" w:ascii="宋体" w:hAnsi="宋体" w:cs="宋体"/>
                <w:b/>
                <w:bCs/>
                <w:color w:val="auto"/>
                <w:sz w:val="21"/>
                <w:szCs w:val="21"/>
                <w:highlight w:val="none"/>
                <w:u w:val="single"/>
                <w:lang w:val="en-US" w:eastAsia="zh-CN"/>
              </w:rPr>
              <w:t>3.5</w:t>
            </w:r>
            <w:r>
              <w:rPr>
                <w:rFonts w:hint="eastAsia" w:ascii="宋体" w:hAnsi="宋体" w:cs="宋体"/>
                <w:b/>
                <w:bCs/>
                <w:color w:val="auto"/>
                <w:sz w:val="21"/>
                <w:szCs w:val="21"/>
                <w:highlight w:val="none"/>
              </w:rPr>
              <w:t>元/</w:t>
            </w:r>
            <w:r>
              <w:rPr>
                <w:rFonts w:hint="eastAsia" w:ascii="宋体" w:hAnsi="宋体" w:cs="宋体"/>
                <w:b/>
                <w:bCs/>
                <w:color w:val="auto"/>
                <w:sz w:val="21"/>
                <w:szCs w:val="21"/>
                <w:highlight w:val="none"/>
                <w:lang w:val="en-US" w:eastAsia="zh-CN"/>
              </w:rPr>
              <w:t>t</w:t>
            </w:r>
            <w:r>
              <w:rPr>
                <w:rFonts w:hint="eastAsia" w:ascii="宋体" w:hAnsi="宋体" w:cs="宋体"/>
                <w:b/>
                <w:bCs/>
                <w:color w:val="auto"/>
                <w:sz w:val="21"/>
                <w:szCs w:val="21"/>
                <w:highlight w:val="none"/>
              </w:rPr>
              <w:t>，预估</w:t>
            </w:r>
            <w:r>
              <w:rPr>
                <w:rFonts w:hint="eastAsia" w:ascii="宋体" w:hAnsi="宋体" w:cs="宋体"/>
                <w:b/>
                <w:bCs/>
                <w:color w:val="auto"/>
                <w:sz w:val="21"/>
                <w:szCs w:val="21"/>
                <w:highlight w:val="none"/>
                <w:lang w:val="en-US" w:eastAsia="zh-CN"/>
              </w:rPr>
              <w:t>每</w:t>
            </w:r>
            <w:r>
              <w:rPr>
                <w:rFonts w:hint="eastAsia" w:ascii="宋体" w:hAnsi="宋体" w:cs="宋体"/>
                <w:b/>
                <w:bCs/>
                <w:color w:val="auto"/>
                <w:sz w:val="21"/>
                <w:szCs w:val="21"/>
                <w:highlight w:val="none"/>
                <w:lang w:eastAsia="zh-CN"/>
              </w:rPr>
              <w:t>年总量约</w:t>
            </w:r>
            <w:r>
              <w:rPr>
                <w:rFonts w:hint="eastAsia" w:ascii="宋体" w:hAnsi="宋体" w:cs="宋体"/>
                <w:b/>
                <w:bCs/>
                <w:color w:val="auto"/>
                <w:sz w:val="21"/>
                <w:szCs w:val="21"/>
                <w:highlight w:val="none"/>
                <w:u w:val="single"/>
                <w:lang w:val="en-US" w:eastAsia="zh-CN"/>
              </w:rPr>
              <w:t>80万</w:t>
            </w:r>
            <w:r>
              <w:rPr>
                <w:rFonts w:hint="eastAsia" w:ascii="宋体" w:hAnsi="宋体" w:cs="宋体"/>
                <w:b/>
                <w:bCs/>
                <w:color w:val="auto"/>
                <w:sz w:val="21"/>
                <w:szCs w:val="21"/>
                <w:highlight w:val="none"/>
                <w:lang w:eastAsia="zh-CN"/>
              </w:rPr>
              <w:t>吨</w:t>
            </w:r>
            <w:r>
              <w:rPr>
                <w:rFonts w:hint="eastAsia" w:ascii="宋体" w:hAnsi="宋体" w:cs="宋体"/>
                <w:b/>
                <w:bCs/>
                <w:color w:val="auto"/>
                <w:sz w:val="21"/>
                <w:szCs w:val="21"/>
                <w:highlight w:val="none"/>
              </w:rPr>
              <w:t>，总价</w:t>
            </w:r>
            <w:r>
              <w:rPr>
                <w:rFonts w:hint="eastAsia" w:ascii="宋体" w:hAnsi="宋体" w:cs="宋体"/>
                <w:b/>
                <w:bCs/>
                <w:color w:val="auto"/>
                <w:sz w:val="21"/>
                <w:szCs w:val="21"/>
                <w:highlight w:val="none"/>
                <w:lang w:eastAsia="zh-CN"/>
              </w:rPr>
              <w:t>约</w:t>
            </w:r>
            <w:r>
              <w:rPr>
                <w:rFonts w:hint="eastAsia" w:ascii="宋体" w:hAnsi="宋体" w:cs="宋体"/>
                <w:b/>
                <w:bCs/>
                <w:color w:val="auto"/>
                <w:sz w:val="21"/>
                <w:szCs w:val="21"/>
                <w:highlight w:val="none"/>
              </w:rPr>
              <w:t>为</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3760</w:t>
            </w:r>
            <w:r>
              <w:rPr>
                <w:rFonts w:hint="eastAsia" w:ascii="宋体" w:hAnsi="宋体" w:cs="宋体"/>
                <w:b/>
                <w:bCs/>
                <w:color w:val="auto"/>
                <w:sz w:val="21"/>
                <w:szCs w:val="21"/>
                <w:highlight w:val="none"/>
              </w:rPr>
              <w:t>万元。</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应按此最高限价并结合企业自身情况及管理经验自主报价，报价不得超过最高限价，否则作为废标处理。</w:t>
            </w:r>
            <w:r>
              <w:rPr>
                <w:rFonts w:hint="eastAsia" w:ascii="宋体" w:hAnsi="宋体" w:cs="宋体"/>
                <w:b w:val="0"/>
                <w:bCs w:val="0"/>
                <w:color w:val="auto"/>
                <w:sz w:val="21"/>
                <w:szCs w:val="21"/>
                <w:highlight w:val="none"/>
                <w:lang w:eastAsia="zh-CN"/>
              </w:rPr>
              <w:t>磋商</w:t>
            </w:r>
            <w:r>
              <w:rPr>
                <w:rFonts w:hint="eastAsia" w:ascii="宋体" w:hAnsi="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应包含但不限于</w:t>
            </w:r>
            <w:r>
              <w:rPr>
                <w:rFonts w:hint="eastAsia" w:ascii="宋体" w:hAnsi="宋体" w:cs="宋体"/>
                <w:b w:val="0"/>
                <w:bCs w:val="0"/>
                <w:color w:val="auto"/>
                <w:sz w:val="21"/>
                <w:szCs w:val="21"/>
                <w:highlight w:val="none"/>
                <w:lang w:eastAsia="zh-CN"/>
              </w:rPr>
              <w:t>场地建设费、</w:t>
            </w:r>
            <w:r>
              <w:rPr>
                <w:rFonts w:hint="eastAsia" w:ascii="宋体" w:hAnsi="宋体" w:cs="宋体"/>
                <w:b w:val="0"/>
                <w:bCs w:val="0"/>
                <w:color w:val="auto"/>
                <w:sz w:val="21"/>
                <w:szCs w:val="21"/>
                <w:highlight w:val="none"/>
                <w:lang w:val="en-US" w:eastAsia="zh-CN"/>
              </w:rPr>
              <w:t>砂石</w:t>
            </w:r>
            <w:r>
              <w:rPr>
                <w:rFonts w:hint="eastAsia" w:ascii="宋体" w:hAnsi="宋体" w:cs="宋体"/>
                <w:b w:val="0"/>
                <w:bCs w:val="0"/>
                <w:color w:val="auto"/>
                <w:sz w:val="21"/>
                <w:szCs w:val="21"/>
                <w:highlight w:val="none"/>
                <w:lang w:eastAsia="zh-CN"/>
              </w:rPr>
              <w:t>设备费、</w:t>
            </w:r>
            <w:r>
              <w:rPr>
                <w:rFonts w:hint="eastAsia" w:ascii="宋体" w:hAnsi="宋体" w:cs="宋体"/>
                <w:b w:val="0"/>
                <w:bCs w:val="0"/>
                <w:color w:val="auto"/>
                <w:sz w:val="21"/>
                <w:szCs w:val="21"/>
                <w:highlight w:val="none"/>
                <w:lang w:val="en-US" w:eastAsia="zh-CN"/>
              </w:rPr>
              <w:t>环保设备款费、废渣尾渣处置费、</w:t>
            </w:r>
            <w:r>
              <w:rPr>
                <w:rFonts w:hint="eastAsia" w:ascii="宋体" w:hAnsi="宋体" w:cs="宋体"/>
                <w:b w:val="0"/>
                <w:bCs w:val="0"/>
                <w:color w:val="auto"/>
                <w:sz w:val="21"/>
                <w:szCs w:val="21"/>
                <w:highlight w:val="none"/>
                <w:lang w:eastAsia="zh-CN"/>
              </w:rPr>
              <w:t>加工费</w:t>
            </w:r>
            <w:r>
              <w:rPr>
                <w:rFonts w:hint="eastAsia" w:ascii="宋体" w:hAnsi="宋体" w:cs="宋体"/>
                <w:b w:val="0"/>
                <w:bCs w:val="0"/>
                <w:color w:val="auto"/>
                <w:sz w:val="21"/>
                <w:szCs w:val="21"/>
                <w:highlight w:val="none"/>
              </w:rPr>
              <w:t>、</w:t>
            </w:r>
            <w:r>
              <w:rPr>
                <w:rFonts w:ascii="Arial" w:hAnsi="宋体" w:cs="Arial"/>
                <w:color w:val="auto"/>
                <w:kern w:val="0"/>
                <w:highlight w:val="none"/>
              </w:rPr>
              <w:t>临时存放保管费</w:t>
            </w:r>
            <w:r>
              <w:rPr>
                <w:rFonts w:hint="eastAsia" w:ascii="Arial" w:hAnsi="宋体" w:cs="Arial"/>
                <w:color w:val="auto"/>
                <w:kern w:val="0"/>
                <w:highlight w:val="none"/>
                <w:lang w:eastAsia="zh-CN"/>
              </w:rPr>
              <w:t>、</w:t>
            </w:r>
            <w:r>
              <w:rPr>
                <w:rFonts w:ascii="Arial" w:hAnsi="宋体" w:cs="Arial"/>
                <w:color w:val="auto"/>
                <w:kern w:val="0"/>
                <w:highlight w:val="none"/>
              </w:rPr>
              <w:t>分批供货费</w:t>
            </w:r>
            <w:r>
              <w:rPr>
                <w:rFonts w:hint="eastAsia" w:ascii="Arial" w:hAnsi="宋体" w:cs="Arial"/>
                <w:color w:val="auto"/>
                <w:kern w:val="0"/>
                <w:highlight w:val="none"/>
                <w:lang w:eastAsia="zh-CN"/>
              </w:rPr>
              <w:t>、</w:t>
            </w:r>
            <w:r>
              <w:rPr>
                <w:rFonts w:hint="eastAsia" w:ascii="宋体" w:hAnsi="宋体" w:cs="宋体"/>
                <w:b w:val="0"/>
                <w:bCs w:val="0"/>
                <w:color w:val="auto"/>
                <w:sz w:val="21"/>
                <w:szCs w:val="21"/>
                <w:highlight w:val="none"/>
                <w:lang w:eastAsia="zh-CN"/>
              </w:rPr>
              <w:t>场内</w:t>
            </w:r>
            <w:r>
              <w:rPr>
                <w:rFonts w:hint="eastAsia" w:ascii="宋体" w:hAnsi="宋体" w:cs="宋体"/>
                <w:b w:val="0"/>
                <w:bCs w:val="0"/>
                <w:color w:val="auto"/>
                <w:sz w:val="21"/>
                <w:szCs w:val="21"/>
                <w:highlight w:val="none"/>
              </w:rPr>
              <w:t>运输费、装卸费、</w:t>
            </w:r>
            <w:r>
              <w:rPr>
                <w:rFonts w:hint="eastAsia" w:ascii="宋体" w:hAnsi="宋体" w:cs="宋体"/>
                <w:b w:val="0"/>
                <w:bCs w:val="0"/>
                <w:color w:val="auto"/>
                <w:sz w:val="21"/>
                <w:szCs w:val="21"/>
                <w:highlight w:val="none"/>
                <w:lang w:eastAsia="zh-CN"/>
              </w:rPr>
              <w:t>保险费、</w:t>
            </w:r>
            <w:r>
              <w:rPr>
                <w:rFonts w:hint="eastAsia" w:ascii="宋体" w:hAnsi="宋体" w:cs="宋体"/>
                <w:b w:val="0"/>
                <w:bCs w:val="0"/>
                <w:color w:val="auto"/>
                <w:sz w:val="21"/>
                <w:szCs w:val="21"/>
                <w:highlight w:val="none"/>
              </w:rPr>
              <w:t>检测费、</w:t>
            </w:r>
            <w:r>
              <w:rPr>
                <w:rFonts w:hint="eastAsia" w:ascii="宋体" w:hAnsi="宋体" w:cs="宋体"/>
                <w:b w:val="0"/>
                <w:bCs w:val="0"/>
                <w:color w:val="auto"/>
                <w:sz w:val="21"/>
                <w:szCs w:val="21"/>
                <w:highlight w:val="none"/>
                <w:lang w:val="en-US" w:eastAsia="zh-CN"/>
              </w:rPr>
              <w:t>机械检修费、</w:t>
            </w:r>
            <w:r>
              <w:rPr>
                <w:rFonts w:hint="eastAsia" w:hAnsi="宋体"/>
                <w:b w:val="0"/>
                <w:bCs/>
                <w:color w:val="auto"/>
                <w:highlight w:val="none"/>
                <w:u w:val="none"/>
                <w:lang w:val="en-US" w:eastAsia="zh-CN"/>
              </w:rPr>
              <w:t>耗材燃料费、</w:t>
            </w:r>
            <w:r>
              <w:rPr>
                <w:rFonts w:hint="eastAsia" w:ascii="宋体" w:hAnsi="宋体" w:cs="宋体"/>
                <w:b w:val="0"/>
                <w:bCs w:val="0"/>
                <w:color w:val="auto"/>
                <w:sz w:val="21"/>
                <w:szCs w:val="21"/>
                <w:highlight w:val="none"/>
              </w:rPr>
              <w:t>人工费、税金等及完成合同所需的一切本身和不可或缺的其它开支、政策性文件规定及所有风险、责任等各项费用。</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服务期限：</w:t>
            </w:r>
            <w:r>
              <w:rPr>
                <w:rFonts w:hint="eastAsia" w:hAnsi="宋体" w:cs="宋体"/>
                <w:color w:val="auto"/>
                <w:sz w:val="21"/>
                <w:szCs w:val="21"/>
                <w:highlight w:val="none"/>
                <w:lang w:val="en-US" w:eastAsia="zh-CN"/>
              </w:rPr>
              <w:t>27个月，其中建设期3个月确保具备开工生产条件（自中标通知书发出之日起），加工生产期24个月。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Merge w:val="continue"/>
            <w:vAlign w:val="center"/>
          </w:tcPr>
          <w:p>
            <w:pPr>
              <w:widowControl/>
              <w:autoSpaceDE/>
              <w:autoSpaceDN/>
              <w:adjustRightInd/>
              <w:spacing w:line="460" w:lineRule="exact"/>
              <w:jc w:val="center"/>
              <w:rPr>
                <w:rFonts w:hint="eastAsia" w:ascii="宋体" w:hAnsi="宋体" w:eastAsia="宋体" w:cs="宋体"/>
                <w:color w:val="auto"/>
                <w:szCs w:val="24"/>
                <w:highlight w:val="none"/>
              </w:rPr>
            </w:pPr>
          </w:p>
        </w:tc>
        <w:tc>
          <w:tcPr>
            <w:tcW w:w="1431" w:type="dxa"/>
            <w:vAlign w:val="center"/>
          </w:tcPr>
          <w:p>
            <w:pPr>
              <w:widowControl/>
              <w:autoSpaceDE/>
              <w:autoSpaceDN/>
              <w:adjustRightInd/>
              <w:spacing w:line="46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中粗（净）</w:t>
            </w:r>
          </w:p>
        </w:tc>
        <w:tc>
          <w:tcPr>
            <w:tcW w:w="6568" w:type="dxa"/>
            <w:vMerge w:val="continue"/>
            <w:vAlign w:val="center"/>
          </w:tcPr>
          <w:p>
            <w:pPr>
              <w:widowControl/>
              <w:autoSpaceDE/>
              <w:autoSpaceDN/>
              <w:adjustRightInd/>
              <w:spacing w:line="460" w:lineRule="exact"/>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6" w:type="dxa"/>
            <w:vMerge w:val="continue"/>
            <w:vAlign w:val="center"/>
          </w:tcPr>
          <w:p>
            <w:pPr>
              <w:widowControl/>
              <w:autoSpaceDE/>
              <w:autoSpaceDN/>
              <w:adjustRightInd/>
              <w:spacing w:line="460" w:lineRule="exact"/>
              <w:jc w:val="center"/>
              <w:rPr>
                <w:rFonts w:hint="eastAsia" w:ascii="宋体" w:hAnsi="宋体" w:eastAsia="宋体" w:cs="宋体"/>
                <w:color w:val="auto"/>
                <w:szCs w:val="24"/>
                <w:highlight w:val="none"/>
              </w:rPr>
            </w:pPr>
          </w:p>
        </w:tc>
        <w:tc>
          <w:tcPr>
            <w:tcW w:w="1431" w:type="dxa"/>
            <w:vAlign w:val="center"/>
          </w:tcPr>
          <w:p>
            <w:pPr>
              <w:widowControl/>
              <w:autoSpaceDE/>
              <w:autoSpaceDN/>
              <w:adjustRightInd/>
              <w:spacing w:line="46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细砂</w:t>
            </w:r>
          </w:p>
        </w:tc>
        <w:tc>
          <w:tcPr>
            <w:tcW w:w="6568" w:type="dxa"/>
            <w:vMerge w:val="continue"/>
            <w:vAlign w:val="center"/>
          </w:tcPr>
          <w:p>
            <w:pPr>
              <w:widowControl/>
              <w:autoSpaceDE/>
              <w:autoSpaceDN/>
              <w:adjustRightInd/>
              <w:spacing w:line="460" w:lineRule="exact"/>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26" w:type="dxa"/>
            <w:vAlign w:val="center"/>
          </w:tcPr>
          <w:p>
            <w:pPr>
              <w:widowControl/>
              <w:autoSpaceDE/>
              <w:autoSpaceDN/>
              <w:adjustRightInd/>
              <w:spacing w:line="46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碎石</w:t>
            </w:r>
          </w:p>
        </w:tc>
        <w:tc>
          <w:tcPr>
            <w:tcW w:w="1431" w:type="dxa"/>
            <w:vAlign w:val="center"/>
          </w:tcPr>
          <w:p>
            <w:pPr>
              <w:widowControl/>
              <w:autoSpaceDE/>
              <w:autoSpaceDN/>
              <w:adjustRightInd/>
              <w:spacing w:line="46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3-63mm</w:t>
            </w:r>
          </w:p>
        </w:tc>
        <w:tc>
          <w:tcPr>
            <w:tcW w:w="6568" w:type="dxa"/>
            <w:vMerge w:val="continue"/>
            <w:vAlign w:val="center"/>
          </w:tcPr>
          <w:p>
            <w:pPr>
              <w:widowControl/>
              <w:autoSpaceDE/>
              <w:autoSpaceDN/>
              <w:adjustRightInd/>
              <w:spacing w:line="460" w:lineRule="exact"/>
              <w:jc w:val="center"/>
              <w:rPr>
                <w:rFonts w:hint="eastAsia" w:ascii="宋体" w:hAnsi="宋体" w:eastAsia="宋体" w:cs="宋体"/>
                <w:color w:val="auto"/>
                <w:szCs w:val="24"/>
                <w:highlight w:val="none"/>
              </w:rPr>
            </w:pPr>
          </w:p>
        </w:tc>
      </w:tr>
    </w:tbl>
    <w:p>
      <w:pPr>
        <w:keepNext w:val="0"/>
        <w:keepLines w:val="0"/>
        <w:pageBreakBefore w:val="0"/>
        <w:widowControl w:val="0"/>
        <w:numPr>
          <w:ilvl w:val="3"/>
          <w:numId w:val="21"/>
        </w:numPr>
        <w:kinsoku/>
        <w:wordWrap/>
        <w:overflowPunct/>
        <w:topLinePunct w:val="0"/>
        <w:autoSpaceDE/>
        <w:autoSpaceDN/>
        <w:bidi w:val="0"/>
        <w:adjustRightInd/>
        <w:spacing w:line="400" w:lineRule="exact"/>
        <w:ind w:left="567" w:hanging="283"/>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碎石及机制砂加工要求：</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（1）产能及设备</w:t>
      </w:r>
      <w:r>
        <w:rPr>
          <w:rFonts w:hint="eastAsia" w:ascii="宋体" w:hAnsi="宋体" w:eastAsia="宋体" w:cs="宋体"/>
          <w:color w:val="auto"/>
          <w:sz w:val="21"/>
          <w:szCs w:val="21"/>
          <w:highlight w:val="none"/>
          <w:lang w:val="en-US" w:eastAsia="zh-CN"/>
        </w:rPr>
        <w:t>：由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负责投入满足项目需求的设备。生产线主设备需包含振动筛、振动给料机、鄂式破碎机、圆锥破碎机及立轴式冲击破碎机等，还须配置挖掘机、铲车等配套设备。</w:t>
      </w:r>
      <w:r>
        <w:rPr>
          <w:rFonts w:hint="eastAsia" w:ascii="宋体" w:hAnsi="宋体" w:eastAsia="宋体" w:cs="宋体"/>
          <w:color w:val="auto"/>
          <w:sz w:val="21"/>
          <w:szCs w:val="21"/>
          <w:highlight w:val="none"/>
        </w:rPr>
        <w:t>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中承诺，在中标后</w:t>
      </w:r>
      <w:r>
        <w:rPr>
          <w:rFonts w:hint="eastAsia" w:ascii="宋体" w:hAnsi="宋体" w:eastAsia="宋体" w:cs="宋体"/>
          <w:color w:val="auto"/>
          <w:sz w:val="21"/>
          <w:szCs w:val="21"/>
          <w:highlight w:val="none"/>
          <w:lang w:val="en-US" w:eastAsia="zh-CN"/>
        </w:rPr>
        <w:t>2个月内</w:t>
      </w:r>
      <w:r>
        <w:rPr>
          <w:rFonts w:hint="eastAsia" w:ascii="宋体" w:hAnsi="宋体" w:eastAsia="宋体" w:cs="宋体"/>
          <w:color w:val="auto"/>
          <w:sz w:val="21"/>
          <w:szCs w:val="21"/>
          <w:highlight w:val="none"/>
          <w:lang w:eastAsia="zh-CN"/>
        </w:rPr>
        <w:t>建成满足环保及生产需求的场地，投入满足项目需求的设备，要求</w:t>
      </w:r>
      <w:r>
        <w:rPr>
          <w:rFonts w:hint="eastAsia" w:ascii="宋体" w:hAnsi="宋体" w:cs="宋体"/>
          <w:color w:val="auto"/>
          <w:szCs w:val="21"/>
          <w:highlight w:val="none"/>
        </w:rPr>
        <w:t>▲</w:t>
      </w:r>
      <w:r>
        <w:rPr>
          <w:rFonts w:hint="eastAsia" w:ascii="宋体" w:hAnsi="宋体" w:eastAsia="宋体" w:cs="宋体"/>
          <w:b/>
          <w:bCs/>
          <w:color w:val="auto"/>
          <w:sz w:val="21"/>
          <w:szCs w:val="21"/>
          <w:highlight w:val="none"/>
          <w:u w:val="single"/>
          <w:lang w:eastAsia="zh-CN"/>
        </w:rPr>
        <w:t>实际生产能力每小时必须达到或超</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eastAsia="zh-CN"/>
        </w:rPr>
        <w:t>00吨</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rPr>
        <w:t>，作为无效投标处理。</w:t>
      </w:r>
      <w:r>
        <w:rPr>
          <w:rFonts w:hint="eastAsia" w:ascii="宋体" w:hAnsi="宋体" w:eastAsia="宋体" w:cs="宋体"/>
          <w:color w:val="auto"/>
          <w:sz w:val="21"/>
          <w:szCs w:val="21"/>
          <w:highlight w:val="none"/>
          <w:lang w:eastAsia="zh-CN"/>
        </w:rPr>
        <w:t>如合同履约过程中，经整改后产能仍达不到</w:t>
      </w:r>
      <w:r>
        <w:rPr>
          <w:rFonts w:hint="eastAsia" w:ascii="宋体" w:hAnsi="宋体" w:eastAsia="宋体" w:cs="宋体"/>
          <w:color w:val="auto"/>
          <w:sz w:val="21"/>
          <w:szCs w:val="21"/>
          <w:highlight w:val="none"/>
          <w:lang w:val="en-US" w:eastAsia="zh-CN"/>
        </w:rPr>
        <w:t>300吨/小时，采购人有权单方解除合同并</w:t>
      </w:r>
      <w:r>
        <w:rPr>
          <w:rFonts w:hint="eastAsia" w:ascii="宋体" w:hAnsi="宋体" w:eastAsia="宋体" w:cs="宋体"/>
          <w:color w:val="auto"/>
          <w:sz w:val="21"/>
          <w:szCs w:val="21"/>
          <w:highlight w:val="none"/>
        </w:rPr>
        <w:t>扣除100%履约保证金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（2）场地：</w:t>
      </w:r>
      <w:r>
        <w:rPr>
          <w:rFonts w:hint="eastAsia" w:ascii="宋体" w:hAnsi="宋体" w:eastAsia="宋体" w:cs="宋体"/>
          <w:color w:val="auto"/>
          <w:sz w:val="21"/>
          <w:szCs w:val="21"/>
          <w:highlight w:val="none"/>
          <w:lang w:val="en-US" w:eastAsia="zh-CN"/>
        </w:rPr>
        <w:t>碎石机制砂加工场地须位于衢州市柯城区范围内，场地面积不少于为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亩，</w:t>
      </w:r>
      <w:r>
        <w:rPr>
          <w:rFonts w:hint="eastAsia"/>
          <w:color w:val="auto"/>
          <w:sz w:val="21"/>
          <w:szCs w:val="21"/>
          <w:highlight w:val="none"/>
          <w:lang w:eastAsia="zh-CN"/>
        </w:rPr>
        <w:t>且满足临时用地审批的非农用土地。</w:t>
      </w:r>
      <w:r>
        <w:rPr>
          <w:rFonts w:hint="eastAsia" w:ascii="宋体" w:hAnsi="宋体" w:eastAsia="宋体" w:cs="宋体"/>
          <w:color w:val="auto"/>
          <w:sz w:val="21"/>
          <w:szCs w:val="21"/>
          <w:highlight w:val="none"/>
          <w:lang w:val="en-US" w:eastAsia="zh-CN"/>
        </w:rPr>
        <w:t>具有良好的运输条件。由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负责场地区域内供电、供水、道路、照明、通讯网络、围墙建设（高度≥2米）等。场地要求配有地磅、配电房、变压器、临时加油点设施等其他配套设施。</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中标通知书发出之日30日内，乙方须提供面积不少于20亩的原料堆场并完成场地围墙建设，如乙方提供的堆场位于拟建加工场地之外的，则由乙方自行负责将已堆放原料运输至砂石加工场地并承担相关运输费用。</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（3）环保：</w:t>
      </w:r>
      <w:r>
        <w:rPr>
          <w:rFonts w:hint="eastAsia" w:ascii="宋体" w:hAnsi="宋体" w:eastAsia="宋体" w:cs="宋体"/>
          <w:color w:val="auto"/>
          <w:sz w:val="21"/>
          <w:szCs w:val="21"/>
          <w:highlight w:val="none"/>
          <w:lang w:val="en-US" w:eastAsia="zh-CN"/>
        </w:rPr>
        <w:t>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碎石机制砂加工场地区域的环保设施（污水循环系统、淤泥压滤机）建设等；对产生的各类污染物都采取了切实可行的治理措施，严格控制在国家规定的排放标准内，项目建设不会对区域生态环境产生明显的影响。项目设计中采用了清洁生产工艺，应用清洁原材料，生产清洁产品，同时采取完善和有效的清洁生产措施，能够切实起到消除和减少污染的作用。项目建成投产后，各项环境指标均符合国家和地方清洁生产的标准要求。否则，</w:t>
      </w:r>
      <w:r>
        <w:rPr>
          <w:rFonts w:hint="eastAsia" w:ascii="宋体" w:hAnsi="宋体" w:eastAsia="宋体" w:cs="宋体"/>
          <w:color w:val="auto"/>
          <w:sz w:val="21"/>
          <w:szCs w:val="21"/>
          <w:highlight w:val="none"/>
        </w:rPr>
        <w:t>由此造成的一切后果由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供货</w:t>
      </w:r>
      <w:r>
        <w:rPr>
          <w:rFonts w:hint="eastAsia" w:ascii="宋体" w:hAnsi="宋体" w:eastAsia="宋体" w:cs="宋体"/>
          <w:b/>
          <w:bCs/>
          <w:color w:val="auto"/>
          <w:sz w:val="21"/>
          <w:szCs w:val="21"/>
          <w:highlight w:val="none"/>
          <w:lang w:val="en-US" w:eastAsia="zh-CN"/>
        </w:rPr>
        <w:t>运输：</w:t>
      </w:r>
      <w:r>
        <w:rPr>
          <w:rFonts w:hint="eastAsia" w:ascii="宋体" w:hAnsi="宋体" w:eastAsia="宋体" w:cs="宋体"/>
          <w:color w:val="auto"/>
          <w:sz w:val="21"/>
          <w:szCs w:val="21"/>
          <w:highlight w:val="none"/>
          <w:lang w:val="en-US" w:eastAsia="zh-CN"/>
        </w:rPr>
        <w:t>由</w:t>
      </w:r>
      <w:r>
        <w:rPr>
          <w:rFonts w:hint="eastAsia" w:hAnsi="宋体" w:eastAsia="宋体"/>
          <w:color w:val="auto"/>
          <w:highlight w:val="none"/>
          <w:lang w:eastAsia="zh-CN"/>
        </w:rPr>
        <w:t>中标人</w:t>
      </w:r>
      <w:r>
        <w:rPr>
          <w:rFonts w:hint="eastAsia" w:ascii="宋体" w:hAnsi="宋体" w:eastAsia="宋体" w:cs="宋体"/>
          <w:color w:val="auto"/>
          <w:sz w:val="21"/>
          <w:szCs w:val="21"/>
          <w:highlight w:val="none"/>
          <w:lang w:val="en-US" w:eastAsia="zh-CN"/>
        </w:rPr>
        <w:t>负责碎石及机制砂加工工艺流程、原料及成品料的堆场、成品料出场装车及淤泥压榨尾料的处理。成品料及原料场外</w:t>
      </w:r>
      <w:r>
        <w:rPr>
          <w:rFonts w:hint="eastAsia" w:ascii="Arial" w:hAnsi="宋体" w:cs="Arial"/>
          <w:color w:val="auto"/>
          <w:szCs w:val="21"/>
          <w:highlight w:val="none"/>
        </w:rPr>
        <w:t>运输的一切责任和风险由</w:t>
      </w:r>
      <w:r>
        <w:rPr>
          <w:rFonts w:hint="eastAsia" w:ascii="宋体" w:hAnsi="宋体" w:eastAsia="宋体" w:cs="宋体"/>
          <w:b w:val="0"/>
          <w:bCs w:val="0"/>
          <w:color w:val="auto"/>
          <w:sz w:val="21"/>
          <w:szCs w:val="21"/>
          <w:highlight w:val="none"/>
          <w:lang w:val="en-US" w:eastAsia="zh-CN"/>
        </w:rPr>
        <w:t>采购人</w:t>
      </w:r>
      <w:r>
        <w:rPr>
          <w:rFonts w:hint="eastAsia" w:ascii="Arial" w:hAnsi="宋体" w:cs="Arial"/>
          <w:color w:val="auto"/>
          <w:szCs w:val="21"/>
          <w:highlight w:val="none"/>
        </w:rPr>
        <w:t>自行承担</w:t>
      </w:r>
      <w:r>
        <w:rPr>
          <w:rFonts w:hint="eastAsia" w:ascii="Arial" w:hAnsi="宋体" w:cs="Arial"/>
          <w:color w:val="auto"/>
          <w:szCs w:val="21"/>
          <w:highlight w:val="none"/>
          <w:lang w:eastAsia="zh-CN"/>
        </w:rPr>
        <w:t>，场内运输</w:t>
      </w:r>
      <w:r>
        <w:rPr>
          <w:rFonts w:hint="eastAsia" w:ascii="Arial" w:hAnsi="宋体" w:cs="Arial"/>
          <w:color w:val="auto"/>
          <w:szCs w:val="21"/>
          <w:highlight w:val="none"/>
        </w:rPr>
        <w:t>的一切责任</w:t>
      </w:r>
      <w:r>
        <w:rPr>
          <w:rFonts w:hint="eastAsia" w:ascii="宋体" w:hAnsi="宋体" w:eastAsia="宋体" w:cs="宋体"/>
          <w:b w:val="0"/>
          <w:bCs/>
          <w:color w:val="auto"/>
          <w:kern w:val="2"/>
          <w:sz w:val="21"/>
          <w:szCs w:val="21"/>
          <w:highlight w:val="none"/>
          <w:u w:val="none"/>
          <w:lang w:val="en-US" w:eastAsia="zh-CN" w:bidi="ar-SA"/>
        </w:rPr>
        <w:t>和风险由中标人自行承担。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val="0"/>
          <w:bCs/>
          <w:color w:val="auto"/>
          <w:kern w:val="2"/>
          <w:sz w:val="21"/>
          <w:szCs w:val="21"/>
          <w:highlight w:val="none"/>
          <w:u w:val="none"/>
          <w:lang w:val="en-US" w:eastAsia="zh-CN" w:bidi="ar-SA"/>
        </w:rPr>
        <w:t>由中标人负责加工场地至公路主干道之间的道路为满足进料出料车辆通行所需的一切措施，由中标人负责此段道路的日常维修、养护工作以及为确保此段道路正常通行与周边村社组织、周边居民的日常协调工作，并承担所有费用。</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hAnsi="宋体"/>
          <w:bCs/>
          <w:color w:val="auto"/>
          <w:highlight w:val="none"/>
          <w:lang w:eastAsia="zh-CN"/>
        </w:rPr>
      </w:pPr>
      <w:r>
        <w:rPr>
          <w:rFonts w:hint="eastAsia" w:ascii="宋体" w:hAnsi="宋体" w:eastAsia="宋体" w:cs="宋体"/>
          <w:b/>
          <w:bCs/>
          <w:color w:val="auto"/>
          <w:sz w:val="21"/>
          <w:szCs w:val="21"/>
          <w:highlight w:val="none"/>
          <w:lang w:val="en-US" w:eastAsia="zh-CN"/>
        </w:rPr>
        <w:t>（5）原料供应：</w:t>
      </w:r>
      <w:r>
        <w:rPr>
          <w:rFonts w:hint="eastAsia" w:ascii="宋体" w:hAnsi="宋体" w:eastAsia="宋体" w:cs="宋体"/>
          <w:b w:val="0"/>
          <w:bCs w:val="0"/>
          <w:color w:val="auto"/>
          <w:sz w:val="21"/>
          <w:szCs w:val="21"/>
          <w:highlight w:val="none"/>
          <w:lang w:val="en-US" w:eastAsia="zh-CN"/>
        </w:rPr>
        <w:t>由采购人负责原料的供应，负责将原料运至中标人加工场地，</w:t>
      </w:r>
      <w:r>
        <w:rPr>
          <w:rFonts w:hint="eastAsia" w:hAnsi="宋体" w:eastAsia="宋体"/>
          <w:bCs/>
          <w:color w:val="auto"/>
          <w:highlight w:val="none"/>
          <w:lang w:eastAsia="zh-CN"/>
        </w:rPr>
        <w:t>采购人</w:t>
      </w:r>
      <w:r>
        <w:rPr>
          <w:rFonts w:hint="eastAsia" w:hAnsi="宋体"/>
          <w:bCs/>
          <w:color w:val="auto"/>
          <w:highlight w:val="none"/>
        </w:rPr>
        <w:t>要确保所供</w:t>
      </w:r>
      <w:r>
        <w:rPr>
          <w:rFonts w:hint="eastAsia" w:hAnsi="宋体"/>
          <w:bCs/>
          <w:color w:val="auto"/>
          <w:highlight w:val="none"/>
          <w:lang w:eastAsia="zh-CN"/>
        </w:rPr>
        <w:t>原</w:t>
      </w:r>
      <w:r>
        <w:rPr>
          <w:rFonts w:hint="eastAsia" w:hAnsi="宋体"/>
          <w:bCs/>
          <w:color w:val="auto"/>
          <w:highlight w:val="none"/>
        </w:rPr>
        <w:t>料及时到位。</w:t>
      </w:r>
      <w:r>
        <w:rPr>
          <w:rFonts w:hint="eastAsia" w:hAnsi="宋体"/>
          <w:bCs/>
          <w:color w:val="auto"/>
          <w:highlight w:val="none"/>
          <w:lang w:eastAsia="zh-CN"/>
        </w:rPr>
        <w:t>否则造成的成品料供货不足及延迟供货责任由采购人自行承担。</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2" w:firstLineChars="200"/>
        <w:jc w:val="left"/>
        <w:textAlignment w:val="auto"/>
        <w:rPr>
          <w:rFonts w:hint="default" w:hAnsi="宋体"/>
          <w:bCs/>
          <w:color w:val="auto"/>
          <w:highlight w:val="none"/>
          <w:lang w:val="en-US" w:eastAsia="zh-CN"/>
        </w:rPr>
      </w:pPr>
      <w:r>
        <w:rPr>
          <w:rFonts w:hint="eastAsia" w:hAnsi="宋体" w:cs="宋体"/>
          <w:b/>
          <w:bCs w:val="0"/>
          <w:color w:val="auto"/>
          <w:szCs w:val="21"/>
          <w:highlight w:val="none"/>
          <w:u w:val="none"/>
          <w:lang w:val="en-US" w:eastAsia="zh-CN"/>
        </w:rPr>
        <w:t>（6）安全：</w:t>
      </w:r>
      <w:r>
        <w:rPr>
          <w:rFonts w:hint="eastAsia" w:hAnsi="宋体" w:cs="宋体"/>
          <w:b w:val="0"/>
          <w:bCs/>
          <w:color w:val="auto"/>
          <w:szCs w:val="21"/>
          <w:highlight w:val="none"/>
          <w:u w:val="none"/>
          <w:lang w:val="en-US" w:eastAsia="zh-CN"/>
        </w:rPr>
        <w:t>供应商</w:t>
      </w:r>
      <w:r>
        <w:rPr>
          <w:rFonts w:hint="eastAsia" w:ascii="宋体" w:hAnsi="宋体" w:cs="宋体"/>
          <w:b w:val="0"/>
          <w:bCs/>
          <w:color w:val="auto"/>
          <w:szCs w:val="21"/>
          <w:highlight w:val="none"/>
          <w:u w:val="none"/>
          <w:lang w:val="en-US" w:eastAsia="zh-CN"/>
        </w:rPr>
        <w:t>所有员工需进行人身保险，生产过程中出现工伤及安全事故等，由</w:t>
      </w:r>
      <w:r>
        <w:rPr>
          <w:rFonts w:hint="eastAsia" w:hAnsi="宋体" w:cs="宋体"/>
          <w:b w:val="0"/>
          <w:bCs/>
          <w:color w:val="auto"/>
          <w:szCs w:val="21"/>
          <w:highlight w:val="none"/>
          <w:u w:val="none"/>
          <w:lang w:val="en-US" w:eastAsia="zh-CN"/>
        </w:rPr>
        <w:t>供应商</w:t>
      </w:r>
      <w:r>
        <w:rPr>
          <w:rFonts w:hint="eastAsia" w:ascii="宋体" w:hAnsi="宋体" w:cs="宋体"/>
          <w:b w:val="0"/>
          <w:bCs/>
          <w:color w:val="auto"/>
          <w:szCs w:val="21"/>
          <w:highlight w:val="none"/>
          <w:u w:val="none"/>
          <w:lang w:val="en-US" w:eastAsia="zh-CN"/>
        </w:rPr>
        <w:t>负责且所有费用由</w:t>
      </w:r>
      <w:r>
        <w:rPr>
          <w:rFonts w:hint="eastAsia" w:hAnsi="宋体" w:cs="宋体"/>
          <w:b w:val="0"/>
          <w:bCs/>
          <w:color w:val="auto"/>
          <w:szCs w:val="21"/>
          <w:highlight w:val="none"/>
          <w:u w:val="none"/>
          <w:lang w:val="en-US" w:eastAsia="zh-CN"/>
        </w:rPr>
        <w:t>供应商</w:t>
      </w:r>
      <w:r>
        <w:rPr>
          <w:rFonts w:hint="eastAsia" w:ascii="宋体" w:hAnsi="宋体" w:cs="宋体"/>
          <w:b w:val="0"/>
          <w:bCs/>
          <w:color w:val="auto"/>
          <w:szCs w:val="21"/>
          <w:highlight w:val="none"/>
          <w:u w:val="none"/>
          <w:lang w:val="en-US" w:eastAsia="zh-CN"/>
        </w:rPr>
        <w:t>自行承担。</w:t>
      </w:r>
      <w:r>
        <w:rPr>
          <w:rFonts w:hint="eastAsia" w:hAnsi="宋体" w:cs="宋体"/>
          <w:b w:val="0"/>
          <w:bCs/>
          <w:color w:val="auto"/>
          <w:szCs w:val="21"/>
          <w:highlight w:val="none"/>
          <w:u w:val="none"/>
          <w:lang w:val="en-US" w:eastAsia="zh-CN"/>
        </w:rPr>
        <w:t>供应商</w:t>
      </w:r>
      <w:r>
        <w:rPr>
          <w:rFonts w:hint="eastAsia" w:ascii="宋体" w:hAnsi="宋体" w:cs="宋体"/>
          <w:b w:val="0"/>
          <w:bCs/>
          <w:color w:val="auto"/>
          <w:szCs w:val="21"/>
          <w:highlight w:val="none"/>
          <w:u w:val="none"/>
          <w:lang w:val="en-US" w:eastAsia="zh-CN"/>
        </w:rPr>
        <w:t>应严格遵从《安全生产法》、《环境保护法》等相关法律法规及有关部门要求生产，如因此产生所有费用，由</w:t>
      </w:r>
      <w:r>
        <w:rPr>
          <w:rFonts w:hint="eastAsia" w:hAnsi="宋体" w:cs="宋体"/>
          <w:b w:val="0"/>
          <w:bCs/>
          <w:color w:val="auto"/>
          <w:szCs w:val="21"/>
          <w:highlight w:val="none"/>
          <w:u w:val="none"/>
          <w:lang w:val="en-US" w:eastAsia="zh-CN"/>
        </w:rPr>
        <w:t>供应商</w:t>
      </w:r>
      <w:r>
        <w:rPr>
          <w:rFonts w:hint="eastAsia" w:ascii="宋体" w:hAnsi="宋体" w:cs="宋体"/>
          <w:b w:val="0"/>
          <w:bCs/>
          <w:color w:val="auto"/>
          <w:szCs w:val="21"/>
          <w:highlight w:val="none"/>
          <w:u w:val="none"/>
          <w:lang w:val="en-US" w:eastAsia="zh-CN"/>
        </w:rPr>
        <w:t>自行承担。若因此造成影响，双倍赔偿甲方损失。</w:t>
      </w:r>
      <w:r>
        <w:rPr>
          <w:rFonts w:hint="default" w:hAnsi="宋体"/>
          <w:bCs/>
          <w:color w:val="auto"/>
          <w:highlight w:val="none"/>
          <w:lang w:val="en-US" w:eastAsia="zh-CN"/>
        </w:rPr>
        <w:t>加工砂石是一项带有一定危险性的工作，要求</w:t>
      </w:r>
      <w:r>
        <w:rPr>
          <w:rFonts w:hint="eastAsia" w:hAnsi="宋体"/>
          <w:bCs/>
          <w:color w:val="auto"/>
          <w:highlight w:val="none"/>
          <w:lang w:val="en-US" w:eastAsia="zh-CN"/>
        </w:rPr>
        <w:t>供应商</w:t>
      </w:r>
      <w:r>
        <w:rPr>
          <w:rFonts w:hint="default" w:hAnsi="宋体"/>
          <w:bCs/>
          <w:color w:val="auto"/>
          <w:highlight w:val="none"/>
          <w:lang w:val="en-US" w:eastAsia="zh-CN"/>
        </w:rPr>
        <w:t>对员工经常进行安全教育，防止自身人员伤害，并做好人身意外伤害险的投保工作，要求所有施工人员和生产管理人员每人保险额度在80万元及以上。如果发生人员安全伤害，则由</w:t>
      </w:r>
      <w:r>
        <w:rPr>
          <w:rFonts w:hint="eastAsia" w:hAnsi="宋体"/>
          <w:bCs/>
          <w:color w:val="auto"/>
          <w:highlight w:val="none"/>
          <w:lang w:val="en-US" w:eastAsia="zh-CN"/>
        </w:rPr>
        <w:t>供应商</w:t>
      </w:r>
      <w:r>
        <w:rPr>
          <w:rFonts w:hint="default" w:hAnsi="宋体"/>
          <w:bCs/>
          <w:color w:val="auto"/>
          <w:highlight w:val="none"/>
          <w:lang w:val="en-US" w:eastAsia="zh-CN"/>
        </w:rPr>
        <w:t>自行承担，与</w:t>
      </w:r>
      <w:r>
        <w:rPr>
          <w:rFonts w:hint="eastAsia" w:hAnsi="宋体"/>
          <w:bCs/>
          <w:color w:val="auto"/>
          <w:highlight w:val="none"/>
          <w:lang w:val="en-US" w:eastAsia="zh-CN"/>
        </w:rPr>
        <w:t>采购人</w:t>
      </w:r>
      <w:r>
        <w:rPr>
          <w:rFonts w:hint="default" w:hAnsi="宋体"/>
          <w:bCs/>
          <w:color w:val="auto"/>
          <w:highlight w:val="none"/>
          <w:lang w:val="en-US" w:eastAsia="zh-CN"/>
        </w:rPr>
        <w:t>概无关系。</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b w:val="0"/>
          <w:bCs/>
          <w:color w:val="auto"/>
          <w:szCs w:val="21"/>
          <w:highlight w:val="none"/>
          <w:u w:val="none"/>
          <w:lang w:val="en-US" w:eastAsia="zh-CN"/>
        </w:rPr>
      </w:pPr>
      <w:r>
        <w:rPr>
          <w:rFonts w:hint="default" w:hAnsi="宋体"/>
          <w:bCs/>
          <w:color w:val="auto"/>
          <w:highlight w:val="none"/>
          <w:lang w:val="en-US" w:eastAsia="zh-CN"/>
        </w:rPr>
        <w:t>在生产过程中，发生各类事故、人身伤害事故、砂石料失窃行为等，</w:t>
      </w:r>
      <w:r>
        <w:rPr>
          <w:rFonts w:hint="eastAsia" w:hAnsi="宋体"/>
          <w:bCs/>
          <w:color w:val="auto"/>
          <w:highlight w:val="none"/>
          <w:lang w:val="en-US" w:eastAsia="zh-CN"/>
        </w:rPr>
        <w:t>采购人</w:t>
      </w:r>
      <w:r>
        <w:rPr>
          <w:rFonts w:hint="default" w:hAnsi="宋体"/>
          <w:bCs/>
          <w:color w:val="auto"/>
          <w:highlight w:val="none"/>
          <w:lang w:val="en-US" w:eastAsia="zh-CN"/>
        </w:rPr>
        <w:t>可视情节轻重有权单方面终止合同。</w:t>
      </w:r>
    </w:p>
    <w:p>
      <w:pPr>
        <w:keepNext w:val="0"/>
        <w:keepLines w:val="0"/>
        <w:pageBreakBefore w:val="0"/>
        <w:widowControl w:val="0"/>
        <w:numPr>
          <w:ilvl w:val="3"/>
          <w:numId w:val="21"/>
        </w:numPr>
        <w:kinsoku/>
        <w:wordWrap/>
        <w:overflowPunct/>
        <w:topLinePunct w:val="0"/>
        <w:autoSpaceDE/>
        <w:autoSpaceDN/>
        <w:bidi w:val="0"/>
        <w:adjustRightInd/>
        <w:spacing w:line="400" w:lineRule="exact"/>
        <w:ind w:left="567" w:hanging="283"/>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质量要求</w:t>
      </w:r>
      <w:r>
        <w:rPr>
          <w:rFonts w:hint="eastAsia" w:ascii="宋体" w:hAnsi="宋体" w:eastAsia="宋体" w:cs="宋体"/>
          <w:b/>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eastAsia="宋体" w:cs="Times New Roman"/>
          <w:bCs/>
          <w:color w:val="auto"/>
          <w:highlight w:val="none"/>
        </w:rPr>
      </w:pPr>
      <w:r>
        <w:rPr>
          <w:rFonts w:hint="eastAsia" w:hAnsi="宋体" w:eastAsia="宋体" w:cs="Times New Roman"/>
          <w:bCs/>
          <w:color w:val="auto"/>
          <w:highlight w:val="none"/>
        </w:rPr>
        <w:t>（1）</w:t>
      </w:r>
      <w:r>
        <w:rPr>
          <w:rFonts w:hint="eastAsia" w:hAnsi="宋体" w:eastAsia="宋体" w:cs="Times New Roman"/>
          <w:bCs/>
          <w:color w:val="auto"/>
          <w:highlight w:val="none"/>
          <w:lang w:eastAsia="zh-CN"/>
        </w:rPr>
        <w:t>中标人须执行</w:t>
      </w:r>
      <w:r>
        <w:rPr>
          <w:rFonts w:hint="eastAsia" w:hAnsi="宋体" w:eastAsia="宋体" w:cs="Times New Roman"/>
          <w:bCs/>
          <w:color w:val="auto"/>
          <w:highlight w:val="none"/>
          <w:lang w:val="en-US" w:eastAsia="zh-CN"/>
        </w:rPr>
        <w:t>《机制砂石生产技术规程》 等标准，应严格按照碎石、机制砂产品标准组织生产。</w:t>
      </w:r>
      <w:r>
        <w:rPr>
          <w:rFonts w:hint="eastAsia" w:hAnsi="宋体" w:eastAsia="宋体" w:cs="Times New Roman"/>
          <w:bCs/>
          <w:color w:val="auto"/>
          <w:highlight w:val="none"/>
        </w:rPr>
        <w:t>提供的</w:t>
      </w:r>
      <w:r>
        <w:rPr>
          <w:rFonts w:hint="eastAsia" w:hAnsi="宋体" w:eastAsia="宋体" w:cs="Times New Roman"/>
          <w:bCs/>
          <w:color w:val="auto"/>
          <w:highlight w:val="none"/>
          <w:lang w:eastAsia="zh-CN"/>
        </w:rPr>
        <w:t>机制砂</w:t>
      </w:r>
      <w:r>
        <w:rPr>
          <w:rFonts w:hint="eastAsia" w:hAnsi="宋体" w:eastAsia="宋体" w:cs="Times New Roman"/>
          <w:bCs/>
          <w:color w:val="auto"/>
          <w:highlight w:val="none"/>
        </w:rPr>
        <w:t>须满足《建设用砂》(GB/T14684-2011)的标准，提供的碎石须满足《建设用卵石、碎石》（GB/T14685-2011）的标准。</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eastAsia="宋体" w:cs="Times New Roman"/>
          <w:bCs/>
          <w:color w:val="auto"/>
          <w:highlight w:val="none"/>
        </w:rPr>
      </w:pPr>
      <w:r>
        <w:rPr>
          <w:rFonts w:hint="eastAsia" w:hAnsi="宋体" w:eastAsia="宋体" w:cs="Times New Roman"/>
          <w:bCs/>
          <w:color w:val="auto"/>
          <w:highlight w:val="none"/>
          <w:lang w:eastAsia="zh-CN"/>
        </w:rPr>
        <w:t>（</w:t>
      </w:r>
      <w:r>
        <w:rPr>
          <w:rFonts w:hint="eastAsia" w:hAnsi="宋体" w:eastAsia="宋体" w:cs="Times New Roman"/>
          <w:bCs/>
          <w:color w:val="auto"/>
          <w:highlight w:val="none"/>
          <w:lang w:val="en-US" w:eastAsia="zh-CN"/>
        </w:rPr>
        <w:t>2</w:t>
      </w:r>
      <w:r>
        <w:rPr>
          <w:rFonts w:hint="eastAsia" w:hAnsi="宋体" w:eastAsia="宋体" w:cs="Times New Roman"/>
          <w:bCs/>
          <w:color w:val="auto"/>
          <w:highlight w:val="none"/>
          <w:lang w:eastAsia="zh-CN"/>
        </w:rPr>
        <w:t>）中标人</w:t>
      </w:r>
      <w:r>
        <w:rPr>
          <w:rFonts w:hint="eastAsia" w:hAnsi="宋体" w:eastAsia="宋体" w:cs="Times New Roman"/>
          <w:bCs/>
          <w:color w:val="auto"/>
          <w:highlight w:val="none"/>
        </w:rPr>
        <w:t>的碎石</w:t>
      </w:r>
      <w:r>
        <w:rPr>
          <w:rFonts w:hint="eastAsia" w:hAnsi="宋体" w:eastAsia="宋体" w:cs="Times New Roman"/>
          <w:bCs/>
          <w:color w:val="auto"/>
          <w:highlight w:val="none"/>
          <w:lang w:eastAsia="zh-CN"/>
        </w:rPr>
        <w:t>及机制砂</w:t>
      </w:r>
      <w:r>
        <w:rPr>
          <w:rFonts w:hint="eastAsia" w:hAnsi="宋体" w:eastAsia="宋体" w:cs="Times New Roman"/>
          <w:bCs/>
          <w:color w:val="auto"/>
          <w:highlight w:val="none"/>
        </w:rPr>
        <w:t>质量技术指标须符合国家相关标准，合同签订前</w:t>
      </w:r>
      <w:r>
        <w:rPr>
          <w:rFonts w:hint="eastAsia" w:hAnsi="宋体" w:eastAsia="宋体" w:cs="Times New Roman"/>
          <w:bCs/>
          <w:color w:val="auto"/>
          <w:highlight w:val="none"/>
          <w:lang w:eastAsia="zh-CN"/>
        </w:rPr>
        <w:t>中标人</w:t>
      </w:r>
      <w:r>
        <w:rPr>
          <w:rFonts w:hint="eastAsia" w:hAnsi="宋体" w:eastAsia="宋体" w:cs="Times New Roman"/>
          <w:bCs/>
          <w:color w:val="auto"/>
          <w:highlight w:val="none"/>
        </w:rPr>
        <w:t>须向</w:t>
      </w:r>
      <w:r>
        <w:rPr>
          <w:rFonts w:hint="eastAsia" w:hAnsi="宋体" w:eastAsia="宋体" w:cs="Times New Roman"/>
          <w:bCs/>
          <w:color w:val="auto"/>
          <w:highlight w:val="none"/>
          <w:lang w:eastAsia="zh-CN"/>
        </w:rPr>
        <w:t>采购人</w:t>
      </w:r>
      <w:r>
        <w:rPr>
          <w:rFonts w:hint="eastAsia" w:hAnsi="宋体" w:eastAsia="宋体" w:cs="Times New Roman"/>
          <w:bCs/>
          <w:color w:val="auto"/>
          <w:highlight w:val="none"/>
        </w:rPr>
        <w:t>提供由第三方检测机构出具的相应规格的检验报告。</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bCs/>
          <w:color w:val="auto"/>
          <w:highlight w:val="none"/>
          <w:lang w:val="en-US" w:eastAsia="zh-CN"/>
        </w:rPr>
      </w:pPr>
      <w:r>
        <w:rPr>
          <w:rFonts w:hint="eastAsia" w:hAnsi="宋体" w:eastAsia="宋体" w:cs="Times New Roman"/>
          <w:bCs/>
          <w:color w:val="auto"/>
          <w:highlight w:val="none"/>
        </w:rPr>
        <w:t>（</w:t>
      </w:r>
      <w:r>
        <w:rPr>
          <w:rFonts w:hint="eastAsia" w:hAnsi="宋体" w:eastAsia="宋体" w:cs="Times New Roman"/>
          <w:bCs/>
          <w:color w:val="auto"/>
          <w:highlight w:val="none"/>
          <w:lang w:val="en-US" w:eastAsia="zh-CN"/>
        </w:rPr>
        <w:t>3</w:t>
      </w:r>
      <w:r>
        <w:rPr>
          <w:rFonts w:hint="eastAsia" w:hAnsi="宋体" w:eastAsia="宋体" w:cs="Times New Roman"/>
          <w:bCs/>
          <w:color w:val="auto"/>
          <w:highlight w:val="none"/>
        </w:rPr>
        <w:t>）</w:t>
      </w:r>
      <w:r>
        <w:rPr>
          <w:rFonts w:hint="eastAsia" w:hAnsi="宋体"/>
          <w:bCs/>
          <w:color w:val="auto"/>
          <w:highlight w:val="none"/>
          <w:lang w:val="en-US" w:eastAsia="zh-CN"/>
        </w:rPr>
        <w:t>采购人对中标人提供的货物在使用前进行检检测时，中标人需负责协助采购人一起检测，直到符合技术要求，采购人才做最终验收。</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在使用期间如</w:t>
      </w:r>
      <w:r>
        <w:rPr>
          <w:rFonts w:hint="eastAsia"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机制砂</w:t>
      </w:r>
      <w:r>
        <w:rPr>
          <w:rFonts w:hint="eastAsia" w:ascii="宋体" w:hAnsi="宋体" w:eastAsia="宋体" w:cs="宋体"/>
          <w:color w:val="auto"/>
          <w:sz w:val="21"/>
          <w:szCs w:val="21"/>
          <w:highlight w:val="none"/>
        </w:rPr>
        <w:t>、碎石存在质量问题时，</w:t>
      </w:r>
      <w:r>
        <w:rPr>
          <w:rFonts w:hint="eastAsia"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有权对存在问题的</w:t>
      </w:r>
      <w:r>
        <w:rPr>
          <w:rFonts w:hint="eastAsia" w:ascii="宋体" w:hAnsi="宋体" w:eastAsia="宋体" w:cs="宋体"/>
          <w:color w:val="auto"/>
          <w:sz w:val="21"/>
          <w:szCs w:val="21"/>
          <w:highlight w:val="none"/>
          <w:lang w:eastAsia="zh-CN"/>
        </w:rPr>
        <w:t>机制砂</w:t>
      </w:r>
      <w:r>
        <w:rPr>
          <w:rFonts w:hint="eastAsia" w:ascii="宋体" w:hAnsi="宋体" w:eastAsia="宋体" w:cs="宋体"/>
          <w:color w:val="auto"/>
          <w:sz w:val="21"/>
          <w:szCs w:val="21"/>
          <w:highlight w:val="none"/>
        </w:rPr>
        <w:t>、碎石进行取样、封存，并委托双方认可的第三方检测机构进行检验，相关费用由</w:t>
      </w:r>
      <w:r>
        <w:rPr>
          <w:rFonts w:hint="eastAsia"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承担。若检测不合格，全部退回本次供货，在第二次重新供货时，若供料品质在随机抽样检测中仍不合格的，</w:t>
      </w:r>
      <w:r>
        <w:rPr>
          <w:rFonts w:hint="eastAsia"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有权解除合同，并扣除100%履约保证金，由此造成的一切后果由</w:t>
      </w:r>
      <w:r>
        <w:rPr>
          <w:rFonts w:hint="eastAsia"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bCs/>
          <w:color w:val="auto"/>
          <w:highlight w:val="none"/>
          <w:lang w:bidi="en-US"/>
        </w:rPr>
      </w:pPr>
      <w:r>
        <w:rPr>
          <w:rFonts w:hint="eastAsia" w:hAnsi="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由于采购人验收采用的是抽检形式，</w:t>
      </w:r>
      <w:r>
        <w:rPr>
          <w:rFonts w:hint="eastAsia" w:hAnsi="宋体" w:eastAsia="宋体" w:cs="宋体"/>
          <w:color w:val="auto"/>
          <w:sz w:val="21"/>
          <w:szCs w:val="21"/>
          <w:highlight w:val="none"/>
          <w:lang w:eastAsia="zh-CN"/>
        </w:rPr>
        <w:t>中标人</w:t>
      </w:r>
      <w:r>
        <w:rPr>
          <w:rFonts w:hint="eastAsia" w:hAnsi="宋体"/>
          <w:bCs/>
          <w:color w:val="auto"/>
          <w:highlight w:val="none"/>
          <w:lang w:bidi="en-US"/>
        </w:rPr>
        <w:t>须对因投标货物使用期内本身的固有缺陷和瑕疵承担责任。</w:t>
      </w:r>
      <w:r>
        <w:rPr>
          <w:rFonts w:hAnsi="宋体"/>
          <w:color w:val="auto"/>
          <w:highlight w:val="none"/>
          <w:lang w:bidi="en-US"/>
        </w:rPr>
        <w:t>因</w:t>
      </w:r>
      <w:r>
        <w:rPr>
          <w:rFonts w:hint="eastAsia" w:hAnsi="宋体"/>
          <w:color w:val="auto"/>
          <w:highlight w:val="none"/>
          <w:lang w:eastAsia="zh-CN" w:bidi="en-US"/>
        </w:rPr>
        <w:t>中标人</w:t>
      </w:r>
      <w:r>
        <w:rPr>
          <w:rFonts w:hint="eastAsia" w:hAnsi="宋体" w:eastAsia="宋体" w:cs="宋体"/>
          <w:color w:val="auto"/>
          <w:sz w:val="21"/>
          <w:szCs w:val="21"/>
          <w:highlight w:val="none"/>
          <w:lang w:val="en-US" w:eastAsia="zh-CN"/>
        </w:rPr>
        <w:t>所供成品料引起的工程质量问题及采购人</w:t>
      </w:r>
      <w:r>
        <w:rPr>
          <w:rFonts w:hAnsi="宋体"/>
          <w:color w:val="auto"/>
          <w:highlight w:val="none"/>
          <w:lang w:bidi="en-US"/>
        </w:rPr>
        <w:t>的损失由</w:t>
      </w:r>
      <w:r>
        <w:rPr>
          <w:rFonts w:hint="eastAsia" w:hAnsi="宋体"/>
          <w:color w:val="auto"/>
          <w:highlight w:val="none"/>
          <w:lang w:eastAsia="zh-CN" w:bidi="en-US"/>
        </w:rPr>
        <w:t>中标人</w:t>
      </w:r>
      <w:r>
        <w:rPr>
          <w:rFonts w:hAnsi="宋体"/>
          <w:color w:val="auto"/>
          <w:highlight w:val="none"/>
          <w:lang w:bidi="en-US"/>
        </w:rPr>
        <w:t>承担。</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（6）采购人派专人(或授权使用单位)在现场负责验收签认。</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default" w:hAnsi="宋体"/>
          <w:bCs/>
          <w:color w:val="auto"/>
          <w:highlight w:val="none"/>
          <w:lang w:val="en-US" w:eastAsia="zh-CN"/>
        </w:rPr>
      </w:pPr>
      <w:r>
        <w:rPr>
          <w:rFonts w:hint="eastAsia" w:hAnsi="宋体"/>
          <w:bCs/>
          <w:color w:val="auto"/>
          <w:highlight w:val="none"/>
          <w:lang w:val="en-US" w:eastAsia="zh-CN"/>
        </w:rPr>
        <w:t>（7）产品的分类堆放，不能随意乱堆，否则造成相关损失由供应商负责。</w:t>
      </w:r>
    </w:p>
    <w:p>
      <w:pPr>
        <w:keepNext w:val="0"/>
        <w:keepLines w:val="0"/>
        <w:pageBreakBefore w:val="0"/>
        <w:widowControl w:val="0"/>
        <w:numPr>
          <w:ilvl w:val="3"/>
          <w:numId w:val="21"/>
        </w:numPr>
        <w:kinsoku/>
        <w:wordWrap/>
        <w:overflowPunct/>
        <w:topLinePunct w:val="0"/>
        <w:autoSpaceDE/>
        <w:autoSpaceDN/>
        <w:bidi w:val="0"/>
        <w:adjustRightInd/>
        <w:spacing w:line="400" w:lineRule="exact"/>
        <w:ind w:left="567" w:hanging="283"/>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供货要求</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s="宋体"/>
          <w:color w:val="auto"/>
          <w:sz w:val="21"/>
          <w:szCs w:val="21"/>
          <w:highlight w:val="none"/>
          <w:lang w:val="en-US" w:eastAsia="zh-CN"/>
        </w:rPr>
      </w:pPr>
      <w:bookmarkStart w:id="46" w:name="_Hlk38964279"/>
      <w:r>
        <w:rPr>
          <w:rFonts w:hint="eastAsia" w:hAnsi="宋体" w:cs="宋体"/>
          <w:color w:val="auto"/>
          <w:sz w:val="21"/>
          <w:szCs w:val="21"/>
          <w:highlight w:val="none"/>
          <w:lang w:val="en-US" w:eastAsia="zh-CN"/>
        </w:rPr>
        <w:t>（1）服务期：27个月，其中建设期3个月确保具备开工生产条件（自中标通知书发出之日起），加工生产期24个月。</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（2）供货时间：中标人要确保所供材料的及时到位。中标人必须全天候24小时满足采购人的供货要求，并指定专门的联系人为采购人服务。根据采购人需求，分期分批供货。</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（3）供货地点：中标人碎石机制砂加工场地出入口500m范围内。</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s="宋体"/>
          <w:color w:val="auto"/>
          <w:sz w:val="21"/>
          <w:szCs w:val="21"/>
          <w:highlight w:val="none"/>
          <w:lang w:val="en-US" w:eastAsia="zh-CN"/>
        </w:rPr>
      </w:pPr>
      <w:bookmarkStart w:id="47" w:name="_Hlk38964271"/>
      <w:r>
        <w:rPr>
          <w:rFonts w:hint="eastAsia" w:hAnsi="宋体" w:cs="宋体"/>
          <w:color w:val="auto"/>
          <w:sz w:val="21"/>
          <w:szCs w:val="21"/>
          <w:highlight w:val="none"/>
          <w:lang w:val="en-US" w:eastAsia="zh-CN"/>
        </w:rPr>
        <w:t>（4）供货数量：采购人提前2天通知中标人，中标人应根据采购人要求数量按时供货。如由采购人原因引起的要求延期供应，中标人应无条件配合。</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5）采购人负责成品料的场外运输，中标人负责成品料的装车、过磅。成品料在中标人场地过磅，双方（有监理则三方）验收数量无异议后，由双方（有监理则三方）代表在‘收料单’上签字，中标人即完成交货义务（但交货完成仅代表货物数量验收完成）。 </w:t>
      </w:r>
    </w:p>
    <w:bookmarkEnd w:id="46"/>
    <w:bookmarkEnd w:id="47"/>
    <w:p>
      <w:pPr>
        <w:keepNext w:val="0"/>
        <w:keepLines w:val="0"/>
        <w:pageBreakBefore w:val="0"/>
        <w:widowControl w:val="0"/>
        <w:numPr>
          <w:ilvl w:val="3"/>
          <w:numId w:val="21"/>
        </w:numPr>
        <w:kinsoku/>
        <w:wordWrap/>
        <w:overflowPunct/>
        <w:topLinePunct w:val="0"/>
        <w:autoSpaceDE/>
        <w:autoSpaceDN/>
        <w:bidi w:val="0"/>
        <w:adjustRightInd/>
        <w:spacing w:line="400" w:lineRule="exact"/>
        <w:ind w:left="567" w:hanging="283"/>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服务考核</w:t>
      </w:r>
    </w:p>
    <w:p>
      <w:pPr>
        <w:keepNext w:val="0"/>
        <w:keepLines w:val="0"/>
        <w:pageBreakBefore w:val="0"/>
        <w:widowControl w:val="0"/>
        <w:numPr>
          <w:ilvl w:val="0"/>
          <w:numId w:val="22"/>
        </w:numPr>
        <w:kinsoku/>
        <w:wordWrap/>
        <w:overflowPunct/>
        <w:topLinePunct w:val="0"/>
        <w:autoSpaceDE/>
        <w:autoSpaceDN/>
        <w:bidi w:val="0"/>
        <w:adjustRightInd/>
        <w:spacing w:line="400" w:lineRule="exact"/>
        <w:ind w:left="567" w:hanging="5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如因中标人原因不能按时供货，由此造成的经济损失由中标人承担，每发生一次扣履约保证金</w:t>
      </w:r>
      <w:r>
        <w:rPr>
          <w:rFonts w:hint="eastAsia" w:ascii="宋体" w:hAnsi="宋体" w:eastAsia="宋体" w:cs="宋体"/>
          <w:color w:val="auto"/>
          <w:sz w:val="21"/>
          <w:szCs w:val="21"/>
          <w:highlight w:val="none"/>
          <w:lang w:val="en-US" w:eastAsia="zh-CN"/>
        </w:rPr>
        <w:t>5000元</w:t>
      </w:r>
      <w:r>
        <w:rPr>
          <w:rFonts w:hint="eastAsia" w:ascii="宋体" w:hAnsi="宋体" w:eastAsia="宋体" w:cs="宋体"/>
          <w:color w:val="auto"/>
          <w:sz w:val="21"/>
          <w:szCs w:val="21"/>
          <w:highlight w:val="none"/>
        </w:rPr>
        <w:t>，超过三次采购人有权解除本合同并扣除100%履约保证金。</w:t>
      </w:r>
    </w:p>
    <w:p>
      <w:pPr>
        <w:keepNext w:val="0"/>
        <w:keepLines w:val="0"/>
        <w:pageBreakBefore w:val="0"/>
        <w:widowControl w:val="0"/>
        <w:numPr>
          <w:ilvl w:val="0"/>
          <w:numId w:val="22"/>
        </w:numPr>
        <w:kinsoku/>
        <w:wordWrap/>
        <w:overflowPunct/>
        <w:topLinePunct w:val="0"/>
        <w:autoSpaceDE/>
        <w:autoSpaceDN/>
        <w:bidi w:val="0"/>
        <w:adjustRightInd/>
        <w:spacing w:line="400" w:lineRule="exact"/>
        <w:ind w:left="567" w:hanging="567"/>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在使用期间如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机制砂</w:t>
      </w:r>
      <w:r>
        <w:rPr>
          <w:rFonts w:hint="eastAsia" w:ascii="宋体" w:hAnsi="宋体" w:eastAsia="宋体" w:cs="宋体"/>
          <w:color w:val="auto"/>
          <w:sz w:val="21"/>
          <w:szCs w:val="21"/>
          <w:highlight w:val="none"/>
        </w:rPr>
        <w:t>、碎石存在质量问题时，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有权对存在问题的</w:t>
      </w:r>
      <w:r>
        <w:rPr>
          <w:rFonts w:hint="eastAsia" w:ascii="宋体" w:hAnsi="宋体" w:eastAsia="宋体" w:cs="宋体"/>
          <w:color w:val="auto"/>
          <w:sz w:val="21"/>
          <w:szCs w:val="21"/>
          <w:highlight w:val="none"/>
          <w:lang w:eastAsia="zh-CN"/>
        </w:rPr>
        <w:t>机制砂</w:t>
      </w:r>
      <w:r>
        <w:rPr>
          <w:rFonts w:hint="eastAsia" w:ascii="宋体" w:hAnsi="宋体" w:eastAsia="宋体" w:cs="宋体"/>
          <w:color w:val="auto"/>
          <w:sz w:val="21"/>
          <w:szCs w:val="21"/>
          <w:highlight w:val="none"/>
        </w:rPr>
        <w:t>、碎石进行取样、封存，并委托双方认可的第三方检测机构进行检验，相关费用由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承担。若检测不合格，全部退回本次供货，在第二次重新供货时，若供料品质在随机抽样检测中仍不合格的，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有权解除合同，并扣除100%履约保证金，由此造成的一切后果由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22"/>
        </w:numPr>
        <w:kinsoku/>
        <w:wordWrap/>
        <w:overflowPunct/>
        <w:topLinePunct w:val="0"/>
        <w:autoSpaceDE/>
        <w:autoSpaceDN/>
        <w:bidi w:val="0"/>
        <w:adjustRightInd/>
        <w:spacing w:line="400" w:lineRule="exact"/>
        <w:ind w:left="567" w:hanging="567"/>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如合同履约过程中，经整改后实际生产能力仍达不到</w:t>
      </w:r>
      <w:r>
        <w:rPr>
          <w:rFonts w:hint="eastAsia" w:ascii="宋体" w:hAnsi="宋体" w:eastAsia="宋体" w:cs="宋体"/>
          <w:color w:val="auto"/>
          <w:sz w:val="21"/>
          <w:szCs w:val="21"/>
          <w:highlight w:val="none"/>
          <w:lang w:val="en-US" w:eastAsia="zh-CN"/>
        </w:rPr>
        <w:t>300吨/小时，采购人有权单方解除合同并</w:t>
      </w:r>
      <w:r>
        <w:rPr>
          <w:rFonts w:hint="eastAsia" w:ascii="宋体" w:hAnsi="宋体" w:eastAsia="宋体" w:cs="宋体"/>
          <w:color w:val="auto"/>
          <w:sz w:val="21"/>
          <w:szCs w:val="21"/>
          <w:highlight w:val="none"/>
        </w:rPr>
        <w:t>扣除100%履约保证金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line="400" w:lineRule="exact"/>
        <w:ind w:left="550" w:hanging="55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履约保证金</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firstLine="420" w:firstLineChars="200"/>
        <w:textAlignment w:val="auto"/>
        <w:rPr>
          <w:rFonts w:hint="eastAsia" w:ascii="宋体" w:hAnsi="宋体" w:eastAsia="宋体" w:cs="宋体"/>
          <w:color w:val="auto"/>
          <w:sz w:val="21"/>
          <w:szCs w:val="21"/>
          <w:highlight w:val="none"/>
        </w:rPr>
      </w:pPr>
      <w:bookmarkStart w:id="48" w:name="_Hlk38964223"/>
      <w:r>
        <w:rPr>
          <w:rFonts w:hint="eastAsia" w:ascii="宋体" w:hAnsi="宋体" w:eastAsia="宋体" w:cs="宋体"/>
          <w:color w:val="auto"/>
          <w:sz w:val="21"/>
          <w:szCs w:val="21"/>
          <w:highlight w:val="none"/>
        </w:rPr>
        <w:t>中标人须向采购单位缴纳</w:t>
      </w:r>
      <w:r>
        <w:rPr>
          <w:rFonts w:hint="eastAsia" w:ascii="宋体" w:hAnsi="宋体" w:eastAsia="宋体" w:cs="宋体"/>
          <w:b/>
          <w:bCs/>
          <w:color w:val="auto"/>
          <w:sz w:val="21"/>
          <w:szCs w:val="21"/>
          <w:highlight w:val="none"/>
          <w:u w:val="none"/>
          <w:lang w:eastAsia="zh-CN"/>
        </w:rPr>
        <w:t>合同价</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color w:val="auto"/>
          <w:sz w:val="21"/>
          <w:szCs w:val="21"/>
          <w:highlight w:val="none"/>
        </w:rPr>
        <w:t>的履约保证金，履约保证金在合同履约完成结合服务考核后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个工作日内无息退还。</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line="400" w:lineRule="exact"/>
        <w:ind w:left="550" w:hanging="55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结算与支付方式</w:t>
      </w:r>
    </w:p>
    <w:bookmarkEnd w:id="48"/>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1、本项目为</w:t>
      </w:r>
      <w:r>
        <w:rPr>
          <w:rFonts w:hint="eastAsia" w:hAnsi="宋体"/>
          <w:b/>
          <w:bCs w:val="0"/>
          <w:color w:val="auto"/>
          <w:highlight w:val="none"/>
          <w:lang w:val="en-US" w:eastAsia="zh-CN"/>
        </w:rPr>
        <w:t>固定单价合同</w:t>
      </w:r>
      <w:r>
        <w:rPr>
          <w:rFonts w:hint="eastAsia" w:hAnsi="宋体"/>
          <w:bCs/>
          <w:color w:val="auto"/>
          <w:highlight w:val="none"/>
          <w:lang w:val="en-US" w:eastAsia="zh-CN"/>
        </w:rPr>
        <w:t>，数量按实结算。</w:t>
      </w:r>
      <w:r>
        <w:rPr>
          <w:rFonts w:hint="eastAsia" w:hAnsi="宋体"/>
          <w:b/>
          <w:bCs w:val="0"/>
          <w:color w:val="auto"/>
          <w:highlight w:val="none"/>
          <w:lang w:val="en-US" w:eastAsia="zh-CN"/>
        </w:rPr>
        <w:t>结算款=甲方实际销售的成品料数量×中标单价。</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2、成品料在中标人场地过磅，双方（有监理则三方）验收数量无异议后，由双方（有监理则三方）代表在‘收料单’上签字，中标人即完成交货义务（但交货完成仅代表货物数量验收完成）。未有双方签字（有监理则三方）的，不能作为结算依据。</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3、付款方式：按月结算，乙方在每月22日前向甲方提供全套结算资料及支付凭证，每月按</w:t>
      </w:r>
      <w:r>
        <w:rPr>
          <w:rFonts w:hint="eastAsia" w:hAnsi="宋体"/>
          <w:b w:val="0"/>
          <w:bCs/>
          <w:color w:val="auto"/>
          <w:highlight w:val="none"/>
          <w:lang w:val="en-US" w:eastAsia="zh-CN"/>
        </w:rPr>
        <w:t>甲方实际销售的成品料数量</w:t>
      </w:r>
      <w:r>
        <w:rPr>
          <w:rFonts w:hint="eastAsia" w:hAnsi="宋体"/>
          <w:bCs/>
          <w:color w:val="auto"/>
          <w:highlight w:val="none"/>
          <w:lang w:val="en-US" w:eastAsia="zh-CN"/>
        </w:rPr>
        <w:t>支付实际结算款的</w:t>
      </w:r>
      <w:r>
        <w:rPr>
          <w:rFonts w:hint="eastAsia" w:hAnsi="宋体"/>
          <w:b/>
          <w:bCs w:val="0"/>
          <w:color w:val="auto"/>
          <w:highlight w:val="none"/>
          <w:lang w:val="en-US" w:eastAsia="zh-CN"/>
        </w:rPr>
        <w:t>97.5%</w:t>
      </w:r>
      <w:r>
        <w:rPr>
          <w:rFonts w:hint="eastAsia" w:hAnsi="宋体"/>
          <w:bCs/>
          <w:color w:val="auto"/>
          <w:highlight w:val="none"/>
          <w:lang w:val="en-US" w:eastAsia="zh-CN"/>
        </w:rPr>
        <w:t>，余款2.5%质保金按季度返还，在下一季度并提供全部技术资料后无息返还；支付前提供与支付金额等额的增值税专用发票。</w:t>
      </w:r>
    </w:p>
    <w:p>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bCs/>
          <w:color w:val="auto"/>
          <w:highlight w:val="none"/>
          <w:lang w:val="en-US" w:eastAsia="zh-CN"/>
        </w:rPr>
      </w:pPr>
      <w:r>
        <w:rPr>
          <w:rFonts w:hint="eastAsia" w:hAnsi="宋体"/>
          <w:bCs/>
          <w:color w:val="auto"/>
          <w:highlight w:val="none"/>
          <w:lang w:val="en-US" w:eastAsia="zh-CN"/>
        </w:rPr>
        <w:t>4、采购人可根据实际情况增加或减少供货数量，中标人须无条件服从，并按实际数量结算。数量不论增减多少，单价不变，中标人不得拒绝。结算时中标人必须根据实际使用量供货，最终结算金额按实际供货数量进行结算。</w:t>
      </w:r>
    </w:p>
    <w:p>
      <w:pPr>
        <w:pStyle w:val="11"/>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hAnsi="宋体" w:eastAsia="宋体"/>
          <w:bCs/>
          <w:color w:val="auto"/>
          <w:highlight w:val="none"/>
          <w:lang w:val="en-US" w:eastAsia="zh-CN"/>
        </w:rPr>
      </w:pPr>
      <w:r>
        <w:rPr>
          <w:rFonts w:hint="eastAsia" w:hAnsi="宋体"/>
          <w:bCs/>
          <w:color w:val="auto"/>
          <w:highlight w:val="none"/>
          <w:lang w:val="en-US" w:eastAsia="zh-CN"/>
        </w:rPr>
        <w:t>5、服务期内如实际销售的成品料数量超出80万吨，超出部分数量甲方予以奖励1元/吨；如因甲方原料供应不足造成实际销售的成品料数量不足80万吨，不足部分数量甲方予以补贴1元/吨；如甲方原料供应充足，因乙方生产能力不足等原因造成实际销售的成品料数量不足80万吨，不足部分数量甲方予以罚款1元/吨。</w:t>
      </w:r>
    </w:p>
    <w:p>
      <w:pPr>
        <w:pStyle w:val="1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备注：标注“</w:t>
      </w:r>
      <w:r>
        <w:rPr>
          <w:rFonts w:hint="eastAsia" w:ascii="宋体" w:hAnsi="宋体" w:cs="宋体"/>
          <w:color w:val="auto"/>
          <w:szCs w:val="21"/>
          <w:highlight w:val="none"/>
        </w:rPr>
        <w:t>▲</w:t>
      </w:r>
      <w:r>
        <w:rPr>
          <w:rFonts w:hint="eastAsia" w:ascii="宋体" w:hAnsi="宋体" w:eastAsia="宋体" w:cs="宋体"/>
          <w:b/>
          <w:bCs/>
          <w:color w:val="auto"/>
          <w:sz w:val="21"/>
          <w:szCs w:val="21"/>
          <w:highlight w:val="none"/>
        </w:rPr>
        <w:t>”项为实质性响应项，不满足则</w:t>
      </w:r>
      <w:r>
        <w:rPr>
          <w:rFonts w:hint="eastAsia" w:ascii="宋体" w:hAnsi="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无效。</w:t>
      </w:r>
    </w:p>
    <w:p>
      <w:pPr>
        <w:pStyle w:val="2"/>
        <w:rPr>
          <w:rFonts w:hint="eastAsia" w:ascii="宋体" w:hAnsi="宋体" w:eastAsia="宋体" w:cs="宋体"/>
          <w:b/>
          <w:bCs/>
          <w:color w:val="auto"/>
          <w:sz w:val="21"/>
          <w:szCs w:val="21"/>
          <w:highlight w:val="none"/>
        </w:rPr>
      </w:pPr>
    </w:p>
    <w:p>
      <w:pPr>
        <w:pStyle w:val="3"/>
        <w:spacing w:before="0" w:after="0" w:line="312" w:lineRule="auto"/>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rPr>
        <w:t>第五部分 磋商程序及评定成交标准</w:t>
      </w:r>
    </w:p>
    <w:p>
      <w:pPr>
        <w:pStyle w:val="18"/>
        <w:spacing w:before="0" w:beforeAutospacing="0" w:after="0" w:afterAutospacing="0" w:line="312" w:lineRule="auto"/>
        <w:ind w:firstLine="422" w:firstLineChars="200"/>
        <w:rPr>
          <w:rFonts w:hint="eastAsia"/>
          <w:b/>
          <w:bCs/>
          <w:color w:val="auto"/>
          <w:kern w:val="2"/>
          <w:sz w:val="21"/>
          <w:szCs w:val="21"/>
          <w:highlight w:val="none"/>
        </w:rPr>
      </w:pPr>
      <w:r>
        <w:rPr>
          <w:rFonts w:hint="eastAsia"/>
          <w:b/>
          <w:bCs/>
          <w:color w:val="auto"/>
          <w:kern w:val="2"/>
          <w:sz w:val="21"/>
          <w:szCs w:val="21"/>
          <w:highlight w:val="none"/>
        </w:rPr>
        <w:t>1、磋商</w:t>
      </w:r>
    </w:p>
    <w:p>
      <w:pPr>
        <w:pStyle w:val="18"/>
        <w:spacing w:before="0" w:beforeAutospacing="0" w:after="0" w:afterAutospacing="0" w:line="312" w:lineRule="auto"/>
        <w:ind w:firstLine="420" w:firstLineChars="200"/>
        <w:rPr>
          <w:rFonts w:hint="eastAsia"/>
          <w:color w:val="auto"/>
          <w:kern w:val="2"/>
          <w:sz w:val="21"/>
          <w:szCs w:val="21"/>
          <w:highlight w:val="none"/>
        </w:rPr>
      </w:pPr>
      <w:r>
        <w:rPr>
          <w:rFonts w:hint="eastAsia"/>
          <w:color w:val="auto"/>
          <w:kern w:val="2"/>
          <w:sz w:val="21"/>
          <w:szCs w:val="21"/>
          <w:highlight w:val="none"/>
        </w:rPr>
        <w:t>1.1磋商是指对磋商文件响应程度及要求的服务、商务报价、售后服务承诺和投标人的信誉等进行确认并优化的过程。</w:t>
      </w:r>
    </w:p>
    <w:p>
      <w:pPr>
        <w:pStyle w:val="18"/>
        <w:spacing w:before="0" w:beforeAutospacing="0" w:after="0" w:afterAutospacing="0" w:line="312" w:lineRule="auto"/>
        <w:ind w:firstLine="420" w:firstLineChars="200"/>
        <w:rPr>
          <w:rFonts w:hint="eastAsia"/>
          <w:color w:val="auto"/>
          <w:kern w:val="2"/>
          <w:sz w:val="21"/>
          <w:szCs w:val="21"/>
          <w:highlight w:val="none"/>
        </w:rPr>
      </w:pPr>
      <w:r>
        <w:rPr>
          <w:rFonts w:hint="eastAsia"/>
          <w:color w:val="auto"/>
          <w:kern w:val="2"/>
          <w:sz w:val="21"/>
          <w:szCs w:val="21"/>
          <w:highlight w:val="none"/>
        </w:rPr>
        <w:t>1.2竞争性磋商内容：磋商文件中采购需求及相关服务，仅为基本需求及服务要求，投标人可以重新承诺优于或高于本磋商文件中的所有配置及服务承诺。</w:t>
      </w:r>
    </w:p>
    <w:p>
      <w:pPr>
        <w:pStyle w:val="18"/>
        <w:spacing w:before="0" w:beforeAutospacing="0" w:after="0" w:afterAutospacing="0" w:line="312" w:lineRule="auto"/>
        <w:ind w:firstLine="422" w:firstLineChars="200"/>
        <w:rPr>
          <w:rFonts w:hint="eastAsia"/>
          <w:color w:val="auto"/>
          <w:kern w:val="2"/>
          <w:sz w:val="21"/>
          <w:szCs w:val="21"/>
          <w:highlight w:val="none"/>
        </w:rPr>
      </w:pPr>
      <w:r>
        <w:rPr>
          <w:rFonts w:hint="eastAsia"/>
          <w:b/>
          <w:bCs/>
          <w:color w:val="auto"/>
          <w:kern w:val="2"/>
          <w:sz w:val="21"/>
          <w:szCs w:val="21"/>
          <w:highlight w:val="none"/>
        </w:rPr>
        <w:t>2、磋商小组人员组成：</w:t>
      </w:r>
    </w:p>
    <w:p>
      <w:pPr>
        <w:pStyle w:val="18"/>
        <w:spacing w:before="0" w:beforeAutospacing="0" w:after="0" w:afterAutospacing="0" w:line="312" w:lineRule="auto"/>
        <w:ind w:firstLine="420" w:firstLineChars="200"/>
        <w:rPr>
          <w:rFonts w:hint="eastAsia" w:eastAsia="宋体"/>
          <w:color w:val="auto"/>
          <w:kern w:val="2"/>
          <w:sz w:val="21"/>
          <w:szCs w:val="21"/>
          <w:highlight w:val="none"/>
          <w:lang w:eastAsia="zh-CN"/>
        </w:rPr>
      </w:pPr>
      <w:r>
        <w:rPr>
          <w:rFonts w:hint="eastAsia"/>
          <w:color w:val="auto"/>
          <w:kern w:val="2"/>
          <w:sz w:val="21"/>
          <w:szCs w:val="21"/>
          <w:highlight w:val="none"/>
        </w:rPr>
        <w:t>2.1磋商小组由采购人依法组建</w:t>
      </w:r>
      <w:r>
        <w:rPr>
          <w:rFonts w:hint="eastAsia"/>
          <w:color w:val="auto"/>
          <w:kern w:val="2"/>
          <w:sz w:val="21"/>
          <w:szCs w:val="21"/>
          <w:highlight w:val="none"/>
          <w:lang w:eastAsia="zh-CN"/>
        </w:rPr>
        <w:t>，由</w:t>
      </w:r>
      <w:r>
        <w:rPr>
          <w:rFonts w:hint="eastAsia"/>
          <w:color w:val="auto"/>
          <w:kern w:val="2"/>
          <w:sz w:val="21"/>
          <w:szCs w:val="21"/>
          <w:highlight w:val="none"/>
          <w:lang w:val="en-US" w:eastAsia="zh-CN"/>
        </w:rPr>
        <w:t>6</w:t>
      </w:r>
      <w:r>
        <w:rPr>
          <w:rFonts w:hint="eastAsia"/>
          <w:color w:val="auto"/>
          <w:kern w:val="2"/>
          <w:sz w:val="21"/>
          <w:szCs w:val="21"/>
          <w:highlight w:val="none"/>
        </w:rPr>
        <w:t>名专家和</w:t>
      </w:r>
      <w:r>
        <w:rPr>
          <w:rFonts w:hint="eastAsia"/>
          <w:color w:val="auto"/>
          <w:kern w:val="2"/>
          <w:sz w:val="21"/>
          <w:szCs w:val="21"/>
          <w:highlight w:val="none"/>
          <w:lang w:val="en-US" w:eastAsia="zh-CN"/>
        </w:rPr>
        <w:t>1</w:t>
      </w:r>
      <w:r>
        <w:rPr>
          <w:rFonts w:hint="eastAsia"/>
          <w:color w:val="auto"/>
          <w:kern w:val="2"/>
          <w:sz w:val="21"/>
          <w:szCs w:val="21"/>
          <w:highlight w:val="none"/>
        </w:rPr>
        <w:t>名采购人代表组成。</w:t>
      </w:r>
    </w:p>
    <w:p>
      <w:pPr>
        <w:pStyle w:val="18"/>
        <w:spacing w:before="0" w:beforeAutospacing="0" w:after="0" w:afterAutospacing="0" w:line="312" w:lineRule="auto"/>
        <w:ind w:firstLine="420" w:firstLineChars="200"/>
        <w:rPr>
          <w:rFonts w:hint="eastAsia"/>
          <w:color w:val="auto"/>
          <w:kern w:val="2"/>
          <w:sz w:val="21"/>
          <w:szCs w:val="21"/>
          <w:highlight w:val="none"/>
        </w:rPr>
      </w:pPr>
      <w:r>
        <w:rPr>
          <w:rFonts w:hint="eastAsia"/>
          <w:color w:val="auto"/>
          <w:kern w:val="2"/>
          <w:sz w:val="21"/>
          <w:szCs w:val="21"/>
          <w:highlight w:val="none"/>
        </w:rPr>
        <w:t>2.2询标期间，供应商法人代表或法人委托人必须在场。负责解答有关事宜。如不在场，则事后不得对采购过程及结果提出异议。</w:t>
      </w:r>
    </w:p>
    <w:p>
      <w:pPr>
        <w:pStyle w:val="18"/>
        <w:spacing w:before="0" w:beforeAutospacing="0" w:after="0" w:afterAutospacing="0" w:line="312" w:lineRule="auto"/>
        <w:ind w:firstLine="422" w:firstLineChars="200"/>
        <w:rPr>
          <w:rFonts w:hint="eastAsia"/>
          <w:b/>
          <w:bCs/>
          <w:color w:val="auto"/>
          <w:kern w:val="2"/>
          <w:sz w:val="21"/>
          <w:szCs w:val="21"/>
          <w:highlight w:val="none"/>
        </w:rPr>
      </w:pPr>
      <w:r>
        <w:rPr>
          <w:rFonts w:hint="eastAsia"/>
          <w:b/>
          <w:bCs/>
          <w:color w:val="auto"/>
          <w:kern w:val="2"/>
          <w:sz w:val="21"/>
          <w:szCs w:val="21"/>
          <w:highlight w:val="none"/>
        </w:rPr>
        <w:t>3、定标及定标程序</w:t>
      </w:r>
    </w:p>
    <w:p>
      <w:pPr>
        <w:pStyle w:val="18"/>
        <w:spacing w:before="0" w:beforeAutospacing="0" w:after="0" w:afterAutospacing="0" w:line="312" w:lineRule="auto"/>
        <w:ind w:firstLine="420" w:firstLineChars="200"/>
        <w:rPr>
          <w:rFonts w:hint="eastAsia"/>
          <w:color w:val="auto"/>
          <w:kern w:val="2"/>
          <w:sz w:val="21"/>
          <w:szCs w:val="21"/>
          <w:highlight w:val="none"/>
        </w:rPr>
      </w:pPr>
      <w:r>
        <w:rPr>
          <w:rFonts w:hint="eastAsia"/>
          <w:color w:val="auto"/>
          <w:kern w:val="2"/>
          <w:sz w:val="21"/>
          <w:szCs w:val="21"/>
          <w:highlight w:val="none"/>
        </w:rPr>
        <w:t>3.1定标原则：</w:t>
      </w:r>
    </w:p>
    <w:p>
      <w:pPr>
        <w:pStyle w:val="18"/>
        <w:spacing w:before="0" w:beforeAutospacing="0" w:after="0" w:afterAutospacing="0" w:line="312" w:lineRule="auto"/>
        <w:ind w:firstLine="420" w:firstLineChars="200"/>
        <w:rPr>
          <w:rFonts w:hint="eastAsia"/>
          <w:b/>
          <w:bCs/>
          <w:color w:val="auto"/>
          <w:kern w:val="2"/>
          <w:sz w:val="21"/>
          <w:szCs w:val="21"/>
          <w:highlight w:val="none"/>
        </w:rPr>
      </w:pPr>
      <w:r>
        <w:rPr>
          <w:rFonts w:hint="eastAsia"/>
          <w:color w:val="auto"/>
          <w:kern w:val="2"/>
          <w:sz w:val="21"/>
          <w:szCs w:val="21"/>
          <w:highlight w:val="none"/>
        </w:rPr>
        <w:t>3.1.1本磋商办法采用综合评标法，由</w:t>
      </w:r>
      <w:r>
        <w:rPr>
          <w:rFonts w:hint="eastAsia"/>
          <w:color w:val="auto"/>
          <w:kern w:val="2"/>
          <w:sz w:val="21"/>
          <w:szCs w:val="21"/>
          <w:highlight w:val="none"/>
          <w:lang w:eastAsia="zh-CN"/>
        </w:rPr>
        <w:t>技术资信商务分</w:t>
      </w:r>
      <w:r>
        <w:rPr>
          <w:rFonts w:hint="eastAsia"/>
          <w:color w:val="auto"/>
          <w:kern w:val="2"/>
          <w:sz w:val="21"/>
          <w:szCs w:val="21"/>
          <w:highlight w:val="none"/>
        </w:rPr>
        <w:t>和报价分合计组成，</w:t>
      </w:r>
      <w:r>
        <w:rPr>
          <w:rFonts w:hint="eastAsia"/>
          <w:b/>
          <w:bCs/>
          <w:color w:val="auto"/>
          <w:kern w:val="2"/>
          <w:sz w:val="21"/>
          <w:szCs w:val="21"/>
          <w:highlight w:val="none"/>
        </w:rPr>
        <w:t>满分为100分，其中</w:t>
      </w:r>
      <w:r>
        <w:rPr>
          <w:rFonts w:hint="eastAsia"/>
          <w:b/>
          <w:bCs/>
          <w:color w:val="auto"/>
          <w:kern w:val="2"/>
          <w:sz w:val="21"/>
          <w:szCs w:val="21"/>
          <w:highlight w:val="none"/>
          <w:lang w:eastAsia="zh-CN"/>
        </w:rPr>
        <w:t>技术资信商务分</w:t>
      </w:r>
      <w:r>
        <w:rPr>
          <w:rFonts w:hint="eastAsia"/>
          <w:b/>
          <w:bCs/>
          <w:color w:val="auto"/>
          <w:kern w:val="2"/>
          <w:sz w:val="21"/>
          <w:szCs w:val="21"/>
          <w:highlight w:val="none"/>
          <w:lang w:val="en-US" w:eastAsia="zh-CN"/>
        </w:rPr>
        <w:t>85</w:t>
      </w:r>
      <w:r>
        <w:rPr>
          <w:rFonts w:hint="eastAsia"/>
          <w:b/>
          <w:bCs/>
          <w:color w:val="auto"/>
          <w:kern w:val="2"/>
          <w:sz w:val="21"/>
          <w:szCs w:val="21"/>
          <w:highlight w:val="none"/>
        </w:rPr>
        <w:t>分，报价分</w:t>
      </w:r>
      <w:r>
        <w:rPr>
          <w:rFonts w:hint="eastAsia"/>
          <w:b/>
          <w:bCs/>
          <w:color w:val="auto"/>
          <w:kern w:val="2"/>
          <w:sz w:val="21"/>
          <w:szCs w:val="21"/>
          <w:highlight w:val="none"/>
          <w:lang w:val="en-US" w:eastAsia="zh-CN"/>
        </w:rPr>
        <w:t>15</w:t>
      </w:r>
      <w:r>
        <w:rPr>
          <w:rFonts w:hint="eastAsia"/>
          <w:b/>
          <w:bCs/>
          <w:color w:val="auto"/>
          <w:kern w:val="2"/>
          <w:sz w:val="21"/>
          <w:szCs w:val="21"/>
          <w:highlight w:val="none"/>
        </w:rPr>
        <w:t>分。</w:t>
      </w:r>
    </w:p>
    <w:p>
      <w:pPr>
        <w:pStyle w:val="18"/>
        <w:spacing w:before="0" w:beforeAutospacing="0" w:after="0" w:afterAutospacing="0" w:line="312" w:lineRule="auto"/>
        <w:ind w:firstLine="420" w:firstLineChars="200"/>
        <w:rPr>
          <w:rFonts w:hint="eastAsia"/>
          <w:color w:val="auto"/>
          <w:kern w:val="2"/>
          <w:sz w:val="21"/>
          <w:szCs w:val="21"/>
          <w:highlight w:val="none"/>
        </w:rPr>
      </w:pPr>
      <w:r>
        <w:rPr>
          <w:rFonts w:hint="eastAsia"/>
          <w:color w:val="auto"/>
          <w:kern w:val="2"/>
          <w:sz w:val="21"/>
          <w:szCs w:val="21"/>
          <w:highlight w:val="none"/>
        </w:rPr>
        <w:t>3.1.2</w:t>
      </w:r>
      <w:r>
        <w:rPr>
          <w:rFonts w:hint="eastAsia"/>
          <w:color w:val="auto"/>
          <w:kern w:val="2"/>
          <w:sz w:val="21"/>
          <w:szCs w:val="21"/>
          <w:highlight w:val="none"/>
          <w:lang w:eastAsia="zh-CN"/>
        </w:rPr>
        <w:t>技术资信商务分</w:t>
      </w:r>
      <w:r>
        <w:rPr>
          <w:rFonts w:hint="eastAsia"/>
          <w:color w:val="auto"/>
          <w:kern w:val="2"/>
          <w:sz w:val="21"/>
          <w:szCs w:val="21"/>
          <w:highlight w:val="none"/>
        </w:rPr>
        <w:t>与报价分合计得分最高者为第一中标候选人，总分相同时，价格低者优先；</w:t>
      </w:r>
      <w:r>
        <w:rPr>
          <w:rFonts w:hint="eastAsia"/>
          <w:color w:val="auto"/>
          <w:kern w:val="2"/>
          <w:sz w:val="21"/>
          <w:szCs w:val="21"/>
          <w:highlight w:val="none"/>
          <w:lang w:eastAsia="zh-CN"/>
        </w:rPr>
        <w:t>技术资信商务分</w:t>
      </w:r>
      <w:r>
        <w:rPr>
          <w:rFonts w:hint="eastAsia"/>
          <w:color w:val="auto"/>
          <w:kern w:val="2"/>
          <w:sz w:val="21"/>
          <w:szCs w:val="21"/>
          <w:highlight w:val="none"/>
        </w:rPr>
        <w:t>与报价分均相同，由磋商小组投票决定。</w:t>
      </w:r>
    </w:p>
    <w:p>
      <w:pPr>
        <w:pStyle w:val="18"/>
        <w:spacing w:before="0" w:beforeAutospacing="0" w:after="0" w:afterAutospacing="0" w:line="312" w:lineRule="auto"/>
        <w:ind w:firstLine="420" w:firstLineChars="200"/>
        <w:rPr>
          <w:rFonts w:hint="eastAsia"/>
          <w:color w:val="auto"/>
          <w:kern w:val="2"/>
          <w:sz w:val="21"/>
          <w:szCs w:val="21"/>
          <w:highlight w:val="none"/>
        </w:rPr>
      </w:pPr>
      <w:r>
        <w:rPr>
          <w:rFonts w:hint="eastAsia"/>
          <w:color w:val="auto"/>
          <w:kern w:val="2"/>
          <w:sz w:val="21"/>
          <w:szCs w:val="21"/>
          <w:highlight w:val="none"/>
        </w:rPr>
        <w:t>3.1.3磋商小组根据磋商文件和响应文件，结合</w:t>
      </w:r>
      <w:r>
        <w:rPr>
          <w:rFonts w:hint="eastAsia"/>
          <w:color w:val="auto"/>
          <w:kern w:val="2"/>
          <w:sz w:val="21"/>
          <w:szCs w:val="21"/>
          <w:highlight w:val="none"/>
          <w:lang w:eastAsia="zh-CN"/>
        </w:rPr>
        <w:t>技术资信商务评分</w:t>
      </w:r>
      <w:r>
        <w:rPr>
          <w:rFonts w:hint="eastAsia"/>
          <w:color w:val="auto"/>
          <w:kern w:val="2"/>
          <w:sz w:val="21"/>
          <w:szCs w:val="21"/>
          <w:highlight w:val="none"/>
        </w:rPr>
        <w:t>细则对各供应商的</w:t>
      </w:r>
      <w:r>
        <w:rPr>
          <w:rFonts w:hint="eastAsia"/>
          <w:color w:val="auto"/>
          <w:kern w:val="2"/>
          <w:sz w:val="21"/>
          <w:szCs w:val="21"/>
          <w:highlight w:val="none"/>
          <w:lang w:eastAsia="zh-CN"/>
        </w:rPr>
        <w:t>技术资信商务部分</w:t>
      </w:r>
      <w:r>
        <w:rPr>
          <w:rFonts w:hint="eastAsia"/>
          <w:color w:val="auto"/>
          <w:kern w:val="2"/>
          <w:sz w:val="21"/>
          <w:szCs w:val="21"/>
          <w:highlight w:val="none"/>
        </w:rPr>
        <w:t>进行评审，</w:t>
      </w:r>
      <w:r>
        <w:rPr>
          <w:rFonts w:hint="eastAsia"/>
          <w:color w:val="auto"/>
          <w:sz w:val="21"/>
          <w:szCs w:val="21"/>
          <w:highlight w:val="none"/>
        </w:rPr>
        <w:t>报价部分由工作人员按照评分标准计算并由磋商小组进行确认</w:t>
      </w:r>
      <w:r>
        <w:rPr>
          <w:rFonts w:hint="eastAsia"/>
          <w:color w:val="auto"/>
          <w:kern w:val="2"/>
          <w:sz w:val="21"/>
          <w:szCs w:val="21"/>
          <w:highlight w:val="none"/>
        </w:rPr>
        <w:t>。</w:t>
      </w:r>
    </w:p>
    <w:p>
      <w:pPr>
        <w:pStyle w:val="18"/>
        <w:spacing w:before="0" w:beforeAutospacing="0" w:after="0" w:afterAutospacing="0" w:line="312" w:lineRule="auto"/>
        <w:ind w:firstLine="420" w:firstLineChars="200"/>
        <w:rPr>
          <w:rFonts w:hint="eastAsia"/>
          <w:color w:val="auto"/>
          <w:kern w:val="2"/>
          <w:sz w:val="21"/>
          <w:szCs w:val="21"/>
          <w:highlight w:val="none"/>
        </w:rPr>
      </w:pPr>
      <w:r>
        <w:rPr>
          <w:rFonts w:hint="eastAsia"/>
          <w:color w:val="auto"/>
          <w:kern w:val="2"/>
          <w:sz w:val="21"/>
          <w:szCs w:val="21"/>
          <w:highlight w:val="none"/>
        </w:rPr>
        <w:t>3.2采购代理机构不解释中标或落标原因，不退回投标文件和其他投标资料。</w:t>
      </w:r>
    </w:p>
    <w:p>
      <w:pPr>
        <w:pStyle w:val="18"/>
        <w:spacing w:before="0" w:beforeAutospacing="0" w:after="0" w:afterAutospacing="0" w:line="312" w:lineRule="auto"/>
        <w:ind w:firstLine="422" w:firstLineChars="200"/>
        <w:rPr>
          <w:rFonts w:hint="eastAsia"/>
          <w:b/>
          <w:bCs/>
          <w:color w:val="auto"/>
          <w:kern w:val="2"/>
          <w:sz w:val="21"/>
          <w:szCs w:val="21"/>
          <w:highlight w:val="none"/>
        </w:rPr>
      </w:pPr>
      <w:bookmarkStart w:id="49" w:name="_Toc356371475"/>
      <w:bookmarkStart w:id="50" w:name="_Toc366746454"/>
      <w:r>
        <w:rPr>
          <w:rFonts w:hint="eastAsia"/>
          <w:b/>
          <w:bCs/>
          <w:color w:val="auto"/>
          <w:kern w:val="2"/>
          <w:sz w:val="21"/>
          <w:szCs w:val="21"/>
          <w:highlight w:val="none"/>
        </w:rPr>
        <w:t>4、评分标准</w:t>
      </w:r>
      <w:bookmarkEnd w:id="49"/>
      <w:bookmarkEnd w:id="50"/>
    </w:p>
    <w:p>
      <w:pPr>
        <w:pStyle w:val="18"/>
        <w:spacing w:before="0" w:beforeAutospacing="0" w:after="0" w:afterAutospacing="0" w:line="312" w:lineRule="auto"/>
        <w:ind w:firstLine="420" w:firstLineChars="200"/>
        <w:rPr>
          <w:rFonts w:hint="eastAsia"/>
          <w:color w:val="auto"/>
          <w:sz w:val="21"/>
          <w:szCs w:val="21"/>
          <w:highlight w:val="none"/>
        </w:rPr>
      </w:pPr>
      <w:r>
        <w:rPr>
          <w:rFonts w:hint="eastAsia"/>
          <w:color w:val="auto"/>
          <w:sz w:val="21"/>
          <w:szCs w:val="21"/>
          <w:highlight w:val="none"/>
        </w:rPr>
        <w:t>4.1价格分采用</w:t>
      </w:r>
      <w:r>
        <w:rPr>
          <w:rFonts w:hint="eastAsia"/>
          <w:b/>
          <w:bCs/>
          <w:color w:val="auto"/>
          <w:sz w:val="21"/>
          <w:szCs w:val="21"/>
          <w:highlight w:val="none"/>
        </w:rPr>
        <w:t>低价优先法</w:t>
      </w:r>
      <w:r>
        <w:rPr>
          <w:rFonts w:hint="eastAsia"/>
          <w:color w:val="auto"/>
          <w:sz w:val="21"/>
          <w:szCs w:val="21"/>
          <w:highlight w:val="none"/>
        </w:rPr>
        <w:t>计算，即满足采购文件要求且投标价格最低的投标报价为评标基准价，其价格分为满分。</w:t>
      </w:r>
    </w:p>
    <w:p>
      <w:pPr>
        <w:pStyle w:val="18"/>
        <w:spacing w:before="0" w:beforeAutospacing="0" w:after="0" w:afterAutospacing="0" w:line="312" w:lineRule="auto"/>
        <w:ind w:firstLine="420" w:firstLineChars="200"/>
        <w:rPr>
          <w:rFonts w:hint="eastAsia"/>
          <w:color w:val="auto"/>
          <w:sz w:val="21"/>
          <w:szCs w:val="21"/>
          <w:highlight w:val="none"/>
        </w:rPr>
      </w:pPr>
      <w:r>
        <w:rPr>
          <w:rFonts w:hint="eastAsia"/>
          <w:color w:val="auto"/>
          <w:sz w:val="21"/>
          <w:szCs w:val="21"/>
          <w:highlight w:val="none"/>
        </w:rPr>
        <w:t>4.2其他投标人的价格分统一按下列公式计算：</w:t>
      </w:r>
      <w:r>
        <w:rPr>
          <w:rFonts w:hint="eastAsia"/>
          <w:b/>
          <w:bCs/>
          <w:color w:val="auto"/>
          <w:sz w:val="21"/>
          <w:szCs w:val="21"/>
          <w:highlight w:val="none"/>
          <w:u w:val="single"/>
        </w:rPr>
        <w:t>投标报价得分＝（评标基准价/投标报价）×</w:t>
      </w:r>
      <w:r>
        <w:rPr>
          <w:rFonts w:hint="eastAsia"/>
          <w:b/>
          <w:bCs/>
          <w:color w:val="auto"/>
          <w:sz w:val="21"/>
          <w:szCs w:val="21"/>
          <w:highlight w:val="none"/>
          <w:u w:val="single"/>
          <w:lang w:val="en-US" w:eastAsia="zh-CN"/>
        </w:rPr>
        <w:t>15</w:t>
      </w:r>
      <w:r>
        <w:rPr>
          <w:rFonts w:hint="eastAsia"/>
          <w:color w:val="auto"/>
          <w:sz w:val="21"/>
          <w:szCs w:val="21"/>
          <w:highlight w:val="none"/>
        </w:rPr>
        <w:t>（注：对于小微企业的价格给予6%的扣除，用扣除后的价格参与评审）。</w:t>
      </w:r>
    </w:p>
    <w:p>
      <w:pPr>
        <w:pStyle w:val="18"/>
        <w:spacing w:before="0" w:beforeAutospacing="0" w:after="0" w:afterAutospacing="0" w:line="312" w:lineRule="auto"/>
        <w:ind w:firstLine="420" w:firstLineChars="200"/>
        <w:rPr>
          <w:rFonts w:hint="eastAsia"/>
          <w:color w:val="auto"/>
          <w:sz w:val="21"/>
          <w:szCs w:val="21"/>
          <w:highlight w:val="none"/>
        </w:rPr>
      </w:pPr>
      <w:r>
        <w:rPr>
          <w:rFonts w:hint="eastAsia"/>
          <w:color w:val="auto"/>
          <w:sz w:val="21"/>
          <w:szCs w:val="21"/>
          <w:highlight w:val="none"/>
        </w:rPr>
        <w:t>4.3磋商小组根据磋商文件和磋商响应文件，结合</w:t>
      </w:r>
      <w:r>
        <w:rPr>
          <w:rFonts w:hint="eastAsia"/>
          <w:color w:val="auto"/>
          <w:sz w:val="21"/>
          <w:szCs w:val="21"/>
          <w:highlight w:val="none"/>
          <w:lang w:eastAsia="zh-CN"/>
        </w:rPr>
        <w:t>技术资信商务评分</w:t>
      </w:r>
      <w:r>
        <w:rPr>
          <w:rFonts w:hint="eastAsia"/>
          <w:color w:val="auto"/>
          <w:sz w:val="21"/>
          <w:szCs w:val="21"/>
          <w:highlight w:val="none"/>
        </w:rPr>
        <w:t>细则对各投标人的</w:t>
      </w:r>
      <w:r>
        <w:rPr>
          <w:rFonts w:hint="eastAsia"/>
          <w:color w:val="auto"/>
          <w:sz w:val="21"/>
          <w:szCs w:val="21"/>
          <w:highlight w:val="none"/>
          <w:lang w:eastAsia="zh-CN"/>
        </w:rPr>
        <w:t>技术资信商务部分</w:t>
      </w:r>
      <w:r>
        <w:rPr>
          <w:rFonts w:hint="eastAsia"/>
          <w:color w:val="auto"/>
          <w:sz w:val="21"/>
          <w:szCs w:val="21"/>
          <w:highlight w:val="none"/>
        </w:rPr>
        <w:t>进行评审。磋商小组各成员所评分值的算术平均值即为各投标人的</w:t>
      </w:r>
      <w:r>
        <w:rPr>
          <w:rFonts w:hint="eastAsia"/>
          <w:color w:val="auto"/>
          <w:sz w:val="21"/>
          <w:szCs w:val="21"/>
          <w:highlight w:val="none"/>
          <w:lang w:eastAsia="zh-CN"/>
        </w:rPr>
        <w:t>技术资信商务分</w:t>
      </w:r>
      <w:r>
        <w:rPr>
          <w:rFonts w:hint="eastAsia"/>
          <w:color w:val="auto"/>
          <w:sz w:val="21"/>
          <w:szCs w:val="21"/>
          <w:highlight w:val="none"/>
        </w:rPr>
        <w:t>值（计算时四舍五入保留二位小数）。</w:t>
      </w:r>
    </w:p>
    <w:p>
      <w:pPr>
        <w:pStyle w:val="18"/>
        <w:spacing w:before="0" w:beforeAutospacing="0" w:after="0" w:afterAutospacing="0" w:line="312" w:lineRule="auto"/>
        <w:ind w:firstLine="420" w:firstLineChars="200"/>
        <w:rPr>
          <w:rFonts w:hint="eastAsia" w:eastAsia="宋体"/>
          <w:color w:val="auto"/>
          <w:kern w:val="2"/>
          <w:sz w:val="21"/>
          <w:szCs w:val="21"/>
          <w:highlight w:val="none"/>
          <w:lang w:eastAsia="zh-CN"/>
        </w:rPr>
      </w:pPr>
      <w:r>
        <w:rPr>
          <w:rFonts w:hint="eastAsia"/>
          <w:color w:val="auto"/>
          <w:kern w:val="2"/>
          <w:sz w:val="21"/>
          <w:szCs w:val="21"/>
          <w:highlight w:val="none"/>
        </w:rPr>
        <w:t>4.4投标人评标综合得分=报价分+</w:t>
      </w:r>
      <w:r>
        <w:rPr>
          <w:rFonts w:hint="eastAsia"/>
          <w:color w:val="auto"/>
          <w:kern w:val="2"/>
          <w:sz w:val="21"/>
          <w:szCs w:val="21"/>
          <w:highlight w:val="none"/>
          <w:lang w:eastAsia="zh-CN"/>
        </w:rPr>
        <w:t>技术资信商务分</w:t>
      </w:r>
    </w:p>
    <w:p>
      <w:pPr>
        <w:pStyle w:val="18"/>
        <w:spacing w:before="0" w:beforeAutospacing="0" w:after="0" w:afterAutospacing="0" w:line="312" w:lineRule="auto"/>
        <w:rPr>
          <w:rFonts w:hint="eastAsia"/>
          <w:color w:val="auto"/>
          <w:kern w:val="2"/>
          <w:sz w:val="21"/>
          <w:szCs w:val="21"/>
          <w:highlight w:val="none"/>
        </w:rPr>
      </w:pPr>
    </w:p>
    <w:p>
      <w:pPr>
        <w:pStyle w:val="18"/>
        <w:spacing w:before="0" w:beforeAutospacing="0" w:after="0" w:afterAutospacing="0" w:line="312" w:lineRule="auto"/>
        <w:ind w:firstLine="420" w:firstLineChars="200"/>
        <w:rPr>
          <w:rFonts w:hint="eastAsia"/>
          <w:color w:val="auto"/>
          <w:kern w:val="2"/>
          <w:sz w:val="21"/>
          <w:szCs w:val="21"/>
          <w:highlight w:val="none"/>
        </w:rPr>
      </w:pPr>
      <w:r>
        <w:rPr>
          <w:rFonts w:hint="eastAsia"/>
          <w:color w:val="auto"/>
          <w:kern w:val="2"/>
          <w:sz w:val="21"/>
          <w:szCs w:val="21"/>
          <w:highlight w:val="none"/>
        </w:rPr>
        <w:t>4.5</w:t>
      </w:r>
      <w:r>
        <w:rPr>
          <w:rFonts w:hint="eastAsia"/>
          <w:color w:val="auto"/>
          <w:kern w:val="2"/>
          <w:sz w:val="21"/>
          <w:szCs w:val="21"/>
          <w:highlight w:val="none"/>
          <w:lang w:eastAsia="zh-CN"/>
        </w:rPr>
        <w:t>技术资信商务评分</w:t>
      </w:r>
      <w:r>
        <w:rPr>
          <w:rFonts w:hint="eastAsia"/>
          <w:color w:val="auto"/>
          <w:kern w:val="2"/>
          <w:sz w:val="21"/>
          <w:szCs w:val="21"/>
          <w:highlight w:val="none"/>
        </w:rPr>
        <w:t>细则（</w:t>
      </w:r>
      <w:r>
        <w:rPr>
          <w:rFonts w:hint="eastAsia"/>
          <w:color w:val="auto"/>
          <w:kern w:val="2"/>
          <w:sz w:val="21"/>
          <w:szCs w:val="21"/>
          <w:highlight w:val="none"/>
          <w:lang w:val="en-US" w:eastAsia="zh-CN"/>
        </w:rPr>
        <w:t>85</w:t>
      </w:r>
      <w:r>
        <w:rPr>
          <w:rFonts w:hint="eastAsia"/>
          <w:color w:val="auto"/>
          <w:kern w:val="2"/>
          <w:sz w:val="21"/>
          <w:szCs w:val="21"/>
          <w:highlight w:val="none"/>
        </w:rPr>
        <w:t>分）：</w:t>
      </w:r>
    </w:p>
    <w:tbl>
      <w:tblPr>
        <w:tblStyle w:val="2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45"/>
        <w:gridCol w:w="1095"/>
        <w:gridCol w:w="598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jc w:val="center"/>
              <w:textAlignment w:val="auto"/>
              <w:rPr>
                <w:rFonts w:ascii="宋体" w:hAnsi="宋体"/>
                <w:color w:val="auto"/>
                <w:szCs w:val="21"/>
                <w:highlight w:val="none"/>
              </w:rPr>
            </w:pPr>
            <w:r>
              <w:rPr>
                <w:rFonts w:ascii="宋体" w:hAnsi="宋体"/>
                <w:color w:val="auto"/>
                <w:szCs w:val="21"/>
                <w:highlight w:val="none"/>
              </w:rPr>
              <w:t>序号</w:t>
            </w:r>
          </w:p>
        </w:tc>
        <w:tc>
          <w:tcPr>
            <w:tcW w:w="2240" w:type="dxa"/>
            <w:gridSpan w:val="2"/>
            <w:vAlign w:val="center"/>
          </w:tcPr>
          <w:p>
            <w:pPr>
              <w:autoSpaceDE w:val="0"/>
              <w:autoSpaceDN w:val="0"/>
              <w:adjustRightInd w:val="0"/>
              <w:spacing w:line="360" w:lineRule="auto"/>
              <w:ind w:right="306"/>
              <w:jc w:val="center"/>
              <w:rPr>
                <w:rFonts w:ascii="宋体" w:hAnsi="宋体"/>
                <w:color w:val="auto"/>
                <w:szCs w:val="21"/>
                <w:highlight w:val="none"/>
              </w:rPr>
            </w:pPr>
            <w:r>
              <w:rPr>
                <w:rFonts w:ascii="宋体" w:hAnsi="宋体"/>
                <w:color w:val="auto"/>
                <w:szCs w:val="21"/>
                <w:highlight w:val="none"/>
              </w:rPr>
              <w:t>评分项</w:t>
            </w:r>
          </w:p>
        </w:tc>
        <w:tc>
          <w:tcPr>
            <w:tcW w:w="5985" w:type="dxa"/>
            <w:vAlign w:val="center"/>
          </w:tcPr>
          <w:p>
            <w:pPr>
              <w:autoSpaceDE w:val="0"/>
              <w:autoSpaceDN w:val="0"/>
              <w:adjustRightInd w:val="0"/>
              <w:spacing w:line="360" w:lineRule="auto"/>
              <w:ind w:right="306" w:firstLine="600"/>
              <w:jc w:val="center"/>
              <w:rPr>
                <w:rFonts w:ascii="宋体" w:hAnsi="宋体"/>
                <w:color w:val="auto"/>
                <w:szCs w:val="21"/>
                <w:highlight w:val="none"/>
              </w:rPr>
            </w:pPr>
            <w:r>
              <w:rPr>
                <w:rFonts w:ascii="宋体" w:hAnsi="宋体"/>
                <w:color w:val="auto"/>
                <w:szCs w:val="21"/>
                <w:highlight w:val="none"/>
              </w:rPr>
              <w:t>评分内容</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jc w:val="center"/>
              <w:textAlignment w:val="auto"/>
              <w:rPr>
                <w:rFonts w:ascii="宋体" w:hAnsi="宋体"/>
                <w:color w:val="auto"/>
                <w:szCs w:val="21"/>
                <w:highlight w:val="none"/>
              </w:rPr>
            </w:pPr>
            <w:r>
              <w:rPr>
                <w:rFonts w:ascii="宋体" w:hAnsi="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660" w:type="dxa"/>
            <w:vMerge w:val="restart"/>
            <w:vAlign w:val="center"/>
          </w:tcPr>
          <w:p>
            <w:pPr>
              <w:autoSpaceDE w:val="0"/>
              <w:autoSpaceDN w:val="0"/>
              <w:adjustRightInd w:val="0"/>
              <w:spacing w:line="360" w:lineRule="auto"/>
              <w:ind w:right="306"/>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2240"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pacing w:line="380" w:lineRule="exact"/>
              <w:ind w:right="111" w:rightChars="0"/>
              <w:jc w:val="center"/>
              <w:textAlignment w:val="auto"/>
              <w:rPr>
                <w:rFonts w:hint="eastAsia" w:ascii="宋体" w:hAnsi="宋体"/>
                <w:color w:val="auto"/>
                <w:szCs w:val="21"/>
                <w:highlight w:val="none"/>
              </w:rPr>
            </w:pPr>
            <w:r>
              <w:rPr>
                <w:rFonts w:hint="eastAsia" w:ascii="宋体" w:hAnsi="宋体"/>
                <w:color w:val="auto"/>
                <w:szCs w:val="21"/>
                <w:highlight w:val="none"/>
              </w:rPr>
              <w:t>拟投入设备</w:t>
            </w:r>
          </w:p>
          <w:p>
            <w:pPr>
              <w:keepNext w:val="0"/>
              <w:keepLines w:val="0"/>
              <w:pageBreakBefore w:val="0"/>
              <w:widowControl w:val="0"/>
              <w:kinsoku/>
              <w:wordWrap/>
              <w:overflowPunct/>
              <w:topLinePunct w:val="0"/>
              <w:autoSpaceDE w:val="0"/>
              <w:autoSpaceDN w:val="0"/>
              <w:bidi w:val="0"/>
              <w:adjustRightInd w:val="0"/>
              <w:spacing w:line="380" w:lineRule="exact"/>
              <w:ind w:right="306" w:rightChars="0"/>
              <w:jc w:val="center"/>
              <w:textAlignment w:val="auto"/>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5985" w:type="dxa"/>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投标人拟投入满足各种规格砂石料加工需求的生产线整套设备，如鄂式破碎机、圆锥式破碎机、立轴式破碎机、挖掘机、装载机、自卸车等</w:t>
            </w:r>
            <w:r>
              <w:rPr>
                <w:rFonts w:hint="eastAsia"/>
                <w:b/>
                <w:bCs/>
                <w:color w:val="auto"/>
                <w:sz w:val="21"/>
                <w:szCs w:val="21"/>
                <w:highlight w:val="none"/>
                <w:lang w:val="en-US" w:eastAsia="zh-CN"/>
              </w:rPr>
              <w:t>全新</w:t>
            </w:r>
            <w:r>
              <w:rPr>
                <w:rFonts w:hint="eastAsia"/>
                <w:color w:val="auto"/>
                <w:sz w:val="21"/>
                <w:szCs w:val="21"/>
                <w:highlight w:val="none"/>
                <w:lang w:val="en-US" w:eastAsia="zh-CN"/>
              </w:rPr>
              <w:t>设备。</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需提供厂家说明书及意向采购协议并承诺在中标通知书发出之日起90日内完成设备的购置、安装及调试，满足生产条件。</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各投标人提供的拟投入的设备清单（含环保设备设施）、设备厂家技术使用说明、设备工艺流程图纸、设备相关证明材料等以及场地内设备布置总平面图），对投入设备齐全率、设备性能的先进等能否满足项目的实际需要进行打分</w:t>
            </w:r>
            <w:r>
              <w:rPr>
                <w:rFonts w:hint="eastAsia"/>
                <w:color w:val="auto"/>
                <w:sz w:val="21"/>
                <w:szCs w:val="21"/>
                <w:highlight w:val="none"/>
              </w:rPr>
              <w:t>。</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0-</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60" w:type="dxa"/>
            <w:vMerge w:val="continue"/>
            <w:vAlign w:val="center"/>
          </w:tcPr>
          <w:p>
            <w:pPr>
              <w:autoSpaceDE w:val="0"/>
              <w:autoSpaceDN w:val="0"/>
              <w:adjustRightInd w:val="0"/>
              <w:spacing w:line="360" w:lineRule="auto"/>
              <w:ind w:right="306"/>
              <w:jc w:val="center"/>
              <w:rPr>
                <w:rFonts w:hint="default" w:ascii="宋体" w:hAnsi="宋体" w:eastAsia="宋体"/>
                <w:color w:val="auto"/>
                <w:szCs w:val="21"/>
                <w:highlight w:val="none"/>
                <w:lang w:val="en-US" w:eastAsia="zh-CN"/>
              </w:rPr>
            </w:pPr>
          </w:p>
        </w:tc>
        <w:tc>
          <w:tcPr>
            <w:tcW w:w="2240"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pacing w:line="380" w:lineRule="exact"/>
              <w:ind w:right="306"/>
              <w:jc w:val="center"/>
              <w:textAlignment w:val="auto"/>
              <w:rPr>
                <w:rFonts w:hint="eastAsia" w:ascii="宋体" w:hAnsi="宋体"/>
                <w:color w:val="auto"/>
                <w:szCs w:val="21"/>
                <w:highlight w:val="none"/>
              </w:rPr>
            </w:pPr>
          </w:p>
        </w:tc>
        <w:tc>
          <w:tcPr>
            <w:tcW w:w="5985" w:type="dxa"/>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300吨/小时≤石料生产能力＜400吨/小时，得5分；</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石料生产能力≧400吨/小时，得10分。</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根据投标人提供的证明材料予以打分，如证明材料不齐，导致评标委员会无法认定的，由投标人自行负责。</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w:t>
            </w:r>
            <w:r>
              <w:rPr>
                <w:rFonts w:hint="eastAsia" w:ascii="宋体" w:hAnsi="宋体"/>
                <w:color w:val="auto"/>
                <w:szCs w:val="21"/>
                <w:highlight w:val="none"/>
                <w:lang w:val="en-US" w:eastAsia="zh-CN"/>
              </w:rPr>
              <w:t>10</w:t>
            </w:r>
            <w:r>
              <w:rPr>
                <w:rFonts w:hint="eastAsia" w:ascii="宋体" w:hAnsi="宋体" w:eastAsia="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923" w:type="dxa"/>
            <w:gridSpan w:val="5"/>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textAlignment w:val="auto"/>
              <w:rPr>
                <w:rFonts w:hint="eastAsia"/>
                <w:b w:val="0"/>
                <w:bCs w:val="0"/>
                <w:color w:val="auto"/>
                <w:sz w:val="21"/>
                <w:szCs w:val="21"/>
                <w:highlight w:val="none"/>
                <w:lang w:val="en-US" w:eastAsia="zh-CN"/>
              </w:rPr>
            </w:pPr>
            <w:r>
              <w:rPr>
                <w:rFonts w:hint="eastAsia"/>
                <w:b/>
                <w:bCs/>
                <w:color w:val="auto"/>
                <w:sz w:val="21"/>
                <w:szCs w:val="21"/>
                <w:highlight w:val="none"/>
                <w:lang w:val="en-US" w:eastAsia="zh-CN"/>
              </w:rPr>
              <w:t>标前实地考察：</w:t>
            </w:r>
            <w:r>
              <w:rPr>
                <w:rFonts w:hint="eastAsia" w:ascii="宋体" w:hAnsi="宋体" w:cs="宋体"/>
                <w:b w:val="0"/>
                <w:bCs w:val="0"/>
                <w:color w:val="auto"/>
                <w:szCs w:val="21"/>
                <w:highlight w:val="none"/>
                <w:lang w:val="en-US" w:eastAsia="zh-CN"/>
              </w:rPr>
              <w:t>本项目开标前采购人将组成考察小组，对各投标人砂石加工场地进行实地考察，主要考察场地位置及面积、场外运输条件、环保设施、周边情况等内容，相关硬件设施等客观内容由投标人现场确认。</w:t>
            </w:r>
            <w:r>
              <w:rPr>
                <w:rFonts w:hint="eastAsia" w:ascii="宋体" w:hAnsi="宋体"/>
                <w:b/>
                <w:bCs/>
                <w:color w:val="auto"/>
                <w:szCs w:val="21"/>
                <w:highlight w:val="none"/>
                <w:lang w:val="en-US" w:eastAsia="zh-CN"/>
              </w:rPr>
              <w:t>全部考察完成后考察小组按客观情况对各投标人进行考察排序</w:t>
            </w:r>
            <w:r>
              <w:rPr>
                <w:rFonts w:hint="eastAsia" w:ascii="宋体" w:hAnsi="宋体" w:cs="宋体"/>
                <w:b w:val="0"/>
                <w:bCs w:val="0"/>
                <w:color w:val="auto"/>
                <w:szCs w:val="21"/>
                <w:highlight w:val="none"/>
                <w:lang w:val="en-US" w:eastAsia="zh-CN"/>
              </w:rPr>
              <w:t>，并形成考察报告，考察报告交招标人监察人员封存。</w:t>
            </w:r>
          </w:p>
          <w:p>
            <w:pPr>
              <w:keepNext w:val="0"/>
              <w:keepLines w:val="0"/>
              <w:pageBreakBefore w:val="0"/>
              <w:widowControl w:val="0"/>
              <w:kinsoku/>
              <w:wordWrap/>
              <w:overflowPunct/>
              <w:topLinePunct w:val="0"/>
              <w:autoSpaceDE w:val="0"/>
              <w:autoSpaceDN w:val="0"/>
              <w:bidi w:val="0"/>
              <w:adjustRightInd w:val="0"/>
              <w:snapToGrid/>
              <w:spacing w:line="280" w:lineRule="exact"/>
              <w:ind w:right="0" w:rightChars="0"/>
              <w:jc w:val="left"/>
              <w:textAlignment w:val="auto"/>
              <w:rPr>
                <w:rFonts w:hint="eastAsia" w:ascii="宋体" w:hAnsi="宋体" w:eastAsia="宋体"/>
                <w:color w:val="auto"/>
                <w:szCs w:val="21"/>
                <w:highlight w:val="none"/>
                <w:lang w:val="en-US" w:eastAsia="zh-CN"/>
              </w:rPr>
            </w:pPr>
            <w:r>
              <w:rPr>
                <w:rFonts w:hint="eastAsia"/>
                <w:color w:val="auto"/>
                <w:sz w:val="21"/>
                <w:szCs w:val="21"/>
                <w:highlight w:val="none"/>
                <w:lang w:val="en-US" w:eastAsia="zh-CN"/>
              </w:rPr>
              <w:t>评标时送至评标现场交评委会评审，评委会根据考察报告及投标文件内容酌情给分。如考察现场确认的情况与投标文件中提供的证明材料不一致或自相矛盾的，经询标质询后评委酌情给分。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66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both"/>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1145" w:type="dxa"/>
            <w:vMerge w:val="restart"/>
            <w:tcMar>
              <w:top w:w="0" w:type="dxa"/>
              <w:left w:w="57" w:type="dxa"/>
              <w:bottom w:w="0" w:type="dxa"/>
              <w:right w:w="57" w:type="dxa"/>
            </w:tcMar>
            <w:vAlign w:val="center"/>
          </w:tcPr>
          <w:p>
            <w:pPr>
              <w:tabs>
                <w:tab w:val="left" w:pos="420"/>
              </w:tabs>
              <w:autoSpaceDE w:val="0"/>
              <w:autoSpaceDN w:val="0"/>
              <w:adjustRightInd w:val="0"/>
              <w:spacing w:line="360" w:lineRule="auto"/>
              <w:ind w:right="-9" w:right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砂石加工场地情况</w:t>
            </w:r>
          </w:p>
          <w:p>
            <w:pPr>
              <w:autoSpaceDE w:val="0"/>
              <w:autoSpaceDN w:val="0"/>
              <w:adjustRightInd w:val="0"/>
              <w:spacing w:line="360" w:lineRule="auto"/>
              <w:ind w:right="-96" w:right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（35分）</w:t>
            </w:r>
          </w:p>
          <w:p>
            <w:pPr>
              <w:autoSpaceDE w:val="0"/>
              <w:autoSpaceDN w:val="0"/>
              <w:adjustRightInd w:val="0"/>
              <w:spacing w:line="360" w:lineRule="auto"/>
              <w:ind w:right="-96" w:rightChars="0"/>
              <w:jc w:val="left"/>
              <w:rPr>
                <w:rFonts w:hint="eastAsia"/>
                <w:color w:val="auto"/>
                <w:szCs w:val="21"/>
                <w:highlight w:val="none"/>
                <w:lang w:eastAsia="zh-CN"/>
              </w:rPr>
            </w:pPr>
            <w:r>
              <w:rPr>
                <w:rFonts w:hint="eastAsia"/>
                <w:color w:val="auto"/>
                <w:sz w:val="21"/>
                <w:szCs w:val="21"/>
                <w:highlight w:val="none"/>
                <w:lang w:eastAsia="zh-CN"/>
              </w:rPr>
              <w:t>加工场地须位于衢州市柯城区范围内，且满足临时用地审批的非农用土地。否则本项不得分。</w:t>
            </w:r>
          </w:p>
        </w:tc>
        <w:tc>
          <w:tcPr>
            <w:tcW w:w="1095" w:type="dxa"/>
            <w:vAlign w:val="center"/>
          </w:tcPr>
          <w:p>
            <w:pPr>
              <w:tabs>
                <w:tab w:val="left" w:pos="420"/>
              </w:tabs>
              <w:autoSpaceDE w:val="0"/>
              <w:autoSpaceDN w:val="0"/>
              <w:adjustRightInd w:val="0"/>
              <w:spacing w:line="360" w:lineRule="auto"/>
              <w:ind w:right="-9" w:right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b w:val="0"/>
                <w:bCs w:val="0"/>
                <w:color w:val="auto"/>
                <w:szCs w:val="21"/>
                <w:highlight w:val="none"/>
                <w:lang w:val="en-US" w:eastAsia="zh-CN"/>
              </w:rPr>
              <w:t>场地面积</w:t>
            </w:r>
          </w:p>
        </w:tc>
        <w:tc>
          <w:tcPr>
            <w:tcW w:w="5985" w:type="dxa"/>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default" w:eastAsia="宋体"/>
                <w:color w:val="auto"/>
                <w:sz w:val="21"/>
                <w:szCs w:val="21"/>
                <w:highlight w:val="none"/>
                <w:lang w:val="en-US" w:eastAsia="zh-CN"/>
              </w:rPr>
            </w:pPr>
            <w:r>
              <w:rPr>
                <w:rFonts w:hint="eastAsia"/>
                <w:color w:val="auto"/>
                <w:sz w:val="21"/>
                <w:szCs w:val="21"/>
                <w:highlight w:val="none"/>
                <w:lang w:eastAsia="zh-CN"/>
              </w:rPr>
              <w:t>砂石加工场地</w:t>
            </w:r>
            <w:r>
              <w:rPr>
                <w:rFonts w:hint="eastAsia"/>
                <w:color w:val="auto"/>
                <w:sz w:val="21"/>
                <w:szCs w:val="21"/>
                <w:highlight w:val="none"/>
              </w:rPr>
              <w:t>面积</w:t>
            </w:r>
            <w:r>
              <w:rPr>
                <w:rFonts w:hint="eastAsia"/>
                <w:color w:val="auto"/>
                <w:sz w:val="21"/>
                <w:szCs w:val="21"/>
                <w:highlight w:val="none"/>
                <w:lang w:eastAsia="zh-CN"/>
              </w:rPr>
              <w:t>达到</w:t>
            </w:r>
            <w:r>
              <w:rPr>
                <w:rFonts w:hint="eastAsia"/>
                <w:color w:val="auto"/>
                <w:sz w:val="21"/>
                <w:szCs w:val="21"/>
                <w:highlight w:val="none"/>
                <w:lang w:val="en-US" w:eastAsia="zh-CN"/>
              </w:rPr>
              <w:t>40亩的，得基本分5分；每增加3亩（不足3亩不予计分），加1分，最高加5分。</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备注：提供土地权属证明的原件或复印件加盖公章（如土地为租赁所得，应提供投标人或投标人股东与土地所有人签订的租赁合同或协议，并提供支付租金的银行转账记录、收条收据等付款依据）。仅限自用面积，转租或他用等部分面积除外。场地属有人为自然人或法人均予以认可。</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0-</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both"/>
              <w:textAlignment w:val="auto"/>
              <w:rPr>
                <w:rFonts w:hint="default" w:ascii="宋体" w:hAnsi="宋体"/>
                <w:color w:val="auto"/>
                <w:szCs w:val="21"/>
                <w:highlight w:val="none"/>
                <w:lang w:val="en-US" w:eastAsia="zh-CN"/>
              </w:rPr>
            </w:pPr>
          </w:p>
        </w:tc>
        <w:tc>
          <w:tcPr>
            <w:tcW w:w="1145" w:type="dxa"/>
            <w:vMerge w:val="continue"/>
            <w:vAlign w:val="center"/>
          </w:tcPr>
          <w:p>
            <w:pPr>
              <w:autoSpaceDE w:val="0"/>
              <w:autoSpaceDN w:val="0"/>
              <w:adjustRightInd w:val="0"/>
              <w:spacing w:line="360" w:lineRule="auto"/>
              <w:ind w:right="306" w:rightChars="0"/>
              <w:jc w:val="center"/>
              <w:rPr>
                <w:rFonts w:hint="eastAsia"/>
                <w:color w:val="auto"/>
                <w:szCs w:val="21"/>
                <w:highlight w:val="none"/>
                <w:lang w:eastAsia="zh-CN"/>
              </w:rPr>
            </w:pPr>
          </w:p>
        </w:tc>
        <w:tc>
          <w:tcPr>
            <w:tcW w:w="1095" w:type="dxa"/>
            <w:vAlign w:val="center"/>
          </w:tcPr>
          <w:p>
            <w:pPr>
              <w:adjustRightInd w:val="0"/>
              <w:snapToGrid w:val="0"/>
              <w:jc w:val="center"/>
              <w:rPr>
                <w:rFonts w:hint="eastAsia" w:ascii="宋体" w:hAnsi="宋体"/>
                <w:b w:val="0"/>
                <w:bCs w:val="0"/>
                <w:color w:val="auto"/>
                <w:szCs w:val="21"/>
                <w:highlight w:val="none"/>
              </w:rPr>
            </w:pPr>
            <w:r>
              <w:rPr>
                <w:rFonts w:hint="eastAsia"/>
                <w:b w:val="0"/>
                <w:bCs w:val="0"/>
                <w:color w:val="auto"/>
                <w:sz w:val="21"/>
                <w:szCs w:val="21"/>
                <w:highlight w:val="none"/>
                <w:lang w:val="en-US" w:eastAsia="zh-CN"/>
              </w:rPr>
              <w:t>场地位置</w:t>
            </w:r>
          </w:p>
        </w:tc>
        <w:tc>
          <w:tcPr>
            <w:tcW w:w="5985" w:type="dxa"/>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根据场地是否位于公路主干线两侧范围，场外运输条件是否便利，交通道路情况优劣程度等综合判定、综合评分。</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rPr>
              <w:t>0-</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both"/>
              <w:textAlignment w:val="auto"/>
              <w:rPr>
                <w:rFonts w:hint="default" w:ascii="宋体" w:hAnsi="宋体"/>
                <w:color w:val="auto"/>
                <w:szCs w:val="21"/>
                <w:highlight w:val="none"/>
                <w:lang w:val="en-US" w:eastAsia="zh-CN"/>
              </w:rPr>
            </w:pPr>
          </w:p>
        </w:tc>
        <w:tc>
          <w:tcPr>
            <w:tcW w:w="1145" w:type="dxa"/>
            <w:vMerge w:val="continue"/>
            <w:vAlign w:val="center"/>
          </w:tcPr>
          <w:p>
            <w:pPr>
              <w:autoSpaceDE w:val="0"/>
              <w:autoSpaceDN w:val="0"/>
              <w:adjustRightInd w:val="0"/>
              <w:spacing w:line="360" w:lineRule="auto"/>
              <w:ind w:right="306" w:rightChars="0"/>
              <w:jc w:val="center"/>
              <w:rPr>
                <w:rFonts w:hint="eastAsia"/>
                <w:color w:val="auto"/>
                <w:szCs w:val="21"/>
                <w:highlight w:val="none"/>
                <w:lang w:eastAsia="zh-CN"/>
              </w:rPr>
            </w:pPr>
          </w:p>
        </w:tc>
        <w:tc>
          <w:tcPr>
            <w:tcW w:w="1095" w:type="dxa"/>
            <w:vAlign w:val="center"/>
          </w:tcPr>
          <w:p>
            <w:pPr>
              <w:adjustRightInd w:val="0"/>
              <w:snapToGrid w:val="0"/>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水电配套</w:t>
            </w:r>
          </w:p>
        </w:tc>
        <w:tc>
          <w:tcPr>
            <w:tcW w:w="5985" w:type="dxa"/>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Chars="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根据投标人是否承诺在建设期内将砂石加工场地水、电等配套设施设置齐全，是否能满足项目需求进行评审打分。</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6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both"/>
              <w:textAlignment w:val="auto"/>
              <w:rPr>
                <w:rFonts w:hint="default" w:ascii="宋体" w:hAnsi="宋体"/>
                <w:color w:val="auto"/>
                <w:szCs w:val="21"/>
                <w:highlight w:val="none"/>
                <w:lang w:val="en-US" w:eastAsia="zh-CN"/>
              </w:rPr>
            </w:pPr>
          </w:p>
        </w:tc>
        <w:tc>
          <w:tcPr>
            <w:tcW w:w="1145" w:type="dxa"/>
            <w:vMerge w:val="continue"/>
            <w:vAlign w:val="center"/>
          </w:tcPr>
          <w:p>
            <w:pPr>
              <w:autoSpaceDE w:val="0"/>
              <w:autoSpaceDN w:val="0"/>
              <w:adjustRightInd w:val="0"/>
              <w:spacing w:line="360" w:lineRule="auto"/>
              <w:ind w:right="306" w:rightChars="0"/>
              <w:jc w:val="center"/>
              <w:rPr>
                <w:rFonts w:hint="eastAsia"/>
                <w:color w:val="auto"/>
                <w:szCs w:val="21"/>
                <w:highlight w:val="none"/>
                <w:lang w:eastAsia="zh-CN"/>
              </w:rPr>
            </w:pPr>
          </w:p>
        </w:tc>
        <w:tc>
          <w:tcPr>
            <w:tcW w:w="1095" w:type="dxa"/>
            <w:vAlign w:val="center"/>
          </w:tcPr>
          <w:p>
            <w:pPr>
              <w:adjustRightInd w:val="0"/>
              <w:snapToGrid w:val="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b w:val="0"/>
                <w:bCs w:val="0"/>
                <w:color w:val="auto"/>
                <w:szCs w:val="21"/>
                <w:highlight w:val="none"/>
                <w:lang w:val="en-US" w:eastAsia="zh-CN"/>
              </w:rPr>
              <w:t>环保设施</w:t>
            </w:r>
          </w:p>
        </w:tc>
        <w:tc>
          <w:tcPr>
            <w:tcW w:w="5985" w:type="dxa"/>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根据投标人对产生的各类污染物拟采取的治理措施是否切实可行，综合打分。</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环保设施（如污水循环系统、淤泥压滤机等）的拟投入情况、污水管网铺设、废水外排、循环用水、标识标志等。</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6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both"/>
              <w:textAlignment w:val="auto"/>
              <w:rPr>
                <w:rFonts w:hint="default" w:ascii="宋体" w:hAnsi="宋体"/>
                <w:color w:val="auto"/>
                <w:szCs w:val="21"/>
                <w:highlight w:val="none"/>
                <w:lang w:val="en-US" w:eastAsia="zh-CN"/>
              </w:rPr>
            </w:pPr>
          </w:p>
        </w:tc>
        <w:tc>
          <w:tcPr>
            <w:tcW w:w="1145" w:type="dxa"/>
            <w:vMerge w:val="continue"/>
            <w:vAlign w:val="center"/>
          </w:tcPr>
          <w:p>
            <w:pPr>
              <w:autoSpaceDE w:val="0"/>
              <w:autoSpaceDN w:val="0"/>
              <w:adjustRightInd w:val="0"/>
              <w:spacing w:line="360" w:lineRule="auto"/>
              <w:ind w:right="306" w:rightChars="0"/>
              <w:jc w:val="center"/>
              <w:rPr>
                <w:rFonts w:hint="eastAsia"/>
                <w:color w:val="auto"/>
                <w:szCs w:val="21"/>
                <w:highlight w:val="none"/>
                <w:lang w:eastAsia="zh-CN"/>
              </w:rPr>
            </w:pPr>
          </w:p>
        </w:tc>
        <w:tc>
          <w:tcPr>
            <w:tcW w:w="1095" w:type="dxa"/>
            <w:vAlign w:val="center"/>
          </w:tcPr>
          <w:p>
            <w:pPr>
              <w:jc w:val="center"/>
              <w:rPr>
                <w:rFonts w:hint="eastAsia" w:ascii="宋体" w:hAnsi="宋体"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lang w:val="en-US" w:eastAsia="zh-CN"/>
              </w:rPr>
              <w:t>周边影响</w:t>
            </w:r>
          </w:p>
        </w:tc>
        <w:tc>
          <w:tcPr>
            <w:tcW w:w="5985" w:type="dxa"/>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根据现场考察情况，对</w:t>
            </w:r>
            <w:r>
              <w:rPr>
                <w:rFonts w:hint="eastAsia"/>
                <w:b w:val="0"/>
                <w:bCs w:val="0"/>
                <w:color w:val="auto"/>
                <w:sz w:val="21"/>
                <w:szCs w:val="21"/>
                <w:highlight w:val="none"/>
                <w:lang w:val="en-US" w:eastAsia="zh-CN"/>
              </w:rPr>
              <w:t>周边居民生活影响程度进行综合打分。</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66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both"/>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2240" w:type="dxa"/>
            <w:gridSpan w:val="2"/>
            <w:vAlign w:val="center"/>
          </w:tcPr>
          <w:p>
            <w:pPr>
              <w:keepNext w:val="0"/>
              <w:keepLines w:val="0"/>
              <w:pageBreakBefore w:val="0"/>
              <w:widowControl w:val="0"/>
              <w:kinsoku/>
              <w:wordWrap/>
              <w:overflowPunct/>
              <w:topLinePunct w:val="0"/>
              <w:autoSpaceDE w:val="0"/>
              <w:autoSpaceDN w:val="0"/>
              <w:bidi w:val="0"/>
              <w:adjustRightInd w:val="0"/>
              <w:spacing w:line="380" w:lineRule="exact"/>
              <w:ind w:right="306"/>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企业资金实力</w:t>
            </w:r>
          </w:p>
          <w:p>
            <w:pPr>
              <w:keepNext w:val="0"/>
              <w:keepLines w:val="0"/>
              <w:pageBreakBefore w:val="0"/>
              <w:widowControl w:val="0"/>
              <w:kinsoku/>
              <w:wordWrap/>
              <w:overflowPunct/>
              <w:topLinePunct w:val="0"/>
              <w:autoSpaceDE w:val="0"/>
              <w:autoSpaceDN w:val="0"/>
              <w:bidi w:val="0"/>
              <w:adjustRightInd w:val="0"/>
              <w:spacing w:line="380" w:lineRule="exact"/>
              <w:ind w:right="306" w:rightChars="0"/>
              <w:jc w:val="center"/>
              <w:textAlignment w:val="auto"/>
              <w:rPr>
                <w:rFonts w:hint="eastAsia"/>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w:t>
            </w:r>
          </w:p>
        </w:tc>
        <w:tc>
          <w:tcPr>
            <w:tcW w:w="5985" w:type="dxa"/>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420" w:firstLineChars="2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根据各投标人货币资金情况打分，本项目要求货币资金不少于500万元，供本工程场地投入、设备配置、生产运营等使用。</w:t>
            </w:r>
            <w:r>
              <w:rPr>
                <w:rFonts w:hint="eastAsia"/>
                <w:b w:val="0"/>
                <w:bCs w:val="0"/>
                <w:color w:val="auto"/>
                <w:sz w:val="21"/>
                <w:szCs w:val="21"/>
                <w:highlight w:val="none"/>
                <w:lang w:val="en-US" w:eastAsia="zh-CN"/>
              </w:rPr>
              <w:br w:type="textWrapping"/>
            </w:r>
            <w:r>
              <w:rPr>
                <w:rFonts w:hint="eastAsia"/>
                <w:b w:val="0"/>
                <w:bCs w:val="0"/>
                <w:color w:val="auto"/>
                <w:sz w:val="21"/>
                <w:szCs w:val="21"/>
                <w:highlight w:val="none"/>
                <w:lang w:val="en-US" w:eastAsia="zh-CN"/>
              </w:rPr>
              <w:t xml:space="preserve">    公司或法人（不得累加）货币资金达500万元的得基本分10分，少于500万元的得0分，每增加100万元（不足100万元不予计分）加1分，最多加10分，最高得20分。</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420" w:firstLineChars="200"/>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（须提供公司或法人近3个月的银行账户流水,流水必须显示余额，并经银行盖章确认，流水截止日期须为本公告公开发布之日的前一日，否则不得分）。</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rPr>
              <w:t>0-</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6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both"/>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2240" w:type="dxa"/>
            <w:gridSpan w:val="2"/>
            <w:vAlign w:val="center"/>
          </w:tcPr>
          <w:p>
            <w:pPr>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color w:val="auto"/>
                <w:highlight w:val="none"/>
                <w:lang w:eastAsia="zh-CN"/>
              </w:rPr>
            </w:pPr>
            <w:r>
              <w:rPr>
                <w:rFonts w:hint="eastAsia"/>
                <w:color w:val="auto"/>
                <w:highlight w:val="none"/>
                <w:lang w:eastAsia="zh-CN"/>
              </w:rPr>
              <w:t>加工服务方案</w:t>
            </w:r>
          </w:p>
          <w:p>
            <w:pPr>
              <w:pStyle w:val="2"/>
              <w:jc w:val="center"/>
              <w:rPr>
                <w:rFonts w:hint="eastAsia"/>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10分</w:t>
            </w:r>
            <w:r>
              <w:rPr>
                <w:rFonts w:hint="eastAsia" w:ascii="宋体" w:hAnsi="宋体"/>
                <w:color w:val="auto"/>
                <w:szCs w:val="21"/>
                <w:highlight w:val="none"/>
                <w:lang w:eastAsia="zh-CN"/>
              </w:rPr>
              <w:t>）</w:t>
            </w:r>
          </w:p>
        </w:tc>
        <w:tc>
          <w:tcPr>
            <w:tcW w:w="5985" w:type="dxa"/>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根据投标人提供的加工生产方案、加工场地总平面布置图及对采购人采购需求的响应程度、质量、进度、安全、环保等的保证措施进行综合评价、综合评分。</w:t>
            </w:r>
          </w:p>
        </w:tc>
        <w:tc>
          <w:tcPr>
            <w:tcW w:w="103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color w:val="auto"/>
                <w:szCs w:val="21"/>
                <w:highlight w:val="none"/>
                <w:lang w:val="en-US" w:eastAsia="zh-CN"/>
              </w:rPr>
            </w:pPr>
            <w:r>
              <w:rPr>
                <w:rFonts w:hint="eastAsia" w:ascii="宋体" w:hAnsi="宋体" w:eastAsia="宋体"/>
                <w:color w:val="auto"/>
                <w:szCs w:val="21"/>
                <w:highlight w:val="none"/>
                <w:lang w:val="en-US" w:eastAsia="zh-CN"/>
              </w:rPr>
              <w:t>0-</w:t>
            </w:r>
            <w:r>
              <w:rPr>
                <w:rFonts w:hint="eastAsia" w:ascii="宋体" w:hAnsi="宋体"/>
                <w:color w:val="auto"/>
                <w:szCs w:val="21"/>
                <w:highlight w:val="none"/>
                <w:lang w:val="en-US" w:eastAsia="zh-CN"/>
              </w:rPr>
              <w:t>10</w:t>
            </w:r>
            <w:r>
              <w:rPr>
                <w:rFonts w:hint="eastAsia" w:ascii="宋体" w:hAnsi="宋体" w:eastAsia="宋体"/>
                <w:color w:val="auto"/>
                <w:szCs w:val="21"/>
                <w:highlight w:val="none"/>
                <w:lang w:val="en-US" w:eastAsia="zh-CN"/>
              </w:rPr>
              <w:t>分</w:t>
            </w:r>
          </w:p>
        </w:tc>
      </w:tr>
    </w:tbl>
    <w:p>
      <w:pPr>
        <w:pStyle w:val="18"/>
        <w:spacing w:before="0" w:beforeAutospacing="0" w:after="0" w:afterAutospacing="0" w:line="312" w:lineRule="auto"/>
        <w:ind w:firstLine="420" w:firstLineChars="200"/>
        <w:rPr>
          <w:rFonts w:hint="eastAsia"/>
          <w:color w:val="auto"/>
          <w:kern w:val="2"/>
          <w:sz w:val="21"/>
          <w:szCs w:val="21"/>
          <w:highlight w:val="none"/>
        </w:rPr>
      </w:pPr>
    </w:p>
    <w:p>
      <w:pPr>
        <w:rPr>
          <w:rFonts w:hint="eastAsia"/>
          <w:color w:val="auto"/>
          <w:highlight w:val="none"/>
        </w:rPr>
      </w:pPr>
      <w:r>
        <w:rPr>
          <w:rFonts w:hint="eastAsia"/>
          <w:color w:val="auto"/>
          <w:kern w:val="2"/>
          <w:sz w:val="21"/>
          <w:szCs w:val="21"/>
          <w:highlight w:val="none"/>
          <w:lang w:eastAsia="zh-CN"/>
        </w:rPr>
        <w:t>备注：上述评分内容须提供相关证明材料，如证明材料不完整或缺漏项，则不得分。</w:t>
      </w:r>
    </w:p>
    <w:bookmarkEnd w:id="43"/>
    <w:p>
      <w:pPr>
        <w:pStyle w:val="18"/>
        <w:spacing w:before="0" w:beforeAutospacing="0" w:after="0" w:afterAutospacing="0" w:line="312" w:lineRule="auto"/>
        <w:ind w:firstLine="420" w:firstLineChars="200"/>
        <w:rPr>
          <w:rFonts w:hint="eastAsia" w:eastAsia="宋体"/>
          <w:color w:val="auto"/>
          <w:kern w:val="2"/>
          <w:sz w:val="21"/>
          <w:szCs w:val="21"/>
          <w:highlight w:val="none"/>
          <w:lang w:eastAsia="zh-CN"/>
        </w:rPr>
      </w:pPr>
    </w:p>
    <w:p>
      <w:pPr>
        <w:rPr>
          <w:rFonts w:hint="eastAsia"/>
          <w:color w:val="auto"/>
          <w:kern w:val="2"/>
          <w:sz w:val="21"/>
          <w:szCs w:val="21"/>
          <w:highlight w:val="none"/>
        </w:rPr>
      </w:pPr>
      <w:r>
        <w:rPr>
          <w:rFonts w:hint="eastAsia"/>
          <w:color w:val="auto"/>
          <w:kern w:val="2"/>
          <w:sz w:val="21"/>
          <w:szCs w:val="21"/>
          <w:highlight w:val="none"/>
        </w:rPr>
        <w:br w:type="page"/>
      </w:r>
    </w:p>
    <w:p>
      <w:pPr>
        <w:pStyle w:val="18"/>
        <w:spacing w:before="0" w:beforeAutospacing="0" w:after="0" w:afterAutospacing="0" w:line="312" w:lineRule="auto"/>
        <w:ind w:firstLine="420" w:firstLineChars="200"/>
        <w:rPr>
          <w:rFonts w:hint="eastAsia"/>
          <w:color w:val="auto"/>
          <w:kern w:val="2"/>
          <w:sz w:val="21"/>
          <w:szCs w:val="21"/>
          <w:highlight w:val="none"/>
        </w:rPr>
      </w:pPr>
    </w:p>
    <w:p>
      <w:pPr>
        <w:widowControl/>
        <w:numPr>
          <w:ilvl w:val="0"/>
          <w:numId w:val="23"/>
        </w:numPr>
        <w:spacing w:line="312" w:lineRule="auto"/>
        <w:jc w:val="center"/>
        <w:outlineLvl w:val="0"/>
        <w:rPr>
          <w:rFonts w:hint="eastAsia" w:ascii="宋体" w:hAnsi="宋体" w:cs="宋体"/>
          <w:b/>
          <w:bCs/>
          <w:color w:val="auto"/>
          <w:kern w:val="0"/>
          <w:sz w:val="30"/>
          <w:szCs w:val="30"/>
          <w:highlight w:val="none"/>
        </w:rPr>
      </w:pPr>
      <w:bookmarkStart w:id="51" w:name="_Toc26724"/>
      <w:r>
        <w:rPr>
          <w:rFonts w:hint="eastAsia" w:ascii="宋体" w:hAnsi="宋体" w:cs="宋体"/>
          <w:b/>
          <w:bCs/>
          <w:color w:val="auto"/>
          <w:kern w:val="0"/>
          <w:sz w:val="30"/>
          <w:szCs w:val="30"/>
          <w:highlight w:val="none"/>
        </w:rPr>
        <w:t>投标文件格式</w:t>
      </w:r>
      <w:bookmarkEnd w:id="44"/>
      <w:bookmarkEnd w:id="45"/>
      <w:bookmarkEnd w:id="51"/>
      <w:bookmarkStart w:id="52" w:name="_Toc4077"/>
      <w:bookmarkStart w:id="53" w:name="_Toc86217005"/>
    </w:p>
    <w:p>
      <w:pPr>
        <w:widowControl/>
        <w:numPr>
          <w:ilvl w:val="0"/>
          <w:numId w:val="0"/>
        </w:numPr>
        <w:spacing w:line="312" w:lineRule="auto"/>
        <w:jc w:val="both"/>
        <w:outlineLvl w:val="0"/>
        <w:rPr>
          <w:rFonts w:hint="eastAsia" w:ascii="黑体" w:hAnsi="黑体" w:eastAsia="黑体" w:cs="Times New Roman"/>
          <w:bCs/>
          <w:color w:val="auto"/>
          <w:sz w:val="28"/>
          <w:szCs w:val="28"/>
          <w:highlight w:val="none"/>
        </w:rPr>
      </w:pPr>
      <w:r>
        <w:rPr>
          <w:rFonts w:hint="eastAsia" w:ascii="黑体" w:hAnsi="黑体" w:eastAsia="黑体" w:cs="Times New Roman"/>
          <w:bCs/>
          <w:color w:val="auto"/>
          <w:sz w:val="28"/>
          <w:szCs w:val="28"/>
          <w:highlight w:val="none"/>
        </w:rPr>
        <w:t>1、投标文件封面</w:t>
      </w:r>
    </w:p>
    <w:p>
      <w:pPr>
        <w:spacing w:line="312" w:lineRule="auto"/>
        <w:jc w:val="center"/>
        <w:rPr>
          <w:rFonts w:hint="eastAsia" w:ascii="宋体" w:hAnsi="宋体" w:cs="宋体"/>
          <w:b/>
          <w:bCs/>
          <w:color w:val="auto"/>
          <w:sz w:val="44"/>
          <w:szCs w:val="44"/>
          <w:highlight w:val="none"/>
          <w:lang w:eastAsia="zh-CN"/>
        </w:rPr>
      </w:pPr>
    </w:p>
    <w:p>
      <w:pPr>
        <w:spacing w:line="312" w:lineRule="auto"/>
        <w:jc w:val="center"/>
        <w:rPr>
          <w:rFonts w:hint="eastAsia"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衢州市寺桥水库开发建设有限公司</w:t>
      </w:r>
    </w:p>
    <w:p>
      <w:pPr>
        <w:spacing w:line="312" w:lineRule="auto"/>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砂石料代加工服务</w:t>
      </w:r>
    </w:p>
    <w:p>
      <w:pPr>
        <w:spacing w:line="312" w:lineRule="auto"/>
        <w:ind w:firstLine="1800"/>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12" w:lineRule="auto"/>
        <w:ind w:firstLine="1800"/>
        <w:rPr>
          <w:rFonts w:hint="eastAsia" w:ascii="宋体" w:hAnsi="宋体" w:cs="宋体"/>
          <w:b/>
          <w:color w:val="auto"/>
          <w:sz w:val="32"/>
          <w:szCs w:val="32"/>
          <w:highlight w:val="none"/>
        </w:rPr>
      </w:pPr>
    </w:p>
    <w:p>
      <w:pPr>
        <w:adjustRightInd w:val="0"/>
        <w:snapToGrid w:val="0"/>
        <w:spacing w:line="312"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投</w:t>
      </w:r>
    </w:p>
    <w:p>
      <w:pPr>
        <w:adjustRightInd w:val="0"/>
        <w:snapToGrid w:val="0"/>
        <w:spacing w:line="312"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标</w:t>
      </w:r>
    </w:p>
    <w:p>
      <w:pPr>
        <w:adjustRightInd w:val="0"/>
        <w:snapToGrid w:val="0"/>
        <w:spacing w:line="312"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adjustRightInd w:val="0"/>
        <w:snapToGrid w:val="0"/>
        <w:spacing w:line="312" w:lineRule="auto"/>
        <w:jc w:val="center"/>
        <w:rPr>
          <w:rFonts w:hint="eastAsia" w:ascii="宋体" w:hAnsi="宋体" w:cs="宋体"/>
          <w:b/>
          <w:bCs/>
          <w:color w:val="auto"/>
          <w:sz w:val="84"/>
          <w:highlight w:val="none"/>
        </w:rPr>
      </w:pPr>
      <w:r>
        <w:rPr>
          <w:rFonts w:hint="eastAsia" w:ascii="宋体" w:hAnsi="宋体" w:cs="宋体"/>
          <w:b/>
          <w:bCs/>
          <w:color w:val="auto"/>
          <w:sz w:val="72"/>
          <w:szCs w:val="72"/>
          <w:highlight w:val="none"/>
        </w:rPr>
        <w:t>件</w:t>
      </w:r>
    </w:p>
    <w:p>
      <w:pPr>
        <w:spacing w:line="312" w:lineRule="auto"/>
        <w:ind w:firstLine="1280" w:firstLineChars="400"/>
        <w:rPr>
          <w:rFonts w:hint="eastAsia" w:ascii="宋体" w:hAnsi="宋体" w:cs="宋体"/>
          <w:color w:val="auto"/>
          <w:sz w:val="32"/>
          <w:highlight w:val="none"/>
        </w:rPr>
      </w:pPr>
    </w:p>
    <w:p>
      <w:pPr>
        <w:pStyle w:val="32"/>
        <w:rPr>
          <w:rFonts w:hint="eastAsia"/>
          <w:color w:val="auto"/>
          <w:highlight w:val="none"/>
        </w:rPr>
      </w:pPr>
    </w:p>
    <w:p>
      <w:pPr>
        <w:spacing w:line="312" w:lineRule="auto"/>
        <w:ind w:firstLine="1280" w:firstLineChars="400"/>
        <w:rPr>
          <w:rFonts w:hint="eastAsia" w:ascii="宋体" w:hAnsi="宋体" w:cs="宋体"/>
          <w:color w:val="auto"/>
          <w:sz w:val="32"/>
          <w:highlight w:val="none"/>
          <w:lang w:eastAsia="zh-CN"/>
        </w:rPr>
      </w:pPr>
      <w:r>
        <w:rPr>
          <w:rFonts w:hint="eastAsia" w:ascii="宋体" w:hAnsi="宋体" w:cs="宋体"/>
          <w:color w:val="auto"/>
          <w:sz w:val="32"/>
          <w:highlight w:val="none"/>
        </w:rPr>
        <w:t>项目编号：</w:t>
      </w:r>
      <w:r>
        <w:rPr>
          <w:rFonts w:hint="eastAsia" w:ascii="宋体" w:hAnsi="宋体" w:cs="宋体"/>
          <w:color w:val="auto"/>
          <w:sz w:val="32"/>
          <w:highlight w:val="none"/>
          <w:lang w:eastAsia="zh-CN"/>
        </w:rPr>
        <w:t>ZZCG2020045</w:t>
      </w:r>
    </w:p>
    <w:p>
      <w:pPr>
        <w:spacing w:line="312" w:lineRule="auto"/>
        <w:ind w:firstLine="1280" w:firstLineChars="400"/>
        <w:rPr>
          <w:rFonts w:hint="eastAsia" w:ascii="宋体" w:hAnsi="宋体" w:cs="宋体"/>
          <w:color w:val="auto"/>
          <w:sz w:val="32"/>
          <w:highlight w:val="none"/>
        </w:rPr>
      </w:pPr>
      <w:r>
        <w:rPr>
          <w:rFonts w:hint="eastAsia" w:ascii="宋体" w:hAnsi="宋体" w:cs="宋体"/>
          <w:color w:val="auto"/>
          <w:sz w:val="32"/>
          <w:highlight w:val="none"/>
        </w:rPr>
        <w:t>投标文件名称：（技术资信商务文件、报价文件）</w:t>
      </w:r>
    </w:p>
    <w:p>
      <w:pPr>
        <w:spacing w:line="312" w:lineRule="auto"/>
        <w:ind w:firstLine="1280" w:firstLineChars="400"/>
        <w:rPr>
          <w:rFonts w:hint="eastAsia" w:ascii="宋体" w:hAnsi="宋体" w:cs="宋体"/>
          <w:color w:val="auto"/>
          <w:sz w:val="32"/>
          <w:highlight w:val="none"/>
        </w:rPr>
      </w:pPr>
      <w:r>
        <w:rPr>
          <w:rFonts w:hint="eastAsia" w:ascii="宋体" w:hAnsi="宋体" w:cs="宋体"/>
          <w:color w:val="auto"/>
          <w:sz w:val="32"/>
          <w:highlight w:val="none"/>
        </w:rPr>
        <w:t>投标人全称：（加盖单位公章）</w:t>
      </w:r>
    </w:p>
    <w:p>
      <w:pPr>
        <w:pStyle w:val="31"/>
        <w:ind w:firstLine="1280" w:firstLineChars="400"/>
        <w:rPr>
          <w:rFonts w:hint="eastAsia"/>
          <w:color w:val="auto"/>
          <w:highlight w:val="none"/>
        </w:rPr>
      </w:pPr>
      <w:r>
        <w:rPr>
          <w:rFonts w:hint="eastAsia" w:cs="宋体"/>
          <w:color w:val="auto"/>
          <w:sz w:val="32"/>
          <w:highlight w:val="none"/>
        </w:rPr>
        <w:t>投标人地址：</w:t>
      </w:r>
    </w:p>
    <w:p>
      <w:pPr>
        <w:spacing w:line="312" w:lineRule="auto"/>
        <w:ind w:firstLine="3520" w:firstLineChars="1100"/>
        <w:rPr>
          <w:rFonts w:hint="eastAsia" w:ascii="宋体" w:hAnsi="宋体" w:cs="宋体"/>
          <w:color w:val="auto"/>
          <w:sz w:val="32"/>
          <w:highlight w:val="none"/>
        </w:rPr>
      </w:pPr>
    </w:p>
    <w:p>
      <w:pPr>
        <w:spacing w:line="312" w:lineRule="auto"/>
        <w:ind w:firstLine="3520" w:firstLineChars="1100"/>
        <w:rPr>
          <w:rFonts w:hint="eastAsia" w:ascii="宋体" w:hAnsi="宋体" w:cs="宋体"/>
          <w:color w:val="auto"/>
          <w:sz w:val="32"/>
          <w:highlight w:val="none"/>
        </w:rPr>
      </w:pPr>
      <w:r>
        <w:rPr>
          <w:rFonts w:hint="eastAsia" w:ascii="宋体" w:hAnsi="宋体" w:cs="宋体"/>
          <w:color w:val="auto"/>
          <w:sz w:val="32"/>
          <w:highlight w:val="none"/>
        </w:rPr>
        <w:t>年　月  日</w:t>
      </w:r>
    </w:p>
    <w:p>
      <w:pPr>
        <w:pStyle w:val="45"/>
        <w:pageBreakBefore/>
        <w:tabs>
          <w:tab w:val="left" w:pos="8280"/>
        </w:tabs>
        <w:ind w:right="28"/>
        <w:jc w:val="both"/>
        <w:rPr>
          <w:rFonts w:hint="eastAsia" w:ascii="黑体" w:hAnsi="黑体" w:eastAsia="黑体" w:cs="Times New Roman"/>
          <w:bCs/>
          <w:color w:val="auto"/>
          <w:sz w:val="28"/>
          <w:szCs w:val="28"/>
          <w:highlight w:val="none"/>
          <w:lang w:val="zh-CN"/>
        </w:rPr>
      </w:pPr>
      <w:bookmarkStart w:id="54" w:name="_Toc1805"/>
      <w:r>
        <w:rPr>
          <w:rFonts w:hint="eastAsia" w:ascii="黑体" w:hAnsi="黑体" w:eastAsia="黑体" w:cs="Times New Roman"/>
          <w:bCs/>
          <w:color w:val="auto"/>
          <w:sz w:val="28"/>
          <w:szCs w:val="28"/>
          <w:highlight w:val="none"/>
        </w:rPr>
        <w:t>2</w:t>
      </w:r>
      <w:r>
        <w:rPr>
          <w:rFonts w:hint="eastAsia" w:ascii="黑体" w:hAnsi="黑体" w:eastAsia="黑体" w:cs="Times New Roman"/>
          <w:bCs/>
          <w:color w:val="auto"/>
          <w:sz w:val="28"/>
          <w:szCs w:val="28"/>
          <w:highlight w:val="none"/>
          <w:lang w:val="zh-CN"/>
        </w:rPr>
        <w:t>、法定代表人授权委托书</w:t>
      </w:r>
      <w:bookmarkEnd w:id="52"/>
      <w:bookmarkEnd w:id="54"/>
    </w:p>
    <w:p>
      <w:pPr>
        <w:adjustRightInd w:val="0"/>
        <w:snapToGrid w:val="0"/>
        <w:spacing w:line="312" w:lineRule="auto"/>
        <w:rPr>
          <w:rFonts w:hint="eastAsia" w:ascii="宋体" w:hAnsi="宋体" w:cs="宋体"/>
          <w:color w:val="auto"/>
          <w:szCs w:val="21"/>
          <w:highlight w:val="none"/>
          <w:lang w:eastAsia="zh-CN"/>
        </w:rPr>
      </w:pPr>
    </w:p>
    <w:p>
      <w:pPr>
        <w:adjustRightInd w:val="0"/>
        <w:snapToGrid w:val="0"/>
        <w:spacing w:line="312" w:lineRule="auto"/>
        <w:jc w:val="cente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法定代表人授权委托书</w:t>
      </w:r>
    </w:p>
    <w:p>
      <w:pPr>
        <w:adjustRightInd w:val="0"/>
        <w:snapToGrid w:val="0"/>
        <w:spacing w:line="312" w:lineRule="auto"/>
        <w:rPr>
          <w:rFonts w:hint="eastAsia" w:ascii="宋体" w:hAnsi="宋体" w:cs="宋体"/>
          <w:color w:val="auto"/>
          <w:szCs w:val="21"/>
          <w:highlight w:val="none"/>
          <w:lang w:eastAsia="zh-CN"/>
        </w:rPr>
      </w:pPr>
    </w:p>
    <w:p>
      <w:pPr>
        <w:adjustRightInd w:val="0"/>
        <w:snapToGrid w:val="0"/>
        <w:spacing w:line="312" w:lineRule="auto"/>
        <w:rPr>
          <w:rFonts w:hint="eastAsia" w:ascii="宋体" w:hAnsi="宋体" w:cs="宋体"/>
          <w:color w:val="auto"/>
          <w:kern w:val="0"/>
          <w:szCs w:val="21"/>
          <w:highlight w:val="none"/>
        </w:rPr>
      </w:pPr>
      <w:r>
        <w:rPr>
          <w:rFonts w:hint="eastAsia" w:ascii="宋体" w:hAnsi="宋体" w:cs="宋体"/>
          <w:color w:val="auto"/>
          <w:szCs w:val="21"/>
          <w:highlight w:val="none"/>
          <w:lang w:eastAsia="zh-CN"/>
        </w:rPr>
        <w:t>衢州市寺桥水库开发建设有限公司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浙江中正工程项目管理有限公司</w:t>
      </w:r>
      <w:r>
        <w:rPr>
          <w:rFonts w:hint="eastAsia" w:ascii="宋体" w:hAnsi="宋体" w:cs="宋体"/>
          <w:color w:val="auto"/>
          <w:kern w:val="0"/>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76"/>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兹委派我公司</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先生/女士(其在本公司的职务是：</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 ，联系电话：</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传真：</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)，代表我公司全权处理衢州市寺桥水库开发建设有限公司</w:t>
      </w:r>
      <w:r>
        <w:rPr>
          <w:rFonts w:hint="eastAsia" w:ascii="宋体" w:hAnsi="宋体" w:cs="宋体"/>
          <w:color w:val="auto"/>
          <w:szCs w:val="21"/>
          <w:highlight w:val="none"/>
          <w:lang w:eastAsia="zh-CN"/>
        </w:rPr>
        <w:t>砂石料代加工服务</w:t>
      </w:r>
      <w:r>
        <w:rPr>
          <w:rFonts w:hint="eastAsia" w:ascii="宋体" w:hAnsi="宋体" w:cs="宋体"/>
          <w:color w:val="auto"/>
          <w:kern w:val="0"/>
          <w:szCs w:val="21"/>
          <w:highlight w:val="none"/>
          <w:lang w:val="zh-CN"/>
        </w:rPr>
        <w:t xml:space="preserve"> (项目编号：ZZCG2020045)投标的一切事项，若中标则全权代表本公司签订相关合同，并负责处理合同履行等事宜。</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特此告知。</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color w:val="auto"/>
          <w:kern w:val="0"/>
          <w:szCs w:val="21"/>
          <w:highlight w:val="none"/>
        </w:rPr>
      </w:pPr>
    </w:p>
    <w:p>
      <w:pPr>
        <w:adjustRightInd w:val="0"/>
        <w:snapToGrid w:val="0"/>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投标人名称(公章)：</w:t>
      </w:r>
    </w:p>
    <w:p>
      <w:pPr>
        <w:adjustRightInd w:val="0"/>
        <w:snapToGrid w:val="0"/>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法定代表人(签字或盖章)：</w:t>
      </w:r>
    </w:p>
    <w:p>
      <w:pPr>
        <w:adjustRightInd w:val="0"/>
        <w:snapToGrid w:val="0"/>
        <w:spacing w:line="312" w:lineRule="auto"/>
        <w:ind w:right="570"/>
        <w:jc w:val="righ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pPr>
        <w:autoSpaceDE w:val="0"/>
        <w:autoSpaceDN w:val="0"/>
        <w:adjustRightInd w:val="0"/>
        <w:spacing w:line="312" w:lineRule="auto"/>
        <w:ind w:firstLine="4515" w:firstLineChars="2150"/>
        <w:rPr>
          <w:rFonts w:hint="eastAsia" w:ascii="宋体" w:hAnsi="宋体" w:cs="宋体"/>
          <w:color w:val="auto"/>
          <w:kern w:val="0"/>
          <w:szCs w:val="21"/>
          <w:highlight w:val="none"/>
          <w:lang w:val="zh-CN"/>
        </w:rPr>
      </w:pPr>
    </w:p>
    <w:p>
      <w:pPr>
        <w:autoSpaceDE w:val="0"/>
        <w:autoSpaceDN w:val="0"/>
        <w:adjustRightInd w:val="0"/>
        <w:spacing w:line="312" w:lineRule="auto"/>
        <w:ind w:firstLine="4515" w:firstLineChars="2150"/>
        <w:rPr>
          <w:rFonts w:hint="eastAsia" w:ascii="宋体" w:hAnsi="宋体" w:cs="宋体"/>
          <w:color w:val="auto"/>
          <w:kern w:val="0"/>
          <w:szCs w:val="21"/>
          <w:highlight w:val="none"/>
          <w:lang w:val="zh-CN"/>
        </w:rPr>
      </w:pPr>
    </w:p>
    <w:p>
      <w:pPr>
        <w:autoSpaceDE w:val="0"/>
        <w:autoSpaceDN w:val="0"/>
        <w:adjustRightInd w:val="0"/>
        <w:spacing w:line="312" w:lineRule="auto"/>
        <w:ind w:firstLine="4515" w:firstLineChars="2150"/>
        <w:rPr>
          <w:rFonts w:hint="eastAsia" w:ascii="宋体" w:hAnsi="宋体" w:cs="宋体"/>
          <w:color w:val="auto"/>
          <w:kern w:val="0"/>
          <w:szCs w:val="21"/>
          <w:highlight w:val="none"/>
          <w:lang w:val="zh-CN"/>
        </w:rPr>
      </w:pPr>
    </w:p>
    <w:p>
      <w:pPr>
        <w:autoSpaceDE w:val="0"/>
        <w:autoSpaceDN w:val="0"/>
        <w:adjustRightInd w:val="0"/>
        <w:spacing w:line="312" w:lineRule="auto"/>
        <w:ind w:firstLine="4515" w:firstLineChars="2150"/>
        <w:rPr>
          <w:rFonts w:hint="eastAsia" w:ascii="宋体" w:hAnsi="宋体" w:cs="宋体"/>
          <w:color w:val="auto"/>
          <w:kern w:val="0"/>
          <w:szCs w:val="21"/>
          <w:highlight w:val="none"/>
          <w:lang w:val="zh-CN"/>
        </w:rPr>
      </w:pPr>
    </w:p>
    <w:p>
      <w:pPr>
        <w:autoSpaceDE w:val="0"/>
        <w:autoSpaceDN w:val="0"/>
        <w:adjustRightInd w:val="0"/>
        <w:spacing w:line="312" w:lineRule="auto"/>
        <w:ind w:firstLine="4515" w:firstLineChars="2150"/>
        <w:rPr>
          <w:rFonts w:hint="eastAsia" w:ascii="宋体" w:hAnsi="宋体" w:cs="宋体"/>
          <w:color w:val="auto"/>
          <w:kern w:val="0"/>
          <w:szCs w:val="21"/>
          <w:highlight w:val="none"/>
          <w:lang w:val="zh-CN"/>
        </w:rPr>
      </w:pPr>
    </w:p>
    <w:p>
      <w:pPr>
        <w:adjustRightInd w:val="0"/>
        <w:snapToGrid w:val="0"/>
        <w:spacing w:line="312" w:lineRule="auto"/>
        <w:jc w:val="right"/>
        <w:rPr>
          <w:rFonts w:hint="eastAsia" w:ascii="宋体" w:hAnsi="宋体" w:cs="宋体"/>
          <w:color w:val="auto"/>
          <w:kern w:val="0"/>
          <w:szCs w:val="21"/>
          <w:highlight w:val="none"/>
          <w:lang w:val="zh-CN"/>
        </w:rPr>
      </w:pPr>
    </w:p>
    <w:p>
      <w:pPr>
        <w:adjustRightInd w:val="0"/>
        <w:snapToGrid w:val="0"/>
        <w:spacing w:line="312" w:lineRule="auto"/>
        <w:ind w:right="480" w:firstLine="417" w:firstLineChars="198"/>
        <w:jc w:val="center"/>
        <w:outlineLvl w:val="2"/>
        <w:rPr>
          <w:rFonts w:hint="eastAsia" w:ascii="宋体" w:hAnsi="宋体" w:cs="宋体"/>
          <w:b/>
          <w:color w:val="auto"/>
          <w:szCs w:val="21"/>
          <w:highlight w:val="none"/>
        </w:rPr>
      </w:pPr>
      <w:bookmarkStart w:id="55" w:name="_Toc13800"/>
      <w:bookmarkStart w:id="56" w:name="_Toc9869"/>
      <w:r>
        <w:rPr>
          <w:rFonts w:hint="eastAsia" w:ascii="宋体" w:hAnsi="宋体" w:cs="宋体"/>
          <w:b/>
          <w:color w:val="auto"/>
          <w:szCs w:val="21"/>
          <w:highlight w:val="none"/>
        </w:rPr>
        <w:t>法定代表人及授权代表人的身份证（复印件加盖公章）</w:t>
      </w:r>
      <w:bookmarkEnd w:id="55"/>
      <w:bookmarkEnd w:id="56"/>
    </w:p>
    <w:bookmarkEnd w:id="53"/>
    <w:p>
      <w:pPr>
        <w:spacing w:line="360" w:lineRule="auto"/>
        <w:rPr>
          <w:rFonts w:hint="eastAsia" w:ascii="宋体" w:hAnsi="宋体" w:cs="宋体"/>
          <w:color w:val="auto"/>
          <w:sz w:val="24"/>
          <w:szCs w:val="24"/>
          <w:highlight w:val="none"/>
        </w:rPr>
      </w:pPr>
      <w:bookmarkStart w:id="57" w:name="_Toc2745"/>
      <w:bookmarkStart w:id="58" w:name="_Toc23589"/>
      <w:r>
        <w:rPr>
          <w:rFonts w:hint="eastAsia" w:ascii="宋体" w:hAnsi="宋体" w:cs="宋体"/>
          <w:color w:val="auto"/>
          <w:sz w:val="24"/>
          <w:szCs w:val="24"/>
          <w:highlight w:val="none"/>
        </w:rPr>
        <w:t xml:space="preserve"> </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pStyle w:val="45"/>
        <w:pageBreakBefore/>
        <w:tabs>
          <w:tab w:val="left" w:pos="8280"/>
        </w:tabs>
        <w:ind w:right="28"/>
        <w:jc w:val="both"/>
        <w:rPr>
          <w:rFonts w:hint="eastAsia" w:ascii="黑体" w:hAnsi="黑体" w:eastAsia="黑体" w:cs="Times New Roman"/>
          <w:bCs/>
          <w:color w:val="auto"/>
          <w:sz w:val="28"/>
          <w:szCs w:val="28"/>
          <w:highlight w:val="none"/>
        </w:rPr>
      </w:pPr>
      <w:r>
        <w:rPr>
          <w:rFonts w:hint="eastAsia" w:ascii="黑体" w:hAnsi="黑体" w:eastAsia="黑体" w:cs="Times New Roman"/>
          <w:bCs/>
          <w:color w:val="auto"/>
          <w:sz w:val="28"/>
          <w:szCs w:val="28"/>
          <w:highlight w:val="none"/>
        </w:rPr>
        <w:t>3</w:t>
      </w:r>
      <w:r>
        <w:rPr>
          <w:rFonts w:hint="eastAsia" w:ascii="黑体" w:hAnsi="黑体" w:eastAsia="黑体" w:cs="Times New Roman"/>
          <w:bCs/>
          <w:color w:val="auto"/>
          <w:sz w:val="28"/>
          <w:szCs w:val="28"/>
          <w:highlight w:val="none"/>
          <w:lang w:eastAsia="zh-CN"/>
        </w:rPr>
        <w:t>、</w:t>
      </w:r>
      <w:r>
        <w:rPr>
          <w:rFonts w:hint="eastAsia" w:ascii="黑体" w:hAnsi="黑体" w:eastAsia="黑体" w:cs="Times New Roman"/>
          <w:bCs/>
          <w:color w:val="auto"/>
          <w:sz w:val="28"/>
          <w:szCs w:val="28"/>
          <w:highlight w:val="none"/>
        </w:rPr>
        <w:t>具有履行合同所必须的设备和专业技术能力的承诺函</w:t>
      </w:r>
    </w:p>
    <w:p>
      <w:pPr>
        <w:spacing w:line="312"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衢州市寺桥水库开发建设有限公司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浙江中正工程项目管理有限公司：</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在贵方组织的</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bCs/>
          <w:color w:val="auto"/>
          <w:kern w:val="0"/>
          <w:sz w:val="21"/>
          <w:szCs w:val="21"/>
          <w:highlight w:val="none"/>
          <w:lang w:val="zh-CN"/>
        </w:rPr>
        <w:t>（招标编号：</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lang w:val="zh-CN"/>
        </w:rPr>
        <w:t>）投标，我公司在完全理解本项目招标内容及要求及其他内容后，决定参与该项目的投标活动。并承诺，如中标，我公司将提供足够的设备和专业技术能力保证本合同履行。</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承诺，在中标后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个月内</w:t>
      </w:r>
      <w:r>
        <w:rPr>
          <w:rFonts w:hint="eastAsia" w:ascii="宋体" w:hAnsi="宋体" w:eastAsia="宋体" w:cs="宋体"/>
          <w:color w:val="auto"/>
          <w:sz w:val="21"/>
          <w:szCs w:val="21"/>
          <w:highlight w:val="none"/>
          <w:lang w:eastAsia="zh-CN"/>
        </w:rPr>
        <w:t>建成满足环保及生产需求的场地，投入满足项目需求的设备，</w:t>
      </w:r>
      <w:r>
        <w:rPr>
          <w:rFonts w:hint="eastAsia" w:ascii="宋体" w:hAnsi="宋体" w:cs="宋体"/>
          <w:color w:val="auto"/>
          <w:sz w:val="21"/>
          <w:szCs w:val="21"/>
          <w:highlight w:val="none"/>
          <w:lang w:eastAsia="zh-CN"/>
        </w:rPr>
        <w:t>实</w:t>
      </w:r>
      <w:r>
        <w:rPr>
          <w:rFonts w:hint="eastAsia" w:ascii="宋体" w:hAnsi="宋体" w:eastAsia="宋体" w:cs="宋体"/>
          <w:b/>
          <w:bCs/>
          <w:color w:val="auto"/>
          <w:sz w:val="21"/>
          <w:szCs w:val="21"/>
          <w:highlight w:val="none"/>
          <w:u w:val="single"/>
          <w:lang w:eastAsia="zh-CN"/>
        </w:rPr>
        <w:t>际生产能力每小时必须达到或超</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eastAsia="zh-CN"/>
        </w:rPr>
        <w:t>00吨</w:t>
      </w:r>
      <w:r>
        <w:rPr>
          <w:rFonts w:hint="eastAsia" w:ascii="宋体" w:hAnsi="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eastAsia="zh-CN"/>
        </w:rPr>
        <w:t>中标后90天内完成水电接入场地并通水通电；中标后30日内提供原料堆场和完成围墙建设。否则</w:t>
      </w:r>
      <w:r>
        <w:rPr>
          <w:rFonts w:hint="eastAsia" w:ascii="宋体" w:hAnsi="宋体" w:eastAsia="宋体" w:cs="宋体"/>
          <w:color w:val="auto"/>
          <w:sz w:val="21"/>
          <w:szCs w:val="21"/>
          <w:highlight w:val="none"/>
        </w:rPr>
        <w:t>，作为无效投标处理。</w:t>
      </w:r>
      <w:r>
        <w:rPr>
          <w:rFonts w:hint="eastAsia" w:ascii="宋体" w:hAnsi="宋体" w:eastAsia="宋体" w:cs="宋体"/>
          <w:color w:val="auto"/>
          <w:sz w:val="21"/>
          <w:szCs w:val="21"/>
          <w:highlight w:val="none"/>
          <w:lang w:eastAsia="zh-CN"/>
        </w:rPr>
        <w:t>如合同履约过程中，经整改后产能仍达不到</w:t>
      </w:r>
      <w:r>
        <w:rPr>
          <w:rFonts w:hint="eastAsia" w:ascii="宋体" w:hAnsi="宋体" w:eastAsia="宋体" w:cs="宋体"/>
          <w:color w:val="auto"/>
          <w:sz w:val="21"/>
          <w:szCs w:val="21"/>
          <w:highlight w:val="none"/>
          <w:lang w:val="en-US" w:eastAsia="zh-CN"/>
        </w:rPr>
        <w:t>300吨/小时，采购人有权单方解除合同并</w:t>
      </w:r>
      <w:r>
        <w:rPr>
          <w:rFonts w:hint="eastAsia" w:ascii="宋体" w:hAnsi="宋体" w:eastAsia="宋体" w:cs="宋体"/>
          <w:color w:val="auto"/>
          <w:sz w:val="21"/>
          <w:szCs w:val="21"/>
          <w:highlight w:val="none"/>
        </w:rPr>
        <w:t>扣除100%履约保证金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本公司对上述承诺的真实性负责。如有虚假，我公司同意按我方合同违约处理，并依法承担相应法律责任。</w:t>
      </w:r>
    </w:p>
    <w:p>
      <w:pPr>
        <w:keepNext w:val="0"/>
        <w:keepLines w:val="0"/>
        <w:pageBreakBefore w:val="0"/>
        <w:widowControl w:val="0"/>
        <w:kinsoku/>
        <w:wordWrap/>
        <w:overflowPunct/>
        <w:topLinePunct w:val="0"/>
        <w:autoSpaceDE/>
        <w:autoSpaceDN/>
        <w:bidi w:val="0"/>
        <w:adjustRightInd/>
        <w:snapToGrid/>
        <w:spacing w:line="520" w:lineRule="exact"/>
        <w:ind w:right="480" w:firstLine="3780" w:firstLineChars="18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480" w:firstLine="3675" w:firstLineChars="17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声明人 (单位公章)：</w:t>
      </w:r>
    </w:p>
    <w:p>
      <w:pPr>
        <w:keepNext w:val="0"/>
        <w:keepLines w:val="0"/>
        <w:pageBreakBefore w:val="0"/>
        <w:widowControl w:val="0"/>
        <w:kinsoku/>
        <w:wordWrap/>
        <w:overflowPunct/>
        <w:topLinePunct w:val="0"/>
        <w:autoSpaceDE/>
        <w:autoSpaceDN/>
        <w:bidi w:val="0"/>
        <w:adjustRightInd/>
        <w:snapToGrid/>
        <w:spacing w:line="520" w:lineRule="exact"/>
        <w:ind w:firstLine="2205" w:firstLineChars="10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法定代表人或授权代表人（签字或盖章）：</w:t>
      </w:r>
    </w:p>
    <w:p>
      <w:pPr>
        <w:pStyle w:val="11"/>
        <w:keepNext w:val="0"/>
        <w:keepLines w:val="0"/>
        <w:pageBreakBefore w:val="0"/>
        <w:widowControl w:val="0"/>
        <w:kinsoku/>
        <w:wordWrap/>
        <w:overflowPunct/>
        <w:topLinePunct w:val="0"/>
        <w:autoSpaceDE/>
        <w:autoSpaceDN/>
        <w:bidi w:val="0"/>
        <w:adjustRightInd/>
        <w:snapToGrid/>
        <w:spacing w:line="520" w:lineRule="exact"/>
        <w:ind w:firstLine="4830" w:firstLineChars="23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日　期：</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kern w:val="0"/>
          <w:sz w:val="21"/>
          <w:szCs w:val="21"/>
          <w:highlight w:val="none"/>
          <w:lang w:val="zh-CN"/>
        </w:rPr>
        <w:sectPr>
          <w:footerReference r:id="rId3" w:type="default"/>
          <w:pgSz w:w="11906" w:h="16838"/>
          <w:pgMar w:top="1418" w:right="1418" w:bottom="1418" w:left="1418" w:header="851" w:footer="992" w:gutter="0"/>
          <w:pgNumType w:fmt="decimal" w:start="1"/>
          <w:cols w:space="720" w:num="1"/>
          <w:docGrid w:linePitch="312" w:charSpace="0"/>
        </w:sectPr>
      </w:pPr>
    </w:p>
    <w:p>
      <w:pPr>
        <w:pStyle w:val="45"/>
        <w:pageBreakBefore/>
        <w:tabs>
          <w:tab w:val="left" w:pos="8280"/>
        </w:tabs>
        <w:ind w:right="28"/>
        <w:jc w:val="both"/>
        <w:rPr>
          <w:rFonts w:hint="eastAsia" w:ascii="黑体" w:hAnsi="黑体" w:eastAsia="黑体" w:cs="Times New Roman"/>
          <w:bCs/>
          <w:color w:val="auto"/>
          <w:sz w:val="28"/>
          <w:szCs w:val="28"/>
          <w:highlight w:val="none"/>
        </w:rPr>
      </w:pPr>
      <w:r>
        <w:rPr>
          <w:rFonts w:hint="eastAsia" w:ascii="黑体" w:hAnsi="黑体" w:eastAsia="黑体" w:cs="Times New Roman"/>
          <w:bCs/>
          <w:color w:val="auto"/>
          <w:sz w:val="28"/>
          <w:szCs w:val="28"/>
          <w:highlight w:val="none"/>
        </w:rPr>
        <w:t>4.</w:t>
      </w:r>
      <w:r>
        <w:rPr>
          <w:rFonts w:hint="eastAsia" w:ascii="黑体" w:hAnsi="黑体" w:eastAsia="黑体" w:cs="Times New Roman"/>
          <w:bCs/>
          <w:color w:val="auto"/>
          <w:sz w:val="28"/>
          <w:szCs w:val="28"/>
          <w:highlight w:val="none"/>
          <w:lang w:val="zh-CN"/>
        </w:rPr>
        <w:t>无重大违法记录声明书</w:t>
      </w:r>
    </w:p>
    <w:p>
      <w:pPr>
        <w:spacing w:line="312" w:lineRule="auto"/>
        <w:rPr>
          <w:rFonts w:hint="eastAsia" w:ascii="宋体" w:hAnsi="宋体" w:eastAsia="宋体" w:cs="宋体"/>
          <w:color w:val="auto"/>
          <w:sz w:val="21"/>
          <w:szCs w:val="21"/>
          <w:highlight w:val="none"/>
        </w:rPr>
      </w:pPr>
    </w:p>
    <w:p>
      <w:pPr>
        <w:spacing w:line="312"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衢州市寺桥水库开发建设有限公司</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浙江中正工程项目管理有限公司：</w:t>
      </w:r>
    </w:p>
    <w:p>
      <w:pPr>
        <w:spacing w:line="45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我方郑重声明：我方参加本项目</w:t>
      </w:r>
      <w:r>
        <w:rPr>
          <w:rFonts w:hint="eastAsia" w:ascii="宋体" w:hAnsi="宋体" w:eastAsia="宋体" w:cs="宋体"/>
          <w:color w:val="auto"/>
          <w:sz w:val="21"/>
          <w:szCs w:val="21"/>
          <w:highlight w:val="none"/>
          <w:lang w:eastAsia="zh-CN"/>
        </w:rPr>
        <w:t>投标活动</w:t>
      </w:r>
      <w:r>
        <w:rPr>
          <w:rFonts w:hint="eastAsia" w:ascii="宋体" w:hAnsi="宋体" w:eastAsia="宋体" w:cs="宋体"/>
          <w:color w:val="auto"/>
          <w:sz w:val="21"/>
          <w:szCs w:val="21"/>
          <w:highlight w:val="none"/>
        </w:rPr>
        <w:t>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50" w:lineRule="atLeast"/>
        <w:ind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特此声明。</w:t>
      </w:r>
    </w:p>
    <w:p>
      <w:pPr>
        <w:pStyle w:val="11"/>
        <w:spacing w:before="120" w:after="120"/>
        <w:jc w:val="cente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pacing w:line="450" w:lineRule="atLeast"/>
        <w:ind w:right="480"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声明人 (单位公章)：</w:t>
      </w:r>
    </w:p>
    <w:p>
      <w:pPr>
        <w:spacing w:line="450" w:lineRule="atLeast"/>
        <w:ind w:firstLine="2205" w:firstLineChars="1050"/>
        <w:jc w:val="left"/>
        <w:rPr>
          <w:rFonts w:hint="eastAsia" w:ascii="宋体" w:hAnsi="宋体" w:eastAsia="宋体" w:cs="宋体"/>
          <w:color w:val="auto"/>
          <w:sz w:val="21"/>
          <w:szCs w:val="21"/>
          <w:highlight w:val="none"/>
        </w:rPr>
      </w:pPr>
    </w:p>
    <w:p>
      <w:pPr>
        <w:spacing w:line="45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法定代表人或授权代表人（签字或盖章）： </w:t>
      </w:r>
    </w:p>
    <w:p>
      <w:pPr>
        <w:pStyle w:val="11"/>
        <w:spacing w:before="120" w:after="120" w:line="360" w:lineRule="auto"/>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1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32"/>
        <w:rPr>
          <w:rFonts w:hint="eastAsia" w:ascii="宋体" w:hAnsi="宋体" w:eastAsia="宋体" w:cs="宋体"/>
          <w:color w:val="auto"/>
          <w:sz w:val="21"/>
          <w:szCs w:val="21"/>
          <w:highlight w:val="none"/>
        </w:rPr>
      </w:pPr>
    </w:p>
    <w:p>
      <w:pPr>
        <w:pStyle w:val="32"/>
        <w:rPr>
          <w:rFonts w:hint="eastAsia" w:ascii="宋体" w:hAnsi="宋体" w:eastAsia="宋体" w:cs="宋体"/>
          <w:color w:val="auto"/>
          <w:sz w:val="21"/>
          <w:szCs w:val="21"/>
          <w:highlight w:val="none"/>
        </w:rPr>
      </w:pPr>
    </w:p>
    <w:p>
      <w:pPr>
        <w:pStyle w:val="45"/>
        <w:pageBreakBefore/>
        <w:tabs>
          <w:tab w:val="left" w:pos="8280"/>
        </w:tabs>
        <w:ind w:right="28"/>
        <w:jc w:val="center"/>
        <w:rPr>
          <w:rFonts w:ascii="宋体" w:hAnsi="宋体"/>
          <w:bCs/>
          <w:color w:val="auto"/>
          <w:sz w:val="28"/>
          <w:szCs w:val="28"/>
          <w:highlight w:val="none"/>
        </w:rPr>
      </w:pPr>
      <w:r>
        <w:rPr>
          <w:rFonts w:hint="eastAsia" w:ascii="黑体" w:hAnsi="黑体" w:eastAsia="黑体" w:cs="Times New Roman"/>
          <w:bCs/>
          <w:color w:val="auto"/>
          <w:sz w:val="28"/>
          <w:szCs w:val="28"/>
          <w:highlight w:val="none"/>
          <w:lang w:val="en-US" w:eastAsia="zh-CN"/>
        </w:rPr>
        <w:t>5.</w:t>
      </w:r>
      <w:r>
        <w:rPr>
          <w:rFonts w:hint="eastAsia" w:ascii="黑体" w:hAnsi="黑体" w:eastAsia="黑体" w:cs="Times New Roman"/>
          <w:bCs/>
          <w:color w:val="auto"/>
          <w:sz w:val="28"/>
          <w:szCs w:val="28"/>
          <w:highlight w:val="none"/>
        </w:rPr>
        <w:t>财务能力承诺书</w:t>
      </w:r>
    </w:p>
    <w:p>
      <w:pPr>
        <w:pStyle w:val="45"/>
        <w:spacing w:after="120"/>
        <w:rPr>
          <w:rFonts w:ascii="宋体" w:hAnsi="宋体"/>
          <w:color w:val="auto"/>
          <w:highlight w:val="none"/>
        </w:rPr>
      </w:pPr>
    </w:p>
    <w:p>
      <w:pPr>
        <w:pStyle w:val="45"/>
        <w:spacing w:line="500" w:lineRule="exact"/>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     （招标人全称）      </w:t>
      </w:r>
    </w:p>
    <w:p>
      <w:pPr>
        <w:pStyle w:val="45"/>
        <w:spacing w:line="500" w:lineRule="exact"/>
        <w:ind w:firstLine="420" w:firstLineChars="200"/>
        <w:rPr>
          <w:rFonts w:ascii="宋体" w:hAnsi="宋体"/>
          <w:color w:val="auto"/>
          <w:highlight w:val="none"/>
        </w:rPr>
      </w:pPr>
      <w:r>
        <w:rPr>
          <w:rFonts w:hint="eastAsia" w:ascii="宋体" w:hAnsi="宋体"/>
          <w:color w:val="auto"/>
          <w:highlight w:val="none"/>
        </w:rPr>
        <w:t>我谨代表</w:t>
      </w:r>
      <w:r>
        <w:rPr>
          <w:rFonts w:hint="eastAsia" w:ascii="宋体" w:hAnsi="宋体"/>
          <w:color w:val="auto"/>
          <w:highlight w:val="none"/>
          <w:u w:val="single"/>
        </w:rPr>
        <w:t xml:space="preserve">  （投标人全称）   </w:t>
      </w:r>
      <w:r>
        <w:rPr>
          <w:rFonts w:hint="eastAsia" w:ascii="宋体" w:hAnsi="宋体"/>
          <w:color w:val="auto"/>
          <w:highlight w:val="none"/>
        </w:rPr>
        <w:t>郑重承诺：若我单位有幸在</w:t>
      </w:r>
      <w:r>
        <w:rPr>
          <w:rFonts w:hint="eastAsia" w:ascii="宋体" w:hAnsi="宋体"/>
          <w:color w:val="auto"/>
          <w:highlight w:val="none"/>
          <w:u w:val="single"/>
        </w:rPr>
        <w:t xml:space="preserve">   （项目名称）   </w:t>
      </w:r>
      <w:r>
        <w:rPr>
          <w:rFonts w:hint="eastAsia" w:ascii="宋体" w:hAnsi="宋体"/>
          <w:color w:val="auto"/>
          <w:highlight w:val="none"/>
        </w:rPr>
        <w:t>工程投标活动中中标，将提供人民币（大写）______________元（￥________）的流动资金，供本工程在施工需要时使用。</w:t>
      </w:r>
    </w:p>
    <w:p>
      <w:pPr>
        <w:pStyle w:val="45"/>
        <w:spacing w:line="500" w:lineRule="exact"/>
        <w:ind w:firstLine="420" w:firstLineChars="200"/>
        <w:rPr>
          <w:rFonts w:ascii="宋体" w:hAnsi="宋体"/>
          <w:color w:val="auto"/>
          <w:highlight w:val="none"/>
        </w:rPr>
      </w:pPr>
      <w:r>
        <w:rPr>
          <w:rFonts w:hint="eastAsia" w:ascii="宋体" w:hAnsi="宋体"/>
          <w:color w:val="auto"/>
          <w:highlight w:val="none"/>
        </w:rPr>
        <w:t>特此承诺。</w:t>
      </w:r>
    </w:p>
    <w:p>
      <w:pPr>
        <w:pStyle w:val="45"/>
        <w:spacing w:line="500" w:lineRule="exact"/>
        <w:ind w:firstLine="420" w:firstLineChars="200"/>
        <w:rPr>
          <w:rFonts w:ascii="宋体" w:hAnsi="宋体"/>
          <w:color w:val="auto"/>
          <w:highlight w:val="none"/>
        </w:rPr>
      </w:pPr>
    </w:p>
    <w:p>
      <w:pPr>
        <w:pStyle w:val="45"/>
        <w:spacing w:line="500" w:lineRule="exact"/>
        <w:ind w:firstLine="420" w:firstLineChars="200"/>
        <w:rPr>
          <w:rFonts w:ascii="宋体" w:hAnsi="宋体"/>
          <w:color w:val="auto"/>
          <w:highlight w:val="none"/>
        </w:rPr>
      </w:pPr>
    </w:p>
    <w:p>
      <w:pPr>
        <w:pStyle w:val="45"/>
        <w:spacing w:line="500" w:lineRule="exact"/>
        <w:ind w:firstLine="420" w:firstLineChars="200"/>
        <w:rPr>
          <w:rFonts w:ascii="宋体" w:hAnsi="宋体"/>
          <w:color w:val="auto"/>
          <w:highlight w:val="none"/>
        </w:rPr>
      </w:pPr>
    </w:p>
    <w:p>
      <w:pPr>
        <w:pStyle w:val="45"/>
        <w:spacing w:line="500" w:lineRule="exact"/>
        <w:ind w:firstLine="2940" w:firstLineChars="14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（盖章）</w:t>
      </w:r>
    </w:p>
    <w:p>
      <w:pPr>
        <w:pStyle w:val="45"/>
        <w:spacing w:line="500" w:lineRule="exact"/>
        <w:ind w:firstLine="2940" w:firstLineChars="1400"/>
        <w:rPr>
          <w:rFonts w:ascii="宋体" w:hAnsi="宋体"/>
          <w:color w:val="auto"/>
          <w:highlight w:val="none"/>
        </w:rPr>
      </w:pPr>
      <w:r>
        <w:rPr>
          <w:rFonts w:hint="eastAsia" w:ascii="宋体" w:hAnsi="宋体" w:eastAsia="宋体" w:cs="宋体"/>
          <w:color w:val="auto"/>
          <w:sz w:val="21"/>
          <w:szCs w:val="21"/>
          <w:highlight w:val="none"/>
        </w:rPr>
        <w:t>法定代表人或授权代表</w:t>
      </w:r>
      <w:r>
        <w:rPr>
          <w:rFonts w:hint="eastAsia" w:ascii="宋体" w:hAnsi="宋体" w:eastAsia="宋体" w:cs="宋体"/>
          <w:color w:val="auto"/>
          <w:sz w:val="21"/>
          <w:szCs w:val="21"/>
          <w:highlight w:val="none"/>
          <w:u w:val="none"/>
        </w:rPr>
        <w:t>人</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（签字或盖章）</w:t>
      </w:r>
    </w:p>
    <w:p>
      <w:pPr>
        <w:pStyle w:val="45"/>
        <w:spacing w:line="500" w:lineRule="exact"/>
        <w:ind w:firstLine="4326" w:firstLineChars="2060"/>
        <w:rPr>
          <w:rFonts w:ascii="宋体" w:hAnsi="宋体"/>
          <w:color w:val="auto"/>
          <w:highlight w:val="none"/>
        </w:rPr>
      </w:pPr>
    </w:p>
    <w:p>
      <w:pPr>
        <w:pStyle w:val="45"/>
        <w:spacing w:line="500" w:lineRule="exact"/>
        <w:ind w:firstLine="4326" w:firstLineChars="2060"/>
        <w:rPr>
          <w:rFonts w:ascii="宋体" w:hAnsi="宋体"/>
          <w:color w:val="auto"/>
          <w:highlight w:val="none"/>
        </w:rPr>
      </w:pPr>
      <w:r>
        <w:rPr>
          <w:rFonts w:hint="eastAsia" w:ascii="宋体" w:hAnsi="宋体"/>
          <w:color w:val="auto"/>
          <w:highlight w:val="none"/>
        </w:rPr>
        <w:t>日     期：年月日</w:t>
      </w:r>
    </w:p>
    <w:p>
      <w:pPr>
        <w:pStyle w:val="45"/>
        <w:rPr>
          <w:rFonts w:ascii="宋体" w:hAnsi="宋体"/>
          <w:color w:val="auto"/>
          <w:highlight w:val="none"/>
        </w:rPr>
      </w:pPr>
    </w:p>
    <w:p>
      <w:pPr>
        <w:pStyle w:val="45"/>
        <w:rPr>
          <w:rFonts w:ascii="宋体" w:hAnsi="宋体"/>
          <w:color w:val="auto"/>
          <w:highlight w:val="none"/>
        </w:rPr>
      </w:pPr>
    </w:p>
    <w:p>
      <w:pPr>
        <w:pStyle w:val="45"/>
        <w:rPr>
          <w:rFonts w:ascii="宋体" w:hAnsi="宋体"/>
          <w:color w:val="auto"/>
          <w:highlight w:val="none"/>
        </w:rPr>
      </w:pPr>
    </w:p>
    <w:p>
      <w:pPr>
        <w:pStyle w:val="45"/>
        <w:rPr>
          <w:rFonts w:ascii="宋体" w:hAnsi="宋体"/>
          <w:color w:val="auto"/>
          <w:highlight w:val="none"/>
        </w:rPr>
      </w:pPr>
    </w:p>
    <w:p>
      <w:pPr>
        <w:pStyle w:val="45"/>
        <w:rPr>
          <w:rFonts w:ascii="宋体" w:hAnsi="宋体"/>
          <w:color w:val="auto"/>
          <w:highlight w:val="none"/>
        </w:rPr>
      </w:pPr>
    </w:p>
    <w:p>
      <w:pPr>
        <w:pStyle w:val="45"/>
        <w:rPr>
          <w:rFonts w:ascii="宋体" w:hAnsi="宋体"/>
          <w:color w:val="auto"/>
          <w:highlight w:val="none"/>
        </w:rPr>
      </w:pPr>
    </w:p>
    <w:p>
      <w:pPr>
        <w:pStyle w:val="32"/>
        <w:widowControl w:val="0"/>
        <w:numPr>
          <w:ilvl w:val="0"/>
          <w:numId w:val="0"/>
        </w:numPr>
        <w:spacing w:after="120" w:afterLines="0" w:line="240" w:lineRule="auto"/>
        <w:jc w:val="both"/>
        <w:rPr>
          <w:rFonts w:hint="eastAsia"/>
          <w:color w:val="auto"/>
          <w:highlight w:val="none"/>
        </w:rPr>
      </w:pPr>
    </w:p>
    <w:p>
      <w:pPr>
        <w:pStyle w:val="32"/>
        <w:rPr>
          <w:rFonts w:hint="eastAsia" w:ascii="宋体" w:hAnsi="宋体" w:eastAsia="宋体" w:cs="宋体"/>
          <w:color w:val="auto"/>
          <w:sz w:val="21"/>
          <w:szCs w:val="21"/>
          <w:highlight w:val="none"/>
          <w:lang w:val="zh-CN"/>
        </w:rPr>
        <w:sectPr>
          <w:pgSz w:w="11906" w:h="16838"/>
          <w:pgMar w:top="1418" w:right="1418" w:bottom="1418" w:left="1418" w:header="851" w:footer="992" w:gutter="0"/>
          <w:pgNumType w:fmt="decimal"/>
          <w:cols w:space="720" w:num="1"/>
          <w:docGrid w:linePitch="312" w:charSpace="0"/>
        </w:sectPr>
      </w:pPr>
    </w:p>
    <w:p>
      <w:pPr>
        <w:pStyle w:val="45"/>
        <w:pageBreakBefore/>
        <w:tabs>
          <w:tab w:val="left" w:pos="8280"/>
        </w:tabs>
        <w:ind w:right="28"/>
        <w:jc w:val="both"/>
        <w:rPr>
          <w:rFonts w:hint="eastAsia" w:ascii="黑体" w:hAnsi="黑体" w:eastAsia="黑体" w:cs="Times New Roman"/>
          <w:bCs/>
          <w:color w:val="auto"/>
          <w:sz w:val="28"/>
          <w:szCs w:val="28"/>
          <w:highlight w:val="none"/>
          <w:lang w:val="en-US" w:eastAsia="zh-CN"/>
        </w:rPr>
      </w:pPr>
      <w:r>
        <w:rPr>
          <w:rFonts w:hint="eastAsia" w:ascii="黑体" w:hAnsi="黑体" w:eastAsia="黑体" w:cs="Times New Roman"/>
          <w:bCs/>
          <w:color w:val="auto"/>
          <w:sz w:val="28"/>
          <w:szCs w:val="28"/>
          <w:highlight w:val="none"/>
          <w:lang w:val="en-US" w:eastAsia="zh-CN"/>
        </w:rPr>
        <w:t>6、自评分表</w:t>
      </w:r>
    </w:p>
    <w:tbl>
      <w:tblPr>
        <w:tblStyle w:val="23"/>
        <w:tblW w:w="10592"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057"/>
        <w:gridCol w:w="700"/>
        <w:gridCol w:w="7286"/>
        <w:gridCol w:w="701"/>
        <w:gridCol w:w="848"/>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评分项目</w:t>
            </w:r>
          </w:p>
        </w:tc>
        <w:tc>
          <w:tcPr>
            <w:tcW w:w="72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评分细则</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4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投标人自评分</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证明材料所在页码</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757"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pacing w:line="380" w:lineRule="exact"/>
              <w:ind w:right="111" w:rightChars="0"/>
              <w:jc w:val="center"/>
              <w:textAlignment w:val="auto"/>
              <w:rPr>
                <w:rFonts w:hint="eastAsia" w:ascii="宋体" w:hAnsi="宋体"/>
                <w:color w:val="auto"/>
                <w:szCs w:val="21"/>
                <w:highlight w:val="none"/>
              </w:rPr>
            </w:pPr>
            <w:r>
              <w:rPr>
                <w:rFonts w:hint="eastAsia" w:ascii="宋体" w:hAnsi="宋体"/>
                <w:color w:val="auto"/>
                <w:szCs w:val="21"/>
                <w:highlight w:val="none"/>
              </w:rPr>
              <w:t>拟投入设备</w:t>
            </w:r>
          </w:p>
          <w:p>
            <w:pPr>
              <w:keepNext w:val="0"/>
              <w:keepLines w:val="0"/>
              <w:pageBreakBefore w:val="0"/>
              <w:widowControl w:val="0"/>
              <w:kinsoku/>
              <w:wordWrap/>
              <w:overflowPunct/>
              <w:topLinePunct w:val="0"/>
              <w:autoSpaceDE w:val="0"/>
              <w:autoSpaceDN w:val="0"/>
              <w:bidi w:val="0"/>
              <w:adjustRightInd w:val="0"/>
              <w:spacing w:line="380" w:lineRule="exact"/>
              <w:ind w:right="306" w:rightChars="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7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投标人拟投入满足各种规格砂石料加工需求的生产线整套设备，如鄂式破碎机、圆锥式破碎机、立轴式破碎机、挖掘机、装载机、自卸车等</w:t>
            </w:r>
            <w:r>
              <w:rPr>
                <w:rFonts w:hint="eastAsia"/>
                <w:b/>
                <w:bCs/>
                <w:color w:val="auto"/>
                <w:sz w:val="21"/>
                <w:szCs w:val="21"/>
                <w:highlight w:val="none"/>
                <w:lang w:val="en-US" w:eastAsia="zh-CN"/>
              </w:rPr>
              <w:t>全新</w:t>
            </w:r>
            <w:r>
              <w:rPr>
                <w:rFonts w:hint="eastAsia"/>
                <w:color w:val="auto"/>
                <w:sz w:val="21"/>
                <w:szCs w:val="21"/>
                <w:highlight w:val="none"/>
                <w:lang w:val="en-US" w:eastAsia="zh-CN"/>
              </w:rPr>
              <w:t>设备。</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需提供厂家说明书及意向采购协议并承诺在中标通知书发出之日起90日内完成设备的购置、安装及调试，满足生产条件。</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根据各投标人提供的拟投入的设备清单（含环保设备设施）、设备厂家技术使用说明、设备工艺流程图纸、设备相关证明材料等以及场地内设备布置总平面图），对投入设备齐全率、设备性能的先进等能否满足项目的实际需要进行打分</w:t>
            </w:r>
            <w:r>
              <w:rPr>
                <w:rFonts w:hint="eastAsia"/>
                <w:color w:val="auto"/>
                <w:sz w:val="21"/>
                <w:szCs w:val="21"/>
                <w:highlight w:val="none"/>
              </w:rPr>
              <w:t>。</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757" w:type="dxa"/>
            <w:gridSpan w:val="2"/>
            <w:vMerge w:val="continue"/>
            <w:tcBorders>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60" w:lineRule="auto"/>
              <w:ind w:right="306" w:rightChars="0"/>
              <w:jc w:val="center"/>
              <w:rPr>
                <w:rFonts w:hint="eastAsia" w:ascii="宋体" w:hAnsi="宋体"/>
                <w:color w:val="auto"/>
                <w:szCs w:val="21"/>
                <w:highlight w:val="none"/>
              </w:rPr>
            </w:pPr>
          </w:p>
        </w:tc>
        <w:tc>
          <w:tcPr>
            <w:tcW w:w="728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300吨/小时≤石料生产能力＜400吨/小时，得5分；</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石料生产能力≧400吨/小时，得10分。</w:t>
            </w:r>
          </w:p>
          <w:p>
            <w:pPr>
              <w:adjustRightInd w:val="0"/>
              <w:snapToGrid w:val="0"/>
              <w:rPr>
                <w:rFonts w:hint="eastAsia" w:ascii="宋体" w:hAnsi="宋体"/>
                <w:color w:val="auto"/>
                <w:szCs w:val="21"/>
                <w:highlight w:val="none"/>
              </w:rPr>
            </w:pPr>
            <w:r>
              <w:rPr>
                <w:rFonts w:hint="eastAsia"/>
                <w:color w:val="auto"/>
                <w:sz w:val="21"/>
                <w:szCs w:val="21"/>
                <w:highlight w:val="none"/>
                <w:lang w:val="en-US" w:eastAsia="zh-CN"/>
              </w:rPr>
              <w:t>根据投标人提供的证明材料予以打分，如证明材料不齐，导致评标委员会无法认定的，由投标人自行负责。</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592" w:type="dxa"/>
            <w:gridSpan w:val="5"/>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b w:val="0"/>
                <w:bCs w:val="0"/>
                <w:color w:val="auto"/>
                <w:sz w:val="21"/>
                <w:szCs w:val="21"/>
                <w:highlight w:val="none"/>
                <w:lang w:val="en-US" w:eastAsia="zh-CN"/>
              </w:rPr>
            </w:pPr>
            <w:r>
              <w:rPr>
                <w:rFonts w:hint="eastAsia"/>
                <w:b/>
                <w:bCs/>
                <w:color w:val="auto"/>
                <w:sz w:val="21"/>
                <w:szCs w:val="21"/>
                <w:highlight w:val="none"/>
                <w:lang w:val="en-US" w:eastAsia="zh-CN"/>
              </w:rPr>
              <w:t>标前实地考察：</w:t>
            </w:r>
            <w:r>
              <w:rPr>
                <w:rFonts w:hint="eastAsia" w:ascii="宋体" w:hAnsi="宋体" w:cs="宋体"/>
                <w:b w:val="0"/>
                <w:bCs w:val="0"/>
                <w:color w:val="auto"/>
                <w:szCs w:val="21"/>
                <w:highlight w:val="none"/>
                <w:lang w:val="en-US" w:eastAsia="zh-CN"/>
              </w:rPr>
              <w:t>本项目开标前采购人将组成考察小组，对各投标人砂石加工场地进行实地考察，主要考察场地位置及面积、场外运输条件、环保设施、周边情况等内容，相关硬件设施等客观内容由投标人现场确认。</w:t>
            </w:r>
            <w:r>
              <w:rPr>
                <w:rFonts w:hint="eastAsia" w:ascii="宋体" w:hAnsi="宋体"/>
                <w:b/>
                <w:bCs/>
                <w:color w:val="auto"/>
                <w:szCs w:val="21"/>
                <w:highlight w:val="none"/>
                <w:lang w:val="en-US" w:eastAsia="zh-CN"/>
              </w:rPr>
              <w:t>全部考察完成后考察小组按客观情况对各投标人进行考察排序</w:t>
            </w:r>
            <w:r>
              <w:rPr>
                <w:rFonts w:hint="eastAsia" w:ascii="宋体" w:hAnsi="宋体" w:cs="宋体"/>
                <w:b w:val="0"/>
                <w:bCs w:val="0"/>
                <w:color w:val="auto"/>
                <w:szCs w:val="21"/>
                <w:highlight w:val="none"/>
                <w:lang w:val="en-US" w:eastAsia="zh-CN"/>
              </w:rPr>
              <w:t>，并形成考察报告，考察报告交招标人监察人员封存。</w:t>
            </w:r>
          </w:p>
          <w:p>
            <w:pPr>
              <w:widowControl/>
              <w:snapToGrid w:val="0"/>
              <w:spacing w:line="240" w:lineRule="auto"/>
              <w:jc w:val="left"/>
              <w:rPr>
                <w:rFonts w:hint="eastAsia" w:ascii="宋体" w:hAnsi="宋体" w:cs="宋体"/>
                <w:color w:val="auto"/>
                <w:szCs w:val="21"/>
                <w:highlight w:val="none"/>
                <w:lang w:eastAsia="zh-CN"/>
              </w:rPr>
            </w:pPr>
            <w:r>
              <w:rPr>
                <w:rFonts w:hint="eastAsia"/>
                <w:color w:val="auto"/>
                <w:sz w:val="21"/>
                <w:szCs w:val="21"/>
                <w:highlight w:val="none"/>
                <w:lang w:val="en-US" w:eastAsia="zh-CN"/>
              </w:rPr>
              <w:t>评标时送至评标现场交评委会评审，评委会根据考察报告及投标文件内容酌情给分。如考察现场确认的情况与投标文件中提供的证明材料不一致或自相矛盾的，经询标质询后评委酌情给分。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57" w:type="dxa"/>
            <w:vMerge w:val="restart"/>
            <w:tcBorders>
              <w:left w:val="single" w:color="auto" w:sz="4" w:space="0"/>
              <w:right w:val="single" w:color="auto" w:sz="4" w:space="0"/>
            </w:tcBorders>
            <w:shd w:val="clear" w:color="auto" w:fill="FFFFFF"/>
            <w:vAlign w:val="center"/>
          </w:tcPr>
          <w:p>
            <w:pPr>
              <w:tabs>
                <w:tab w:val="left" w:pos="420"/>
              </w:tabs>
              <w:autoSpaceDE w:val="0"/>
              <w:autoSpaceDN w:val="0"/>
              <w:adjustRightInd w:val="0"/>
              <w:spacing w:line="240" w:lineRule="auto"/>
              <w:ind w:right="-9" w:rightChars="0"/>
              <w:jc w:val="left"/>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color w:val="auto"/>
                <w:szCs w:val="21"/>
                <w:highlight w:val="none"/>
                <w:lang w:val="en-US" w:eastAsia="zh-CN"/>
              </w:rPr>
              <w:t>砂石加工场地情况（35分）</w:t>
            </w:r>
            <w:r>
              <w:rPr>
                <w:rFonts w:hint="eastAsia"/>
                <w:color w:val="auto"/>
                <w:sz w:val="21"/>
                <w:szCs w:val="21"/>
                <w:highlight w:val="none"/>
                <w:lang w:eastAsia="zh-CN"/>
              </w:rPr>
              <w:t>加工场地须位于衢州市柯城区范围内，且满足临时用地审批的非农用土地。否则本项不得分。</w:t>
            </w:r>
          </w:p>
        </w:tc>
        <w:tc>
          <w:tcPr>
            <w:tcW w:w="700" w:type="dxa"/>
            <w:tcBorders>
              <w:left w:val="single" w:color="auto" w:sz="4" w:space="0"/>
              <w:bottom w:val="single" w:color="auto" w:sz="4" w:space="0"/>
              <w:right w:val="single" w:color="auto" w:sz="4" w:space="0"/>
            </w:tcBorders>
            <w:shd w:val="clear" w:color="auto" w:fill="FFFFFF"/>
            <w:vAlign w:val="center"/>
          </w:tcPr>
          <w:p>
            <w:pPr>
              <w:tabs>
                <w:tab w:val="left" w:pos="420"/>
              </w:tabs>
              <w:autoSpaceDE w:val="0"/>
              <w:autoSpaceDN w:val="0"/>
              <w:adjustRightInd w:val="0"/>
              <w:spacing w:line="360" w:lineRule="auto"/>
              <w:ind w:right="-9" w:rightChars="0"/>
              <w:jc w:val="cente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场地面积</w:t>
            </w:r>
          </w:p>
        </w:tc>
        <w:tc>
          <w:tcPr>
            <w:tcW w:w="7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default" w:eastAsia="宋体"/>
                <w:color w:val="auto"/>
                <w:sz w:val="21"/>
                <w:szCs w:val="21"/>
                <w:highlight w:val="none"/>
                <w:lang w:val="en-US" w:eastAsia="zh-CN"/>
              </w:rPr>
            </w:pPr>
            <w:r>
              <w:rPr>
                <w:rFonts w:hint="eastAsia"/>
                <w:color w:val="auto"/>
                <w:sz w:val="21"/>
                <w:szCs w:val="21"/>
                <w:highlight w:val="none"/>
                <w:lang w:eastAsia="zh-CN"/>
              </w:rPr>
              <w:t>砂石加工场地</w:t>
            </w:r>
            <w:r>
              <w:rPr>
                <w:rFonts w:hint="eastAsia"/>
                <w:color w:val="auto"/>
                <w:sz w:val="21"/>
                <w:szCs w:val="21"/>
                <w:highlight w:val="none"/>
              </w:rPr>
              <w:t>面积</w:t>
            </w:r>
            <w:r>
              <w:rPr>
                <w:rFonts w:hint="eastAsia"/>
                <w:color w:val="auto"/>
                <w:sz w:val="21"/>
                <w:szCs w:val="21"/>
                <w:highlight w:val="none"/>
                <w:lang w:eastAsia="zh-CN"/>
              </w:rPr>
              <w:t>达到</w:t>
            </w:r>
            <w:r>
              <w:rPr>
                <w:rFonts w:hint="eastAsia"/>
                <w:color w:val="auto"/>
                <w:sz w:val="21"/>
                <w:szCs w:val="21"/>
                <w:highlight w:val="none"/>
                <w:lang w:val="en-US" w:eastAsia="zh-CN"/>
              </w:rPr>
              <w:t>40亩的，得基本分5分；每增加3亩（不足3亩不予计分），加1分，最高加5分。</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备注：提供土地权属证明的原件或复印件加盖公章（如土地为租赁所得，应提供投标人或投标人股东与土地所有人签订的租赁合同或协议，并提供支付租金的银行转账记录、收条收据等付款依据）。仅限自用面积，转租或他用等部分面积除外。场地属有人为自然人或法人均予以认可。</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57" w:type="dxa"/>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宋体" w:hAnsi="宋体" w:eastAsia="宋体" w:cs="Times New Roman"/>
                <w:b w:val="0"/>
                <w:bCs w:val="0"/>
                <w:color w:val="auto"/>
                <w:kern w:val="2"/>
                <w:sz w:val="21"/>
                <w:szCs w:val="21"/>
                <w:highlight w:val="none"/>
                <w:lang w:val="en-US" w:eastAsia="zh-CN" w:bidi="ar-SA"/>
              </w:rPr>
            </w:pPr>
          </w:p>
        </w:tc>
        <w:tc>
          <w:tcPr>
            <w:tcW w:w="700"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场地位置</w:t>
            </w:r>
          </w:p>
        </w:tc>
        <w:tc>
          <w:tcPr>
            <w:tcW w:w="7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根据场地是否位于公路主干线两侧范围，场外运输条件是否便利，交通道路情况优劣程度等综合判定、综合评分。</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57" w:type="dxa"/>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Times New Roman" w:hAnsi="Times New Roman" w:eastAsia="宋体" w:cs="Times New Roman"/>
                <w:b w:val="0"/>
                <w:bCs w:val="0"/>
                <w:color w:val="auto"/>
                <w:kern w:val="2"/>
                <w:sz w:val="21"/>
                <w:szCs w:val="21"/>
                <w:highlight w:val="none"/>
                <w:lang w:val="en-US" w:eastAsia="zh-CN" w:bidi="ar-SA"/>
              </w:rPr>
            </w:pPr>
          </w:p>
        </w:tc>
        <w:tc>
          <w:tcPr>
            <w:tcW w:w="700"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水电配套</w:t>
            </w:r>
          </w:p>
        </w:tc>
        <w:tc>
          <w:tcPr>
            <w:tcW w:w="7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b w:val="0"/>
                <w:bCs w:val="0"/>
                <w:color w:val="auto"/>
                <w:sz w:val="21"/>
                <w:szCs w:val="21"/>
                <w:highlight w:val="none"/>
                <w:lang w:val="en-US" w:eastAsia="zh-CN"/>
              </w:rPr>
              <w:t>根据投标人是否承诺在建设期内将砂石加工场地水、电等配套设施设置齐全，是否能满足项目需求进行评审打分。</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57" w:type="dxa"/>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Times New Roman" w:hAnsi="Times New Roman" w:eastAsia="宋体" w:cs="Times New Roman"/>
                <w:b w:val="0"/>
                <w:bCs w:val="0"/>
                <w:color w:val="auto"/>
                <w:kern w:val="2"/>
                <w:sz w:val="21"/>
                <w:szCs w:val="21"/>
                <w:highlight w:val="none"/>
                <w:lang w:val="en-US" w:eastAsia="zh-CN" w:bidi="ar-SA"/>
              </w:rPr>
            </w:pPr>
          </w:p>
        </w:tc>
        <w:tc>
          <w:tcPr>
            <w:tcW w:w="700"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环保设施</w:t>
            </w:r>
          </w:p>
        </w:tc>
        <w:tc>
          <w:tcPr>
            <w:tcW w:w="7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根据投标人对产生的各类污染物拟采取的治理措施是否切实可行，综合打分。</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环保设施（如污水循环系统、淤泥压滤机等）的拟投入情况、污水管网铺设、废水外排、循环用水、标识标志等。</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57"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Times New Roman"/>
                <w:b w:val="0"/>
                <w:bCs w:val="0"/>
                <w:color w:val="auto"/>
                <w:kern w:val="2"/>
                <w:sz w:val="21"/>
                <w:szCs w:val="21"/>
                <w:highlight w:val="none"/>
                <w:lang w:val="en-US" w:eastAsia="zh-CN" w:bidi="ar-SA"/>
              </w:rPr>
            </w:pPr>
          </w:p>
        </w:tc>
        <w:tc>
          <w:tcPr>
            <w:tcW w:w="700" w:type="dxa"/>
            <w:tcBorders>
              <w:left w:val="single" w:color="auto" w:sz="4" w:space="0"/>
              <w:bottom w:val="single" w:color="auto" w:sz="4" w:space="0"/>
              <w:right w:val="single" w:color="auto" w:sz="4" w:space="0"/>
            </w:tcBorders>
            <w:shd w:val="clear" w:color="auto" w:fill="FFFFFF"/>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周边影响</w:t>
            </w:r>
          </w:p>
        </w:tc>
        <w:tc>
          <w:tcPr>
            <w:tcW w:w="7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根据现场考察情况，对</w:t>
            </w:r>
            <w:r>
              <w:rPr>
                <w:rFonts w:hint="eastAsia"/>
                <w:b w:val="0"/>
                <w:bCs w:val="0"/>
                <w:color w:val="auto"/>
                <w:sz w:val="21"/>
                <w:szCs w:val="21"/>
                <w:highlight w:val="none"/>
                <w:lang w:val="en-US" w:eastAsia="zh-CN"/>
              </w:rPr>
              <w:t>周边居民生活影响程度进行综合打分。</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757" w:type="dxa"/>
            <w:gridSpan w:val="2"/>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tabs>
                <w:tab w:val="left" w:pos="1050"/>
              </w:tabs>
              <w:kinsoku/>
              <w:wordWrap/>
              <w:overflowPunct/>
              <w:topLinePunct w:val="0"/>
              <w:autoSpaceDE w:val="0"/>
              <w:autoSpaceDN w:val="0"/>
              <w:bidi w:val="0"/>
              <w:adjustRightInd w:val="0"/>
              <w:spacing w:line="380" w:lineRule="exact"/>
              <w:ind w:right="-139"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企业资金实力</w:t>
            </w:r>
          </w:p>
          <w:p>
            <w:pPr>
              <w:keepNext w:val="0"/>
              <w:keepLines w:val="0"/>
              <w:pageBreakBefore w:val="0"/>
              <w:widowControl w:val="0"/>
              <w:kinsoku/>
              <w:wordWrap/>
              <w:overflowPunct/>
              <w:topLinePunct w:val="0"/>
              <w:autoSpaceDE w:val="0"/>
              <w:autoSpaceDN w:val="0"/>
              <w:bidi w:val="0"/>
              <w:adjustRightInd w:val="0"/>
              <w:spacing w:line="380" w:lineRule="exact"/>
              <w:ind w:right="306"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w:t>
            </w:r>
          </w:p>
        </w:tc>
        <w:tc>
          <w:tcPr>
            <w:tcW w:w="7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210" w:firstLineChars="1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根据各投标人货币资金情况打分，本项目要求货币资金不少于500万元，供本工程场地投入、设备配置、生产运营等使用。</w:t>
            </w:r>
            <w:r>
              <w:rPr>
                <w:rFonts w:hint="eastAsia"/>
                <w:b w:val="0"/>
                <w:bCs w:val="0"/>
                <w:color w:val="auto"/>
                <w:sz w:val="21"/>
                <w:szCs w:val="21"/>
                <w:highlight w:val="none"/>
                <w:lang w:val="en-US" w:eastAsia="zh-CN"/>
              </w:rPr>
              <w:br w:type="textWrapping"/>
            </w:r>
            <w:r>
              <w:rPr>
                <w:rFonts w:hint="eastAsia"/>
                <w:b w:val="0"/>
                <w:bCs w:val="0"/>
                <w:color w:val="auto"/>
                <w:sz w:val="21"/>
                <w:szCs w:val="21"/>
                <w:highlight w:val="none"/>
                <w:lang w:val="en-US" w:eastAsia="zh-CN"/>
              </w:rPr>
              <w:t xml:space="preserve"> 公司或法人（不得累加）货币资金达500万元的得基本分10分，少于500万元的得0分，每增加100万元（不足100万元不予计分）加1分，最多加10分，最高得20分。</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textAlignment w:val="auto"/>
              <w:rPr>
                <w:rFonts w:hint="eastAsia" w:ascii="宋体" w:hAnsi="宋体" w:eastAsia="宋体" w:cs="宋体"/>
                <w:b w:val="0"/>
                <w:bCs w:val="0"/>
                <w:color w:val="auto"/>
                <w:kern w:val="0"/>
                <w:sz w:val="21"/>
                <w:szCs w:val="21"/>
                <w:highlight w:val="none"/>
                <w:lang w:val="en-US" w:eastAsia="zh-CN" w:bidi="ar-SA"/>
              </w:rPr>
            </w:pPr>
            <w:r>
              <w:rPr>
                <w:rFonts w:hint="eastAsia"/>
                <w:b w:val="0"/>
                <w:bCs w:val="0"/>
                <w:color w:val="auto"/>
                <w:sz w:val="21"/>
                <w:szCs w:val="21"/>
                <w:highlight w:val="none"/>
                <w:lang w:val="en-US" w:eastAsia="zh-CN"/>
              </w:rPr>
              <w:t>（须提供公司或法人近3个月的银行账户流水,流水必须显示余额，并经银行盖章确认，流水截止日期须为本公告公开发布之日的前一日，否则不得分）。</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757" w:type="dxa"/>
            <w:gridSpan w:val="2"/>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color w:val="auto"/>
                <w:highlight w:val="none"/>
                <w:lang w:eastAsia="zh-CN"/>
              </w:rPr>
            </w:pPr>
            <w:r>
              <w:rPr>
                <w:rFonts w:hint="eastAsia"/>
                <w:color w:val="auto"/>
                <w:highlight w:val="none"/>
                <w:lang w:eastAsia="zh-CN"/>
              </w:rPr>
              <w:t>加工服务方案</w:t>
            </w:r>
          </w:p>
          <w:p>
            <w:pPr>
              <w:pStyle w:val="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10分</w:t>
            </w:r>
            <w:r>
              <w:rPr>
                <w:rFonts w:hint="eastAsia" w:ascii="宋体" w:hAnsi="宋体"/>
                <w:color w:val="auto"/>
                <w:szCs w:val="21"/>
                <w:highlight w:val="none"/>
                <w:lang w:eastAsia="zh-CN"/>
              </w:rPr>
              <w:t>）</w:t>
            </w:r>
          </w:p>
        </w:tc>
        <w:tc>
          <w:tcPr>
            <w:tcW w:w="7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根据投标人提供的加工生产方案、加工场地总平面布置图及对采购人采购需求的响应程度、质量、进度、安全、环保等的保证措施进行综合评价、综合评分。</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center"/>
              <w:rPr>
                <w:rFonts w:hint="eastAsia" w:ascii="宋体" w:hAnsi="宋体" w:cs="宋体"/>
                <w:color w:val="auto"/>
                <w:szCs w:val="21"/>
                <w:highlight w:val="none"/>
                <w:lang w:eastAsia="zh-CN"/>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left"/>
              <w:rPr>
                <w:rFonts w:hint="default" w:ascii="宋体" w:hAnsi="宋体" w:cs="宋体"/>
                <w:color w:val="auto"/>
                <w:szCs w:val="21"/>
                <w:highlight w:val="none"/>
                <w:lang w:val="en-US" w:eastAsia="zh-CN"/>
              </w:rPr>
            </w:pPr>
          </w:p>
        </w:tc>
        <w:tc>
          <w:tcPr>
            <w:tcW w:w="95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该表编入技术资信商务文件，后附根据技术资信商务评分细则提供相关资料。</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57" w:type="dxa"/>
            <w:tcBorders>
              <w:top w:val="single" w:color="auto" w:sz="4" w:space="0"/>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宋体" w:hAnsi="宋体" w:cs="宋体"/>
                <w:color w:val="auto"/>
                <w:szCs w:val="21"/>
                <w:highlight w:val="none"/>
                <w:lang w:eastAsia="zh-CN"/>
              </w:rPr>
            </w:pPr>
          </w:p>
        </w:tc>
        <w:tc>
          <w:tcPr>
            <w:tcW w:w="9535" w:type="dxa"/>
            <w:gridSpan w:val="4"/>
            <w:tcBorders>
              <w:top w:val="single" w:color="auto" w:sz="4" w:space="0"/>
              <w:left w:val="nil"/>
              <w:bottom w:val="nil"/>
              <w:right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cs="宋体"/>
                <w:color w:val="auto"/>
                <w:kern w:val="0"/>
                <w:szCs w:val="21"/>
                <w:highlight w:val="none"/>
                <w:lang w:val="zh-CN"/>
              </w:rPr>
            </w:pPr>
          </w:p>
          <w:p>
            <w:pPr>
              <w:pStyle w:val="45"/>
              <w:spacing w:line="500" w:lineRule="exact"/>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（盖章）</w:t>
            </w:r>
          </w:p>
          <w:p>
            <w:pPr>
              <w:keepNext w:val="0"/>
              <w:keepLines w:val="0"/>
              <w:pageBreakBefore w:val="0"/>
              <w:kinsoku/>
              <w:wordWrap/>
              <w:overflowPunct/>
              <w:topLinePunct w:val="0"/>
              <w:autoSpaceDE/>
              <w:autoSpaceDN/>
              <w:bidi w:val="0"/>
              <w:adjustRightInd w:val="0"/>
              <w:snapToGrid w:val="0"/>
              <w:spacing w:line="560" w:lineRule="exact"/>
              <w:ind w:right="570"/>
              <w:jc w:val="both"/>
              <w:textAlignment w:val="auto"/>
              <w:rPr>
                <w:rFonts w:hint="eastAsia" w:ascii="宋体" w:hAnsi="宋体" w:cs="宋体"/>
                <w:color w:val="auto"/>
                <w:kern w:val="0"/>
                <w:szCs w:val="21"/>
                <w:highlight w:val="none"/>
                <w:lang w:val="zh-CN"/>
              </w:rPr>
            </w:pPr>
            <w:r>
              <w:rPr>
                <w:rFonts w:hint="eastAsia" w:ascii="宋体" w:hAnsi="宋体" w:eastAsia="宋体" w:cs="宋体"/>
                <w:color w:val="auto"/>
                <w:sz w:val="21"/>
                <w:szCs w:val="21"/>
                <w:highlight w:val="none"/>
              </w:rPr>
              <w:t>法定代表人或授权代表</w:t>
            </w:r>
            <w:r>
              <w:rPr>
                <w:rFonts w:hint="eastAsia" w:ascii="宋体" w:hAnsi="宋体" w:eastAsia="宋体" w:cs="宋体"/>
                <w:color w:val="auto"/>
                <w:sz w:val="21"/>
                <w:szCs w:val="21"/>
                <w:highlight w:val="none"/>
                <w:u w:val="none"/>
              </w:rPr>
              <w:t>人</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（签字或盖章）</w:t>
            </w:r>
          </w:p>
          <w:p>
            <w:pPr>
              <w:keepNext w:val="0"/>
              <w:keepLines w:val="0"/>
              <w:pageBreakBefore w:val="0"/>
              <w:kinsoku/>
              <w:wordWrap/>
              <w:overflowPunct/>
              <w:topLinePunct w:val="0"/>
              <w:autoSpaceDE/>
              <w:autoSpaceDN/>
              <w:bidi w:val="0"/>
              <w:adjustRightInd w:val="0"/>
              <w:snapToGrid w:val="0"/>
              <w:spacing w:line="560" w:lineRule="exact"/>
              <w:ind w:right="570"/>
              <w:jc w:val="right"/>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宋体" w:hAnsi="宋体" w:cs="宋体"/>
                <w:color w:val="auto"/>
                <w:szCs w:val="21"/>
                <w:highlight w:val="none"/>
                <w:lang w:eastAsia="zh-CN"/>
              </w:rPr>
            </w:pPr>
          </w:p>
        </w:tc>
      </w:tr>
    </w:tbl>
    <w:p>
      <w:pPr>
        <w:pStyle w:val="45"/>
        <w:pageBreakBefore/>
        <w:tabs>
          <w:tab w:val="left" w:pos="8280"/>
        </w:tabs>
        <w:ind w:right="28"/>
        <w:jc w:val="both"/>
        <w:rPr>
          <w:rFonts w:hint="eastAsia" w:ascii="黑体" w:hAnsi="黑体" w:eastAsia="黑体" w:cs="Times New Roman"/>
          <w:bCs/>
          <w:color w:val="auto"/>
          <w:sz w:val="28"/>
          <w:szCs w:val="28"/>
          <w:highlight w:val="none"/>
          <w:lang w:val="en-US" w:eastAsia="zh-CN"/>
        </w:rPr>
      </w:pPr>
      <w:r>
        <w:rPr>
          <w:rFonts w:hint="eastAsia" w:ascii="黑体" w:hAnsi="黑体" w:eastAsia="黑体" w:cs="Times New Roman"/>
          <w:bCs/>
          <w:color w:val="auto"/>
          <w:sz w:val="28"/>
          <w:szCs w:val="28"/>
          <w:highlight w:val="none"/>
          <w:lang w:val="en-US" w:eastAsia="zh-CN"/>
        </w:rPr>
        <w:t>7、投标响应函</w:t>
      </w:r>
      <w:bookmarkEnd w:id="57"/>
      <w:bookmarkEnd w:id="58"/>
    </w:p>
    <w:p>
      <w:pPr>
        <w:adjustRightInd w:val="0"/>
        <w:snapToGrid w:val="0"/>
        <w:spacing w:line="312" w:lineRule="auto"/>
        <w:jc w:val="center"/>
        <w:rPr>
          <w:rFonts w:hint="eastAsia" w:ascii="黑体" w:hAnsi="黑体" w:eastAsia="黑体" w:cs="Times New Roman"/>
          <w:bCs/>
          <w:color w:val="auto"/>
          <w:sz w:val="28"/>
          <w:szCs w:val="28"/>
          <w:highlight w:val="none"/>
          <w:lang w:val="en-US" w:eastAsia="zh-CN"/>
        </w:rPr>
      </w:pPr>
    </w:p>
    <w:p>
      <w:pPr>
        <w:adjustRightInd w:val="0"/>
        <w:snapToGrid w:val="0"/>
        <w:spacing w:line="312" w:lineRule="auto"/>
        <w:jc w:val="center"/>
        <w:rPr>
          <w:rFonts w:hint="eastAsia" w:ascii="宋体" w:hAnsi="宋体" w:cs="宋体"/>
          <w:color w:val="auto"/>
          <w:szCs w:val="21"/>
          <w:highlight w:val="none"/>
          <w:lang w:eastAsia="zh-CN"/>
        </w:rPr>
      </w:pPr>
      <w:r>
        <w:rPr>
          <w:rFonts w:hint="eastAsia" w:ascii="黑体" w:hAnsi="黑体" w:eastAsia="黑体" w:cs="Times New Roman"/>
          <w:bCs/>
          <w:color w:val="auto"/>
          <w:sz w:val="28"/>
          <w:szCs w:val="28"/>
          <w:highlight w:val="none"/>
          <w:lang w:val="en-US" w:eastAsia="zh-CN"/>
        </w:rPr>
        <w:t>投标响应函</w:t>
      </w:r>
    </w:p>
    <w:p>
      <w:pPr>
        <w:adjustRightInd w:val="0"/>
        <w:snapToGrid w:val="0"/>
        <w:spacing w:line="312" w:lineRule="auto"/>
        <w:rPr>
          <w:rFonts w:hint="eastAsia" w:ascii="宋体" w:hAnsi="宋体" w:cs="宋体"/>
          <w:color w:val="auto"/>
          <w:szCs w:val="21"/>
          <w:highlight w:val="none"/>
          <w:lang w:eastAsia="zh-CN"/>
        </w:rPr>
      </w:pPr>
    </w:p>
    <w:p>
      <w:pPr>
        <w:adjustRightInd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lang w:eastAsia="zh-CN"/>
        </w:rPr>
        <w:t>衢州市寺桥水库开发建设有限公司</w:t>
      </w:r>
      <w:r>
        <w:rPr>
          <w:rFonts w:hint="eastAsia" w:ascii="宋体" w:hAnsi="宋体" w:cs="宋体"/>
          <w:color w:val="auto"/>
          <w:szCs w:val="21"/>
          <w:highlight w:val="none"/>
        </w:rPr>
        <w:t>：</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(投标人全称)授权</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(全权代表姓名)</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(职务、职称)为全权代表，参加贵方组织的</w:t>
      </w:r>
      <w:r>
        <w:rPr>
          <w:rFonts w:hint="eastAsia" w:ascii="宋体" w:hAnsi="宋体" w:cs="宋体"/>
          <w:color w:val="auto"/>
          <w:szCs w:val="21"/>
          <w:highlight w:val="none"/>
          <w:lang w:eastAsia="zh-CN"/>
        </w:rPr>
        <w:t>砂石料代加工服务</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lang w:eastAsia="zh-CN"/>
        </w:rPr>
        <w:t>ZZCG2020045</w:t>
      </w:r>
      <w:r>
        <w:rPr>
          <w:rFonts w:hint="eastAsia" w:ascii="宋体" w:hAnsi="宋体" w:cs="宋体"/>
          <w:color w:val="auto"/>
          <w:szCs w:val="21"/>
          <w:highlight w:val="none"/>
        </w:rPr>
        <w:t>)招标的有关活动，并对此项目进行投标。为此：</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1、我方同意在投标人</w:t>
      </w:r>
      <w:r>
        <w:rPr>
          <w:rFonts w:hint="eastAsia" w:ascii="宋体" w:hAnsi="宋体" w:cs="宋体"/>
          <w:color w:val="auto"/>
          <w:kern w:val="44"/>
          <w:szCs w:val="21"/>
          <w:highlight w:val="none"/>
        </w:rPr>
        <w:t>编制和提交投标文件须知</w:t>
      </w:r>
      <w:r>
        <w:rPr>
          <w:rFonts w:hint="eastAsia" w:ascii="宋体" w:hAnsi="宋体" w:cs="宋体"/>
          <w:color w:val="auto"/>
          <w:szCs w:val="21"/>
          <w:highlight w:val="none"/>
        </w:rPr>
        <w:t>规定的开标日期起遵守本投标书中的承诺且在投标有效期满之前均具有约束力。</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2、我方承诺已经具备《中华人民共和国政府采购法》中规定的参加政府采购活动的供应商应当具备的条件：</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(2)遵守国家法律、行政法规，具有良好的信誉和商业道德；</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(3)具有履行合同的能力和良好的履行合同记录；</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(4)良好的资金、财务状况；</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(5)产品及生产所需装备符合中国政府规定的相应技术标准和环保标准；</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(6)没有违反政府采购法规、政策的记录；</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(7)没有发生重大经济纠纷和走私犯罪记录。</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3、提供</w:t>
      </w:r>
      <w:r>
        <w:rPr>
          <w:rFonts w:hint="eastAsia" w:ascii="宋体" w:hAnsi="宋体" w:cs="宋体"/>
          <w:color w:val="auto"/>
          <w:kern w:val="44"/>
          <w:szCs w:val="21"/>
          <w:highlight w:val="none"/>
        </w:rPr>
        <w:t>编制和提交投标文件须知</w:t>
      </w:r>
      <w:r>
        <w:rPr>
          <w:rFonts w:hint="eastAsia" w:ascii="宋体" w:hAnsi="宋体" w:cs="宋体"/>
          <w:color w:val="auto"/>
          <w:szCs w:val="21"/>
          <w:highlight w:val="none"/>
        </w:rPr>
        <w:t>规定的全部投标文件。具体内容为：</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44"/>
          <w:szCs w:val="21"/>
          <w:highlight w:val="none"/>
        </w:rPr>
        <w:t>编制和提交投标文件须知</w:t>
      </w:r>
      <w:r>
        <w:rPr>
          <w:rFonts w:hint="eastAsia" w:ascii="宋体" w:hAnsi="宋体" w:cs="宋体"/>
          <w:color w:val="auto"/>
          <w:szCs w:val="21"/>
          <w:highlight w:val="none"/>
        </w:rPr>
        <w:t>要求投标人提交的全部文件；</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(2)保证忠实地执行双方所签订的合同，并承担合同规定的责任和义务；</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(3)保证遵守招标文件中的其他有关规定。</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4、我方完全理解贵方不一定要接受最低价的投标。</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5、我方愿意向贵方提供任何与该项投标有关的数据、情况和技术资料。若贵方需要，我方愿意提供我方作出的一切承诺的证明材料。</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6、我方已详细审核全部招标文件，包括招标文件修改书(如果有)、参考资料及有关附件，确认无误。</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（1)提供虚假材料谋取中标、成交的；</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（2)采取不正当手段诋毁、排挤其他供应商的；</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（3)与采购人、其它供应商或者采购代理机构恶意串通的；</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（4)向采购人、采购代理机构行贿或者提供其他不正当利益的；</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（5)在招标采购过程中与采购人进行协商谈判的；</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（6)拒绝有关部门监督检查或提供虚假情况的。</w:t>
      </w:r>
    </w:p>
    <w:p>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供应商有前款第（1)至（5)项情形之一的，中标、成交无效。</w:t>
      </w:r>
    </w:p>
    <w:p>
      <w:pPr>
        <w:adjustRightInd w:val="0"/>
        <w:snapToGrid w:val="0"/>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法定代表人或授权代表人（签字或盖章）：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rPr>
        <w:tab/>
      </w:r>
    </w:p>
    <w:p>
      <w:pPr>
        <w:adjustRightInd w:val="0"/>
        <w:snapToGrid w:val="0"/>
        <w:spacing w:line="312" w:lineRule="auto"/>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 xml:space="preserve">投标人（盖 章）：  </w:t>
      </w:r>
      <w:r>
        <w:rPr>
          <w:rFonts w:hint="eastAsia" w:ascii="宋体" w:hAnsi="宋体" w:cs="宋体"/>
          <w:color w:val="auto"/>
          <w:kern w:val="0"/>
          <w:szCs w:val="21"/>
          <w:highlight w:val="none"/>
          <w:u w:val="single"/>
          <w:lang w:val="zh-CN"/>
        </w:rPr>
        <w:t xml:space="preserve">                                           </w:t>
      </w:r>
    </w:p>
    <w:p>
      <w:pPr>
        <w:adjustRightInd w:val="0"/>
        <w:snapToGrid w:val="0"/>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联系人：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联系电话： </w:t>
      </w:r>
      <w:r>
        <w:rPr>
          <w:rFonts w:hint="eastAsia" w:ascii="宋体" w:hAnsi="宋体" w:cs="宋体"/>
          <w:color w:val="auto"/>
          <w:kern w:val="0"/>
          <w:szCs w:val="21"/>
          <w:highlight w:val="none"/>
          <w:u w:val="single"/>
          <w:lang w:val="zh-CN"/>
        </w:rPr>
        <w:t xml:space="preserve">                   </w:t>
      </w:r>
    </w:p>
    <w:p>
      <w:pPr>
        <w:adjustRightInd w:val="0"/>
        <w:snapToGrid w:val="0"/>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联系地址：</w:t>
      </w:r>
      <w:r>
        <w:rPr>
          <w:rFonts w:hint="eastAsia" w:ascii="宋体" w:hAnsi="宋体" w:cs="宋体"/>
          <w:color w:val="auto"/>
          <w:kern w:val="0"/>
          <w:szCs w:val="21"/>
          <w:highlight w:val="none"/>
          <w:u w:val="single"/>
          <w:lang w:val="zh-CN"/>
        </w:rPr>
        <w:t xml:space="preserve">                                                    </w:t>
      </w:r>
    </w:p>
    <w:p>
      <w:pPr>
        <w:adjustRightInd w:val="0"/>
        <w:snapToGrid w:val="0"/>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邮政编码：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传真号码：</w:t>
      </w:r>
      <w:r>
        <w:rPr>
          <w:rFonts w:hint="eastAsia" w:ascii="宋体" w:hAnsi="宋体" w:cs="宋体"/>
          <w:color w:val="auto"/>
          <w:kern w:val="0"/>
          <w:szCs w:val="21"/>
          <w:highlight w:val="none"/>
          <w:u w:val="single"/>
          <w:lang w:val="zh-CN"/>
        </w:rPr>
        <w:t xml:space="preserve">                     </w:t>
      </w:r>
    </w:p>
    <w:p>
      <w:pPr>
        <w:adjustRightInd w:val="0"/>
        <w:snapToGrid w:val="0"/>
        <w:spacing w:line="312"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zh-CN"/>
        </w:rPr>
        <w:t>日</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日</w:t>
      </w:r>
    </w:p>
    <w:p>
      <w:pPr>
        <w:adjustRightInd w:val="0"/>
        <w:snapToGrid w:val="0"/>
        <w:spacing w:line="312" w:lineRule="auto"/>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注：未按照本投标响应函要求填报的将被视为非实质性响应投标，从而可能导致该投标被拒绝。</w:t>
      </w:r>
    </w:p>
    <w:p>
      <w:pPr>
        <w:pStyle w:val="6"/>
        <w:spacing w:line="312"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bookmarkStart w:id="59" w:name="_Toc19306"/>
      <w:bookmarkStart w:id="60" w:name="_Toc10005"/>
      <w:r>
        <w:rPr>
          <w:rFonts w:hint="eastAsia" w:ascii="黑体" w:hAnsi="黑体" w:eastAsia="黑体" w:cs="Times New Roman"/>
          <w:b w:val="0"/>
          <w:bCs/>
          <w:color w:val="auto"/>
          <w:kern w:val="2"/>
          <w:sz w:val="28"/>
          <w:szCs w:val="28"/>
          <w:highlight w:val="none"/>
          <w:lang w:val="en-US" w:eastAsia="zh-CN" w:bidi="ar-SA"/>
        </w:rPr>
        <w:t>7、报价一览表</w:t>
      </w:r>
      <w:bookmarkEnd w:id="59"/>
      <w:bookmarkEnd w:id="60"/>
    </w:p>
    <w:p>
      <w:pPr>
        <w:adjustRightInd w:val="0"/>
        <w:snapToGrid w:val="0"/>
        <w:spacing w:line="312" w:lineRule="auto"/>
        <w:rPr>
          <w:rFonts w:hint="eastAsia" w:ascii="宋体" w:hAnsi="宋体" w:cs="宋体"/>
          <w:color w:val="auto"/>
          <w:kern w:val="0"/>
          <w:szCs w:val="21"/>
          <w:highlight w:val="none"/>
        </w:rPr>
      </w:pPr>
      <w:r>
        <w:rPr>
          <w:rFonts w:hint="eastAsia" w:ascii="宋体" w:hAnsi="宋体" w:cs="宋体"/>
          <w:color w:val="auto"/>
          <w:szCs w:val="21"/>
          <w:highlight w:val="none"/>
          <w:lang w:eastAsia="zh-CN"/>
        </w:rPr>
        <w:t>衢州市寺桥水库开发建设有限公司</w:t>
      </w:r>
      <w:r>
        <w:rPr>
          <w:rFonts w:hint="eastAsia" w:ascii="宋体" w:hAnsi="宋体" w:cs="宋体"/>
          <w:color w:val="auto"/>
          <w:kern w:val="0"/>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文件，我方承诺按照如下开标一览表的价格完成项目编号（ZZCG2020045）的招标文件[项目名称：衢州市寺桥水库开发建设有限公司</w:t>
      </w:r>
      <w:r>
        <w:rPr>
          <w:rFonts w:hint="eastAsia" w:ascii="宋体" w:hAnsi="宋体" w:cs="宋体"/>
          <w:color w:val="auto"/>
          <w:szCs w:val="21"/>
          <w:highlight w:val="none"/>
          <w:lang w:eastAsia="zh-CN"/>
        </w:rPr>
        <w:t>砂石料代加工服务</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的实施。</w:t>
      </w:r>
    </w:p>
    <w:p>
      <w:pPr>
        <w:pStyle w:val="2"/>
        <w:rPr>
          <w:rFonts w:hint="eastAsia" w:ascii="宋体" w:hAnsi="宋体" w:cs="宋体"/>
          <w:color w:val="auto"/>
          <w:kern w:val="0"/>
          <w:szCs w:val="21"/>
          <w:highlight w:val="none"/>
          <w:lang w:val="zh-CN"/>
        </w:rPr>
      </w:pPr>
    </w:p>
    <w:tbl>
      <w:tblPr>
        <w:tblStyle w:val="23"/>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014"/>
        <w:gridCol w:w="1527"/>
        <w:gridCol w:w="1886"/>
        <w:gridCol w:w="123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4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产品名称</w:t>
            </w:r>
          </w:p>
        </w:tc>
        <w:tc>
          <w:tcPr>
            <w:tcW w:w="201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hint="eastAsia" w:ascii="Arial" w:hAnsi="宋体" w:cs="Arial"/>
                <w:color w:val="auto"/>
                <w:szCs w:val="21"/>
                <w:highlight w:val="none"/>
              </w:rPr>
              <w:t>规格</w:t>
            </w: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计划数量（吨）</w:t>
            </w: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hint="eastAsia" w:ascii="Arial" w:hAnsi="宋体" w:cs="Arial"/>
                <w:color w:val="auto"/>
                <w:szCs w:val="21"/>
                <w:highlight w:val="none"/>
                <w:lang w:eastAsia="zh-CN"/>
              </w:rPr>
              <w:t>出</w:t>
            </w:r>
            <w:r>
              <w:rPr>
                <w:rFonts w:ascii="Arial" w:hAnsi="宋体" w:cs="Arial"/>
                <w:color w:val="auto"/>
                <w:szCs w:val="21"/>
                <w:highlight w:val="none"/>
              </w:rPr>
              <w:t>场单价</w:t>
            </w:r>
            <w:r>
              <w:rPr>
                <w:rFonts w:ascii="Arial" w:hAnsi="Arial" w:cs="Arial"/>
                <w:color w:val="auto"/>
                <w:szCs w:val="21"/>
                <w:highlight w:val="none"/>
              </w:rPr>
              <w:t>(</w:t>
            </w:r>
            <w:r>
              <w:rPr>
                <w:rFonts w:ascii="Arial" w:hAnsi="宋体" w:cs="Arial"/>
                <w:color w:val="auto"/>
                <w:szCs w:val="21"/>
                <w:highlight w:val="none"/>
              </w:rPr>
              <w:t>元</w:t>
            </w:r>
            <w:r>
              <w:rPr>
                <w:rFonts w:ascii="Arial" w:hAnsi="Arial" w:cs="Arial"/>
                <w:color w:val="auto"/>
                <w:szCs w:val="21"/>
                <w:highlight w:val="none"/>
              </w:rPr>
              <w:t>/</w:t>
            </w:r>
            <w:r>
              <w:rPr>
                <w:rFonts w:ascii="Arial" w:hAnsi="宋体" w:cs="Arial"/>
                <w:color w:val="auto"/>
                <w:szCs w:val="21"/>
                <w:highlight w:val="none"/>
              </w:rPr>
              <w:t>吨</w:t>
            </w:r>
            <w:r>
              <w:rPr>
                <w:rFonts w:ascii="Arial" w:hAnsi="Arial" w:cs="Arial"/>
                <w:color w:val="auto"/>
                <w:szCs w:val="21"/>
                <w:highlight w:val="none"/>
              </w:rPr>
              <w:t>)</w:t>
            </w: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金额（元）</w:t>
            </w: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4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Arial" w:hAnsi="Arial" w:cs="Arial"/>
                <w:color w:val="auto"/>
                <w:szCs w:val="21"/>
                <w:highlight w:val="none"/>
              </w:rPr>
            </w:pPr>
          </w:p>
        </w:tc>
        <w:tc>
          <w:tcPr>
            <w:tcW w:w="201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宋体" w:cs="Arial"/>
                <w:color w:val="auto"/>
                <w:kern w:val="0"/>
                <w:sz w:val="22"/>
                <w:szCs w:val="22"/>
                <w:highlight w:val="none"/>
              </w:rPr>
            </w:pP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4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Arial" w:hAnsi="宋体" w:cs="Arial"/>
                <w:color w:val="auto"/>
                <w:kern w:val="0"/>
                <w:sz w:val="22"/>
                <w:szCs w:val="22"/>
                <w:highlight w:val="none"/>
              </w:rPr>
            </w:pPr>
          </w:p>
        </w:tc>
        <w:tc>
          <w:tcPr>
            <w:tcW w:w="201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宋体" w:cs="Arial"/>
                <w:color w:val="auto"/>
                <w:kern w:val="0"/>
                <w:sz w:val="22"/>
                <w:szCs w:val="22"/>
                <w:highlight w:val="none"/>
              </w:rPr>
            </w:pP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4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Arial" w:hAnsi="宋体" w:cs="Arial"/>
                <w:color w:val="auto"/>
                <w:kern w:val="0"/>
                <w:sz w:val="22"/>
                <w:szCs w:val="22"/>
                <w:highlight w:val="none"/>
              </w:rPr>
            </w:pPr>
          </w:p>
        </w:tc>
        <w:tc>
          <w:tcPr>
            <w:tcW w:w="2014"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宋体" w:cs="Arial"/>
                <w:color w:val="auto"/>
                <w:kern w:val="0"/>
                <w:sz w:val="22"/>
                <w:szCs w:val="22"/>
                <w:highlight w:val="none"/>
              </w:rPr>
            </w:pP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54" w:type="dxa"/>
            <w:gridSpan w:val="2"/>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r>
              <w:rPr>
                <w:rFonts w:ascii="Arial" w:hAnsi="宋体" w:cs="Arial"/>
                <w:color w:val="auto"/>
                <w:szCs w:val="21"/>
                <w:highlight w:val="none"/>
              </w:rPr>
              <w:t>合</w:t>
            </w:r>
            <w:r>
              <w:rPr>
                <w:rFonts w:ascii="Arial" w:hAnsi="Arial" w:cs="Arial"/>
                <w:color w:val="auto"/>
                <w:szCs w:val="21"/>
                <w:highlight w:val="none"/>
              </w:rPr>
              <w:t xml:space="preserve">    </w:t>
            </w:r>
            <w:r>
              <w:rPr>
                <w:rFonts w:ascii="Arial" w:hAnsi="宋体" w:cs="Arial"/>
                <w:color w:val="auto"/>
                <w:szCs w:val="21"/>
                <w:highlight w:val="none"/>
              </w:rPr>
              <w:t>计</w:t>
            </w:r>
          </w:p>
        </w:tc>
        <w:tc>
          <w:tcPr>
            <w:tcW w:w="152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88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123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c>
          <w:tcPr>
            <w:tcW w:w="89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Arial" w:hAnsi="Arial" w:cs="Arial"/>
                <w:color w:val="auto"/>
                <w:szCs w:val="21"/>
                <w:highlight w:val="none"/>
              </w:rPr>
            </w:pPr>
          </w:p>
        </w:tc>
      </w:tr>
    </w:tbl>
    <w:p>
      <w:pPr>
        <w:rPr>
          <w:rFonts w:hint="eastAsia" w:ascii="宋体" w:hAnsi="宋体" w:cs="宋体"/>
          <w:color w:val="auto"/>
          <w:kern w:val="0"/>
          <w:szCs w:val="21"/>
          <w:highlight w:val="none"/>
          <w:lang w:val="zh-CN"/>
        </w:rPr>
      </w:pPr>
    </w:p>
    <w:p>
      <w:pPr>
        <w:pStyle w:val="2"/>
        <w:rPr>
          <w:rFonts w:hint="eastAsia"/>
          <w:color w:val="auto"/>
          <w:highlight w:val="none"/>
          <w:lang w:val="zh-CN"/>
        </w:rPr>
      </w:pPr>
    </w:p>
    <w:p>
      <w:pPr>
        <w:adjustRightInd w:val="0"/>
        <w:snapToGrid w:val="0"/>
        <w:spacing w:line="312"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注：投本投标文件及其所附文件涵盖了我方要约的全部内容</w:t>
      </w:r>
    </w:p>
    <w:p>
      <w:pPr>
        <w:spacing w:line="312" w:lineRule="auto"/>
        <w:ind w:firstLine="3150" w:firstLineChars="1500"/>
        <w:rPr>
          <w:rFonts w:hint="eastAsia" w:ascii="宋体" w:hAnsi="宋体" w:cs="宋体"/>
          <w:color w:val="auto"/>
          <w:szCs w:val="21"/>
          <w:highlight w:val="none"/>
        </w:rPr>
      </w:pPr>
    </w:p>
    <w:p>
      <w:pPr>
        <w:pStyle w:val="45"/>
        <w:spacing w:line="500" w:lineRule="exact"/>
        <w:ind w:firstLine="2940" w:firstLineChars="14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（盖章）</w:t>
      </w:r>
    </w:p>
    <w:p>
      <w:pPr>
        <w:pStyle w:val="45"/>
        <w:spacing w:line="500" w:lineRule="exact"/>
        <w:ind w:firstLine="2940" w:firstLineChars="1400"/>
        <w:rPr>
          <w:rFonts w:ascii="宋体" w:hAnsi="宋体"/>
          <w:color w:val="auto"/>
          <w:highlight w:val="none"/>
        </w:rPr>
      </w:pPr>
      <w:r>
        <w:rPr>
          <w:rFonts w:hint="eastAsia" w:ascii="宋体" w:hAnsi="宋体" w:eastAsia="宋体" w:cs="宋体"/>
          <w:color w:val="auto"/>
          <w:sz w:val="21"/>
          <w:szCs w:val="21"/>
          <w:highlight w:val="none"/>
        </w:rPr>
        <w:t>法定代表人或授权代表</w:t>
      </w:r>
      <w:r>
        <w:rPr>
          <w:rFonts w:hint="eastAsia" w:ascii="宋体" w:hAnsi="宋体" w:eastAsia="宋体" w:cs="宋体"/>
          <w:color w:val="auto"/>
          <w:sz w:val="21"/>
          <w:szCs w:val="21"/>
          <w:highlight w:val="none"/>
          <w:u w:val="none"/>
        </w:rPr>
        <w:t>人</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（签字或盖章）</w:t>
      </w:r>
    </w:p>
    <w:p>
      <w:pPr>
        <w:spacing w:line="312" w:lineRule="auto"/>
        <w:ind w:firstLine="420" w:firstLineChars="200"/>
        <w:rPr>
          <w:rFonts w:hint="eastAsia" w:ascii="宋体" w:hAnsi="宋体" w:cs="宋体"/>
          <w:color w:val="auto"/>
          <w:szCs w:val="21"/>
          <w:highlight w:val="none"/>
        </w:rPr>
      </w:pPr>
    </w:p>
    <w:p>
      <w:pPr>
        <w:spacing w:line="312"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日期：    年   月   日</w:t>
      </w:r>
      <w:bookmarkStart w:id="61" w:name="_Toc16097"/>
    </w:p>
    <w:p>
      <w:pPr>
        <w:spacing w:line="312" w:lineRule="auto"/>
        <w:jc w:val="center"/>
        <w:rPr>
          <w:rFonts w:hint="eastAsia" w:ascii="宋体" w:hAnsi="宋体" w:cs="宋体"/>
          <w:color w:val="auto"/>
          <w:szCs w:val="21"/>
          <w:highlight w:val="none"/>
        </w:rPr>
      </w:pPr>
    </w:p>
    <w:p>
      <w:pPr>
        <w:spacing w:line="312" w:lineRule="auto"/>
        <w:jc w:val="center"/>
        <w:rPr>
          <w:rFonts w:hint="eastAsia" w:ascii="宋体" w:hAnsi="宋体" w:cs="宋体"/>
          <w:color w:val="auto"/>
          <w:szCs w:val="21"/>
          <w:highlight w:val="none"/>
        </w:rPr>
      </w:pPr>
    </w:p>
    <w:p>
      <w:pPr>
        <w:spacing w:line="312" w:lineRule="auto"/>
        <w:jc w:val="center"/>
        <w:rPr>
          <w:rFonts w:hint="eastAsia" w:ascii="宋体" w:hAnsi="宋体" w:cs="宋体"/>
          <w:color w:val="auto"/>
          <w:szCs w:val="21"/>
          <w:highlight w:val="none"/>
        </w:rPr>
      </w:pPr>
    </w:p>
    <w:p>
      <w:pPr>
        <w:spacing w:line="312" w:lineRule="auto"/>
        <w:jc w:val="center"/>
        <w:rPr>
          <w:rFonts w:hint="eastAsia" w:ascii="宋体" w:hAnsi="宋体" w:cs="宋体"/>
          <w:color w:val="auto"/>
          <w:szCs w:val="21"/>
          <w:highlight w:val="none"/>
        </w:rPr>
      </w:pPr>
    </w:p>
    <w:p>
      <w:pPr>
        <w:spacing w:line="312" w:lineRule="auto"/>
        <w:jc w:val="center"/>
        <w:rPr>
          <w:rFonts w:hint="eastAsia" w:ascii="宋体" w:hAnsi="宋体" w:cs="宋体"/>
          <w:color w:val="auto"/>
          <w:szCs w:val="21"/>
          <w:highlight w:val="none"/>
        </w:rPr>
      </w:pPr>
    </w:p>
    <w:p>
      <w:pPr>
        <w:spacing w:line="312" w:lineRule="auto"/>
        <w:jc w:val="center"/>
        <w:rPr>
          <w:rFonts w:hint="eastAsia" w:ascii="宋体" w:hAnsi="宋体" w:cs="宋体"/>
          <w:color w:val="auto"/>
          <w:szCs w:val="21"/>
          <w:highlight w:val="none"/>
        </w:rPr>
      </w:pPr>
    </w:p>
    <w:p>
      <w:pPr>
        <w:spacing w:line="312" w:lineRule="auto"/>
        <w:jc w:val="center"/>
        <w:rPr>
          <w:rFonts w:hint="eastAsia" w:ascii="宋体" w:hAnsi="宋体" w:cs="宋体"/>
          <w:color w:val="auto"/>
          <w:szCs w:val="21"/>
          <w:highlight w:val="none"/>
        </w:rPr>
      </w:pPr>
    </w:p>
    <w:p>
      <w:pPr>
        <w:spacing w:line="312" w:lineRule="auto"/>
        <w:jc w:val="center"/>
        <w:rPr>
          <w:rFonts w:hint="eastAsia" w:ascii="宋体" w:hAnsi="宋体" w:cs="宋体"/>
          <w:color w:val="auto"/>
          <w:szCs w:val="21"/>
          <w:highlight w:val="none"/>
        </w:rPr>
      </w:pPr>
    </w:p>
    <w:p>
      <w:pPr>
        <w:spacing w:line="312" w:lineRule="auto"/>
        <w:jc w:val="center"/>
        <w:rPr>
          <w:rFonts w:hint="eastAsia" w:ascii="宋体" w:hAnsi="宋体" w:cs="宋体"/>
          <w:b/>
          <w:bCs/>
          <w:color w:val="auto"/>
          <w:szCs w:val="21"/>
          <w:highlight w:val="none"/>
        </w:rPr>
      </w:pPr>
    </w:p>
    <w:p>
      <w:pPr>
        <w:spacing w:line="312" w:lineRule="auto"/>
        <w:jc w:val="center"/>
        <w:rPr>
          <w:rFonts w:hint="eastAsia" w:ascii="宋体" w:hAnsi="宋体" w:cs="宋体"/>
          <w:b/>
          <w:bCs/>
          <w:color w:val="auto"/>
          <w:szCs w:val="21"/>
          <w:highlight w:val="none"/>
        </w:rPr>
      </w:pPr>
    </w:p>
    <w:p>
      <w:pPr>
        <w:spacing w:line="312" w:lineRule="auto"/>
        <w:jc w:val="center"/>
        <w:rPr>
          <w:rFonts w:hint="eastAsia" w:ascii="宋体" w:hAnsi="宋体" w:cs="宋体"/>
          <w:b/>
          <w:bCs/>
          <w:color w:val="auto"/>
          <w:szCs w:val="21"/>
          <w:highlight w:val="none"/>
        </w:rPr>
      </w:pPr>
    </w:p>
    <w:p>
      <w:pPr>
        <w:spacing w:line="312" w:lineRule="auto"/>
        <w:jc w:val="center"/>
        <w:rPr>
          <w:rFonts w:hint="eastAsia" w:ascii="宋体" w:hAnsi="宋体" w:cs="宋体"/>
          <w:b/>
          <w:bCs/>
          <w:color w:val="auto"/>
          <w:szCs w:val="21"/>
          <w:highlight w:val="none"/>
        </w:rPr>
      </w:pPr>
    </w:p>
    <w:bookmarkEnd w:id="61"/>
    <w:p>
      <w:pPr>
        <w:autoSpaceDE w:val="0"/>
        <w:autoSpaceDN w:val="0"/>
        <w:adjustRightInd w:val="0"/>
        <w:spacing w:line="312" w:lineRule="auto"/>
        <w:jc w:val="center"/>
        <w:outlineLvl w:val="0"/>
        <w:rPr>
          <w:rFonts w:hint="eastAsia" w:ascii="宋体" w:hAnsi="宋体" w:cs="宋体"/>
          <w:b/>
          <w:bCs/>
          <w:color w:val="auto"/>
          <w:szCs w:val="21"/>
          <w:highlight w:val="none"/>
          <w:lang w:val="zh-CN"/>
        </w:rPr>
      </w:pPr>
      <w:bookmarkStart w:id="62" w:name="_Toc24650"/>
      <w:r>
        <w:rPr>
          <w:rFonts w:hint="eastAsia" w:ascii="宋体" w:hAnsi="宋体" w:cs="宋体"/>
          <w:b/>
          <w:bCs/>
          <w:color w:val="auto"/>
          <w:szCs w:val="21"/>
          <w:highlight w:val="none"/>
          <w:lang w:val="zh-CN"/>
        </w:rPr>
        <w:br w:type="page"/>
      </w:r>
      <w:r>
        <w:rPr>
          <w:rFonts w:hint="eastAsia" w:ascii="宋体" w:hAnsi="宋体" w:cs="宋体"/>
          <w:b/>
          <w:bCs/>
          <w:color w:val="auto"/>
          <w:szCs w:val="21"/>
          <w:highlight w:val="none"/>
          <w:lang w:val="zh-CN"/>
        </w:rPr>
        <w:t>第七部分 政府采购政策功能相关说明</w:t>
      </w:r>
      <w:bookmarkEnd w:id="62"/>
    </w:p>
    <w:p>
      <w:pPr>
        <w:spacing w:line="312" w:lineRule="auto"/>
        <w:jc w:val="left"/>
        <w:rPr>
          <w:rFonts w:hint="eastAsia" w:ascii="宋体" w:hAnsi="宋体" w:cs="宋体"/>
          <w:color w:val="auto"/>
          <w:szCs w:val="21"/>
          <w:highlight w:val="none"/>
        </w:rPr>
      </w:pPr>
    </w:p>
    <w:p>
      <w:pPr>
        <w:spacing w:line="312" w:lineRule="auto"/>
        <w:jc w:val="left"/>
        <w:outlineLvl w:val="1"/>
        <w:rPr>
          <w:rFonts w:hint="eastAsia" w:ascii="宋体" w:hAnsi="宋体" w:cs="宋体"/>
          <w:color w:val="auto"/>
          <w:szCs w:val="21"/>
          <w:highlight w:val="none"/>
        </w:rPr>
      </w:pPr>
      <w:bookmarkStart w:id="63" w:name="_Toc6437"/>
      <w:bookmarkStart w:id="64" w:name="_Toc6031"/>
      <w:r>
        <w:rPr>
          <w:rFonts w:hint="eastAsia" w:ascii="宋体" w:hAnsi="宋体" w:cs="宋体"/>
          <w:color w:val="auto"/>
          <w:szCs w:val="21"/>
          <w:highlight w:val="none"/>
        </w:rPr>
        <w:t>一、小、微企业（含监狱企业、残疾人福利性单位）扶持政策说明</w:t>
      </w:r>
      <w:bookmarkEnd w:id="63"/>
      <w:bookmarkEnd w:id="64"/>
    </w:p>
    <w:p>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1.文件依据</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1.1关于印发《政府采购促进中小企业发展暂行办法》的通知（财库[2011]181号）</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1.2浙江省财政厅转发财政部 工业和信息化部关于印发《政府采购促进中小企业发展暂行办法》的通知（浙财采监[2012]11号）</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1.3浙江省省财政厅《关于开展政府采购供应商网上注册登记和诚信管理工作的通知》（浙财采监〔2010〕8号)</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1.4《工业和信息化部、国家统计局、国家发展和改革委员会、财政部关于印发中小企业划型标准规定的通知》（工信部联企业[2011]300号）</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1.5财政部、司法部《关于政府采购支持监狱企业发展有关问题的通知》（财库〔2014〕68号）</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1.6《财政部 民政部 中国残疾人联合会关于促进残疾人就业政府采购政策的通知》（财库〔2018〕 141号）</w:t>
      </w:r>
    </w:p>
    <w:p>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2.享受小微企业价格折扣应具备的条件与价格折扣比例</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2.1符合中小企业划分标准；</w:t>
      </w:r>
      <w:r>
        <w:rPr>
          <w:rFonts w:hint="eastAsia" w:ascii="宋体" w:hAnsi="宋体" w:cs="宋体"/>
          <w:color w:val="auto"/>
          <w:szCs w:val="21"/>
          <w:highlight w:val="none"/>
        </w:rPr>
        <w:br w:type="textWrapping"/>
      </w:r>
      <w:r>
        <w:rPr>
          <w:rFonts w:hint="eastAsia" w:ascii="宋体" w:hAnsi="宋体" w:cs="宋体"/>
          <w:color w:val="auto"/>
          <w:szCs w:val="21"/>
          <w:highlight w:val="none"/>
        </w:rPr>
        <w:t>2.2提供本企业制造的货物、承担的工程或者服务，或者提供其他中小企业制造的货物。本项所称货物不包括使用大型企业注册商标的货物。</w:t>
      </w:r>
      <w:r>
        <w:rPr>
          <w:rFonts w:hint="eastAsia" w:ascii="宋体" w:hAnsi="宋体" w:cs="宋体"/>
          <w:color w:val="auto"/>
          <w:szCs w:val="21"/>
          <w:highlight w:val="none"/>
        </w:rPr>
        <w:br w:type="textWrapping"/>
      </w:r>
      <w:r>
        <w:rPr>
          <w:rFonts w:hint="eastAsia" w:ascii="宋体" w:hAnsi="宋体" w:cs="宋体"/>
          <w:color w:val="auto"/>
          <w:szCs w:val="21"/>
          <w:highlight w:val="none"/>
        </w:rPr>
        <w:t>  中小企业划分标准，是指国务院有关部门根据企业从业人员、营业收入、资产总额等指标制定的中小企业划型标准。</w:t>
      </w:r>
      <w:r>
        <w:rPr>
          <w:rFonts w:hint="eastAsia" w:ascii="宋体" w:hAnsi="宋体" w:cs="宋体"/>
          <w:color w:val="auto"/>
          <w:szCs w:val="21"/>
          <w:highlight w:val="none"/>
        </w:rPr>
        <w:br w:type="textWrapping"/>
      </w:r>
      <w:r>
        <w:rPr>
          <w:rFonts w:hint="eastAsia" w:ascii="宋体" w:hAnsi="宋体" w:cs="宋体"/>
          <w:color w:val="auto"/>
          <w:szCs w:val="21"/>
          <w:highlight w:val="none"/>
        </w:rPr>
        <w:t>  小型、微型企业提供中型企业制造的货物的，视同为中型企业。</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2.3本项目对小型和微型企业产品的价格给予6%的扣除，用扣除后的价格参与评审。</w:t>
      </w:r>
    </w:p>
    <w:p>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3.享受小微企业价格折扣应提供以下证明材料（投标文件报价文件中，缺一不可）：</w:t>
      </w: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3.1《中小企业声明函》、国家企业信用信息公示系统——小微企业名录查询记录，提供网站截图复印件（符合小微企业相关政策的投标人提供）；</w:t>
      </w: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3.2《产品适用中小企业政策情况表》（符合小微企业相关政策的投标人提供）；</w:t>
      </w:r>
    </w:p>
    <w:p>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4.享受监狱企业价格折扣应提供以下证明材料（投标文件报价文件中，不提供的不享受价格折扣）：</w:t>
      </w:r>
    </w:p>
    <w:p>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5.在政府采购活动中，残疾人福利性单位视同小型、微型企业，享受评审中价格扣除政策。享受残疾人福利性单位价格折扣应提供以下证明材料（投标文件报价文件中，不提供的不享受价格折扣）：</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5.1残疾人福利性单位声明函；</w:t>
      </w:r>
    </w:p>
    <w:p>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附件1：</w:t>
      </w:r>
    </w:p>
    <w:p>
      <w:pPr>
        <w:spacing w:line="312" w:lineRule="auto"/>
        <w:jc w:val="center"/>
        <w:outlineLvl w:val="1"/>
        <w:rPr>
          <w:rFonts w:hint="eastAsia" w:ascii="宋体" w:hAnsi="宋体" w:cs="宋体"/>
          <w:color w:val="auto"/>
          <w:szCs w:val="21"/>
          <w:highlight w:val="none"/>
        </w:rPr>
      </w:pPr>
      <w:bookmarkStart w:id="65" w:name="_Toc22203"/>
      <w:bookmarkStart w:id="66" w:name="_Toc30277"/>
      <w:r>
        <w:rPr>
          <w:rFonts w:hint="eastAsia" w:ascii="宋体" w:hAnsi="宋体" w:cs="宋体"/>
          <w:color w:val="auto"/>
          <w:szCs w:val="21"/>
          <w:highlight w:val="none"/>
        </w:rPr>
        <w:t>小微企业声明函</w:t>
      </w:r>
      <w:bookmarkEnd w:id="65"/>
      <w:bookmarkEnd w:id="66"/>
    </w:p>
    <w:p>
      <w:pPr>
        <w:spacing w:before="240" w:beforeLines="10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宋体"/>
          <w:color w:val="auto"/>
          <w:szCs w:val="21"/>
          <w:highlight w:val="none"/>
        </w:rPr>
        <w:br w:type="textWrapping"/>
      </w:r>
      <w:r>
        <w:rPr>
          <w:rFonts w:hint="eastAsia" w:ascii="宋体" w:hAnsi="宋体" w:cs="宋体"/>
          <w:color w:val="auto"/>
          <w:szCs w:val="21"/>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cs="宋体"/>
          <w:color w:val="auto"/>
          <w:szCs w:val="21"/>
          <w:highlight w:val="none"/>
        </w:rPr>
        <w:br w:type="textWrapping"/>
      </w:r>
      <w:r>
        <w:rPr>
          <w:rFonts w:hint="eastAsia" w:ascii="宋体" w:hAnsi="宋体" w:cs="宋体"/>
          <w:color w:val="auto"/>
          <w:szCs w:val="21"/>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hAnsi="宋体" w:cs="宋体"/>
          <w:color w:val="auto"/>
          <w:szCs w:val="21"/>
          <w:highlight w:val="none"/>
        </w:rPr>
        <w:br w:type="textWrapping"/>
      </w:r>
      <w:r>
        <w:rPr>
          <w:rFonts w:hint="eastAsia" w:ascii="宋体" w:hAnsi="宋体" w:cs="宋体"/>
          <w:color w:val="auto"/>
          <w:szCs w:val="21"/>
          <w:highlight w:val="none"/>
        </w:rPr>
        <w:t>    本公司对上述声明的真实性负责。如有虚假，将依法承担相应责任。</w:t>
      </w:r>
    </w:p>
    <w:p>
      <w:pPr>
        <w:spacing w:before="240" w:beforeLines="100" w:line="312" w:lineRule="auto"/>
        <w:ind w:firstLine="420" w:firstLineChars="200"/>
        <w:rPr>
          <w:rFonts w:hint="eastAsia" w:ascii="宋体" w:hAnsi="宋体" w:cs="宋体"/>
          <w:color w:val="auto"/>
          <w:szCs w:val="21"/>
          <w:highlight w:val="none"/>
        </w:rPr>
      </w:pPr>
    </w:p>
    <w:p>
      <w:pPr>
        <w:tabs>
          <w:tab w:val="left" w:pos="4860"/>
        </w:tabs>
        <w:spacing w:line="312" w:lineRule="auto"/>
        <w:ind w:right="1560" w:firstLine="3552" w:firstLineChars="1600"/>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pPr>
        <w:spacing w:before="240" w:beforeLines="100" w:line="312" w:lineRule="auto"/>
        <w:jc w:val="center"/>
        <w:outlineLvl w:val="1"/>
        <w:rPr>
          <w:rFonts w:hint="eastAsia" w:ascii="宋体" w:hAnsi="宋体" w:cs="宋体"/>
          <w:color w:val="auto"/>
          <w:szCs w:val="21"/>
          <w:highlight w:val="none"/>
        </w:rPr>
      </w:pPr>
      <w:bookmarkStart w:id="67" w:name="_Toc23044"/>
      <w:bookmarkStart w:id="68" w:name="_Toc14855"/>
      <w:r>
        <w:rPr>
          <w:rFonts w:hint="eastAsia" w:ascii="宋体" w:hAnsi="宋体" w:cs="宋体"/>
          <w:color w:val="auto"/>
          <w:spacing w:val="6"/>
          <w:szCs w:val="21"/>
          <w:highlight w:val="none"/>
        </w:rPr>
        <w:t>日  期：</w:t>
      </w:r>
      <w:bookmarkEnd w:id="67"/>
      <w:bookmarkEnd w:id="68"/>
    </w:p>
    <w:p>
      <w:pPr>
        <w:spacing w:line="312" w:lineRule="auto"/>
        <w:rPr>
          <w:rFonts w:hint="eastAsia" w:ascii="宋体" w:hAnsi="宋体" w:cs="宋体"/>
          <w:color w:val="auto"/>
          <w:szCs w:val="21"/>
          <w:highlight w:val="none"/>
        </w:rPr>
      </w:pP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注：1.本函为小微企业提供。</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2. 须提供“国家企业信用信息公示系统——小微企业名录(网址：http://xwqy.gsxt.gov.cn/)”页面查询结果，提供网站截图复印件，未提供者不能享受小微企业优惠政策。</w:t>
      </w:r>
    </w:p>
    <w:p>
      <w:pPr>
        <w:spacing w:line="312" w:lineRule="auto"/>
        <w:rPr>
          <w:rFonts w:hint="eastAsia" w:ascii="宋体" w:hAnsi="宋体" w:cs="宋体"/>
          <w:color w:val="auto"/>
          <w:szCs w:val="21"/>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pacing w:val="6"/>
          <w:sz w:val="24"/>
          <w:highlight w:val="none"/>
        </w:rPr>
      </w:pPr>
    </w:p>
    <w:p>
      <w:pPr>
        <w:pStyle w:val="35"/>
        <w:spacing w:line="312" w:lineRule="auto"/>
        <w:jc w:val="center"/>
        <w:rPr>
          <w:rFonts w:hint="eastAsia" w:ascii="宋体" w:hAnsi="宋体" w:cs="宋体"/>
          <w:b/>
          <w:color w:val="auto"/>
          <w:sz w:val="22"/>
          <w:szCs w:val="22"/>
          <w:highlight w:val="none"/>
          <w:lang w:val="en-GB"/>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4、</w:t>
      </w:r>
      <w:r>
        <w:rPr>
          <w:rFonts w:hint="eastAsia" w:ascii="宋体" w:hAnsi="宋体" w:cs="宋体"/>
          <w:b/>
          <w:color w:val="auto"/>
          <w:sz w:val="22"/>
          <w:szCs w:val="22"/>
          <w:highlight w:val="none"/>
          <w:lang w:val="en-GB"/>
        </w:rPr>
        <w:t>产品适用中小企业政策情况表</w:t>
      </w:r>
    </w:p>
    <w:p>
      <w:pPr>
        <w:pStyle w:val="35"/>
        <w:spacing w:line="312" w:lineRule="auto"/>
        <w:jc w:val="center"/>
        <w:outlineLvl w:val="2"/>
        <w:rPr>
          <w:rFonts w:hint="eastAsia" w:ascii="宋体" w:hAnsi="宋体" w:cs="宋体"/>
          <w:b/>
          <w:color w:val="auto"/>
          <w:szCs w:val="21"/>
          <w:highlight w:val="none"/>
          <w:lang w:val="en-GB"/>
        </w:rPr>
      </w:pPr>
      <w:bookmarkStart w:id="69" w:name="_Toc18128"/>
      <w:bookmarkStart w:id="70" w:name="_Toc20329"/>
      <w:r>
        <w:rPr>
          <w:rFonts w:hint="eastAsia" w:ascii="宋体" w:hAnsi="宋体" w:cs="宋体"/>
          <w:b/>
          <w:color w:val="auto"/>
          <w:szCs w:val="21"/>
          <w:highlight w:val="none"/>
          <w:lang w:val="en-GB"/>
        </w:rPr>
        <w:t>（中型企业不用填写）</w:t>
      </w:r>
      <w:bookmarkEnd w:id="69"/>
      <w:bookmarkEnd w:id="70"/>
    </w:p>
    <w:tbl>
      <w:tblPr>
        <w:tblStyle w:val="2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709"/>
        <w:gridCol w:w="2076"/>
        <w:gridCol w:w="177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restart"/>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中小企业扶持政策</w:t>
            </w:r>
          </w:p>
        </w:tc>
        <w:tc>
          <w:tcPr>
            <w:tcW w:w="8201" w:type="dxa"/>
            <w:gridSpan w:val="4"/>
            <w:vAlign w:val="center"/>
          </w:tcPr>
          <w:p>
            <w:pPr>
              <w:pStyle w:val="35"/>
              <w:tabs>
                <w:tab w:val="left" w:pos="1260"/>
              </w:tabs>
              <w:spacing w:line="312" w:lineRule="auto"/>
              <w:rPr>
                <w:rFonts w:hint="eastAsia" w:ascii="宋体" w:hAnsi="宋体" w:cs="宋体"/>
                <w:color w:val="auto"/>
                <w:szCs w:val="21"/>
                <w:highlight w:val="none"/>
                <w:lang w:val="en-GB"/>
              </w:rPr>
            </w:pPr>
            <w:r>
              <w:rPr>
                <w:rFonts w:hint="eastAsia" w:ascii="宋体" w:hAnsi="宋体" w:cs="宋体"/>
                <w:color w:val="auto"/>
                <w:szCs w:val="21"/>
                <w:highlight w:val="none"/>
                <w:lang w:val="en-GB"/>
              </w:rPr>
              <w:t>如属所列情形的，请在括号内打“√”：</w:t>
            </w:r>
          </w:p>
          <w:p>
            <w:pPr>
              <w:pStyle w:val="35"/>
              <w:tabs>
                <w:tab w:val="left" w:pos="1260"/>
              </w:tabs>
              <w:spacing w:line="312" w:lineRule="auto"/>
              <w:rPr>
                <w:rFonts w:hint="eastAsia" w:ascii="宋体" w:hAnsi="宋体" w:cs="宋体"/>
                <w:color w:val="auto"/>
                <w:szCs w:val="21"/>
                <w:highlight w:val="none"/>
              </w:rPr>
            </w:pPr>
            <w:r>
              <w:rPr>
                <w:rFonts w:hint="eastAsia" w:ascii="宋体" w:hAnsi="宋体" w:cs="宋体"/>
                <w:color w:val="auto"/>
                <w:szCs w:val="21"/>
                <w:highlight w:val="none"/>
              </w:rPr>
              <w:t>（  ）小型、微型企业投标且提供本企业制造的产品。</w:t>
            </w:r>
          </w:p>
          <w:p>
            <w:pPr>
              <w:pStyle w:val="35"/>
              <w:tabs>
                <w:tab w:val="left" w:pos="1260"/>
              </w:tabs>
              <w:spacing w:line="312" w:lineRule="auto"/>
              <w:rPr>
                <w:rFonts w:hint="eastAsia" w:ascii="宋体" w:hAnsi="宋体" w:cs="宋体"/>
                <w:color w:val="auto"/>
                <w:szCs w:val="21"/>
                <w:highlight w:val="none"/>
              </w:rPr>
            </w:pPr>
            <w:r>
              <w:rPr>
                <w:rFonts w:hint="eastAsia" w:ascii="宋体" w:hAnsi="宋体" w:cs="宋体"/>
                <w:color w:val="auto"/>
                <w:szCs w:val="21"/>
                <w:highlight w:val="none"/>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2709"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产品名称（品牌、型号）</w:t>
            </w:r>
          </w:p>
        </w:tc>
        <w:tc>
          <w:tcPr>
            <w:tcW w:w="20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77"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制造商</w:t>
            </w:r>
          </w:p>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企业类型</w:t>
            </w:r>
          </w:p>
        </w:tc>
        <w:tc>
          <w:tcPr>
            <w:tcW w:w="1639"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2709"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20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777"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639"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2709"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20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777"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639"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2709"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20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777"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639"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6562" w:type="dxa"/>
            <w:gridSpan w:val="3"/>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rPr>
              <w:t>小型、微型企业产品</w:t>
            </w:r>
            <w:r>
              <w:rPr>
                <w:rFonts w:hint="eastAsia" w:ascii="宋体" w:hAnsi="宋体" w:cs="宋体"/>
                <w:color w:val="auto"/>
                <w:szCs w:val="21"/>
                <w:highlight w:val="none"/>
                <w:lang w:val="en-GB"/>
              </w:rPr>
              <w:t>金额合计</w:t>
            </w:r>
          </w:p>
        </w:tc>
        <w:tc>
          <w:tcPr>
            <w:tcW w:w="1639"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bl>
    <w:p>
      <w:pPr>
        <w:pStyle w:val="35"/>
        <w:spacing w:line="312" w:lineRule="auto"/>
        <w:ind w:left="718" w:hanging="718" w:hangingChars="342"/>
        <w:outlineLvl w:val="2"/>
        <w:rPr>
          <w:rFonts w:hint="eastAsia" w:ascii="宋体" w:hAnsi="宋体" w:cs="宋体"/>
          <w:color w:val="auto"/>
          <w:szCs w:val="21"/>
          <w:highlight w:val="none"/>
          <w:lang w:val="en-GB"/>
        </w:rPr>
      </w:pPr>
      <w:bookmarkStart w:id="71" w:name="_Toc12607"/>
      <w:bookmarkStart w:id="72" w:name="_Toc22306"/>
      <w:r>
        <w:rPr>
          <w:rFonts w:hint="eastAsia" w:ascii="宋体" w:hAnsi="宋体" w:cs="宋体"/>
          <w:color w:val="auto"/>
          <w:szCs w:val="21"/>
          <w:highlight w:val="none"/>
          <w:lang w:val="en-GB"/>
        </w:rPr>
        <w:t>填报要求：</w:t>
      </w:r>
      <w:bookmarkEnd w:id="71"/>
      <w:bookmarkEnd w:id="72"/>
    </w:p>
    <w:p>
      <w:pPr>
        <w:pStyle w:val="35"/>
        <w:widowControl/>
        <w:numPr>
          <w:ilvl w:val="0"/>
          <w:numId w:val="24"/>
        </w:numPr>
        <w:spacing w:line="312" w:lineRule="auto"/>
        <w:ind w:right="84" w:rightChars="40"/>
        <w:jc w:val="left"/>
        <w:rPr>
          <w:rFonts w:hint="eastAsia" w:ascii="宋体" w:hAnsi="宋体" w:cs="宋体"/>
          <w:color w:val="auto"/>
          <w:szCs w:val="21"/>
          <w:highlight w:val="none"/>
          <w:lang w:val="en-GB"/>
        </w:rPr>
      </w:pPr>
      <w:r>
        <w:rPr>
          <w:rFonts w:hint="eastAsia" w:ascii="宋体" w:hAnsi="宋体" w:cs="宋体"/>
          <w:color w:val="auto"/>
          <w:szCs w:val="21"/>
          <w:highlight w:val="none"/>
          <w:lang w:val="en-GB"/>
        </w:rPr>
        <w:t>本表的产品名称、规格型号和注册商标、金额要与《报价明细表》一致。</w:t>
      </w:r>
    </w:p>
    <w:p>
      <w:pPr>
        <w:pStyle w:val="35"/>
        <w:widowControl/>
        <w:numPr>
          <w:ilvl w:val="0"/>
          <w:numId w:val="24"/>
        </w:numPr>
        <w:tabs>
          <w:tab w:val="left" w:pos="360"/>
        </w:tabs>
        <w:spacing w:line="312" w:lineRule="auto"/>
        <w:ind w:left="360" w:right="84" w:rightChars="40" w:hanging="360"/>
        <w:jc w:val="left"/>
        <w:rPr>
          <w:rFonts w:hint="eastAsia" w:ascii="宋体" w:hAnsi="宋体" w:cs="宋体"/>
          <w:color w:val="auto"/>
          <w:szCs w:val="21"/>
          <w:highlight w:val="none"/>
          <w:lang w:val="en-GB"/>
        </w:rPr>
      </w:pPr>
      <w:r>
        <w:rPr>
          <w:rFonts w:hint="eastAsia" w:ascii="宋体" w:hAnsi="宋体" w:cs="宋体"/>
          <w:color w:val="auto"/>
          <w:szCs w:val="21"/>
          <w:highlight w:val="none"/>
          <w:lang w:val="en-GB"/>
        </w:rPr>
        <w:t>制造商为小型或微型企业时才需要填“制造商企业类型”栏，填写内容为“小型”或“微型”。</w:t>
      </w:r>
    </w:p>
    <w:p>
      <w:pPr>
        <w:pStyle w:val="35"/>
        <w:widowControl/>
        <w:numPr>
          <w:ilvl w:val="0"/>
          <w:numId w:val="24"/>
        </w:numPr>
        <w:tabs>
          <w:tab w:val="left" w:pos="360"/>
        </w:tabs>
        <w:spacing w:line="312" w:lineRule="auto"/>
        <w:ind w:left="360" w:right="84" w:rightChars="40" w:hanging="360"/>
        <w:jc w:val="left"/>
        <w:rPr>
          <w:rFonts w:hint="eastAsia" w:ascii="宋体" w:hAnsi="宋体" w:cs="宋体"/>
          <w:color w:val="auto"/>
          <w:szCs w:val="21"/>
          <w:highlight w:val="none"/>
          <w:lang w:val="en-GB"/>
        </w:rPr>
      </w:pPr>
      <w:r>
        <w:rPr>
          <w:rFonts w:hint="eastAsia" w:ascii="宋体" w:hAnsi="宋体" w:cs="宋体"/>
          <w:color w:val="auto"/>
          <w:szCs w:val="21"/>
          <w:highlight w:val="none"/>
          <w:lang w:val="en-GB"/>
        </w:rPr>
        <w:t>请投标人正确填写本表，所填内容将作为评分的依据。</w:t>
      </w:r>
    </w:p>
    <w:p>
      <w:pPr>
        <w:spacing w:line="312" w:lineRule="auto"/>
        <w:rPr>
          <w:rFonts w:hint="eastAsia" w:ascii="宋体" w:hAnsi="宋体" w:cs="宋体"/>
          <w:b/>
          <w:color w:val="auto"/>
          <w:spacing w:val="6"/>
          <w:szCs w:val="21"/>
          <w:highlight w:val="none"/>
        </w:rPr>
      </w:pPr>
      <w:r>
        <w:rPr>
          <w:rFonts w:hint="eastAsia" w:ascii="宋体" w:hAnsi="宋体" w:cs="宋体"/>
          <w:color w:val="auto"/>
          <w:szCs w:val="21"/>
          <w:highlight w:val="none"/>
          <w:lang w:val="en-GB"/>
        </w:rPr>
        <w:t>4.本表内容不填写将不能享受商务报价里小微企业产品优惠政策。</w:t>
      </w:r>
    </w:p>
    <w:p>
      <w:pPr>
        <w:spacing w:line="312" w:lineRule="auto"/>
        <w:rPr>
          <w:rFonts w:hint="eastAsia" w:ascii="宋体" w:hAnsi="宋体" w:cs="宋体"/>
          <w:color w:val="auto"/>
          <w:szCs w:val="21"/>
          <w:highlight w:val="none"/>
        </w:rPr>
      </w:pPr>
    </w:p>
    <w:p>
      <w:pPr>
        <w:spacing w:line="312" w:lineRule="auto"/>
        <w:rPr>
          <w:rFonts w:hint="eastAsia" w:ascii="宋体" w:hAnsi="宋体" w:cs="宋体"/>
          <w:color w:val="auto"/>
          <w:szCs w:val="21"/>
          <w:highlight w:val="none"/>
        </w:rPr>
      </w:pPr>
    </w:p>
    <w:p>
      <w:pPr>
        <w:tabs>
          <w:tab w:val="left" w:pos="4860"/>
        </w:tabs>
        <w:spacing w:line="312" w:lineRule="auto"/>
        <w:ind w:right="1560" w:firstLine="444" w:firstLineChars="200"/>
        <w:jc w:val="center"/>
        <w:rPr>
          <w:rFonts w:hint="eastAsia" w:ascii="宋体" w:hAnsi="宋体" w:cs="宋体"/>
          <w:color w:val="auto"/>
          <w:spacing w:val="6"/>
          <w:szCs w:val="21"/>
          <w:highlight w:val="none"/>
        </w:rPr>
      </w:pPr>
    </w:p>
    <w:p>
      <w:pPr>
        <w:tabs>
          <w:tab w:val="left" w:pos="4860"/>
        </w:tabs>
        <w:spacing w:line="312" w:lineRule="auto"/>
        <w:ind w:right="1560" w:firstLine="444" w:firstLineChars="200"/>
        <w:jc w:val="center"/>
        <w:rPr>
          <w:rFonts w:hint="eastAsia" w:ascii="宋体" w:hAnsi="宋体" w:cs="宋体"/>
          <w:color w:val="auto"/>
          <w:spacing w:val="6"/>
          <w:szCs w:val="21"/>
          <w:highlight w:val="none"/>
        </w:rPr>
      </w:pPr>
    </w:p>
    <w:p>
      <w:pPr>
        <w:tabs>
          <w:tab w:val="left" w:pos="4860"/>
        </w:tabs>
        <w:spacing w:line="312" w:lineRule="auto"/>
        <w:ind w:right="1560"/>
        <w:jc w:val="left"/>
        <w:rPr>
          <w:rFonts w:hint="eastAsia" w:ascii="宋体" w:hAnsi="宋体" w:cs="宋体"/>
          <w:color w:val="auto"/>
          <w:szCs w:val="21"/>
          <w:highlight w:val="none"/>
        </w:rPr>
      </w:pPr>
      <w:r>
        <w:rPr>
          <w:rFonts w:hint="eastAsia" w:ascii="宋体" w:hAnsi="宋体" w:cs="宋体"/>
          <w:color w:val="auto"/>
          <w:szCs w:val="21"/>
          <w:highlight w:val="none"/>
        </w:rPr>
        <w:t>备注说明：</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1、如中标，将在中标公示中将此残疾人福利性单位声明函予以公示，接受社会监督；</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2、供应商提供的《残疾人福利性单位声明函》与事实不符的，依照《政府采购法》第七十七条第一款的规定追究法律责任。</w:t>
      </w: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pStyle w:val="31"/>
        <w:rPr>
          <w:rFonts w:hint="eastAsia"/>
          <w:color w:val="auto"/>
          <w:highlight w:val="none"/>
          <w:lang w:val="en-US"/>
        </w:rPr>
      </w:pPr>
    </w:p>
    <w:p>
      <w:pPr>
        <w:pStyle w:val="31"/>
        <w:rPr>
          <w:rFonts w:hint="eastAsia"/>
          <w:color w:val="auto"/>
          <w:highlight w:val="none"/>
          <w:lang w:val="en-US"/>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5、监狱和戒毒企业证明材料</w:t>
      </w:r>
    </w:p>
    <w:p>
      <w:pPr>
        <w:pStyle w:val="35"/>
        <w:spacing w:line="312" w:lineRule="auto"/>
        <w:jc w:val="center"/>
        <w:rPr>
          <w:rFonts w:hint="eastAsia" w:ascii="宋体" w:hAnsi="宋体" w:cs="宋体"/>
          <w:b/>
          <w:color w:val="auto"/>
          <w:szCs w:val="21"/>
          <w:highlight w:val="none"/>
          <w:lang w:val="en-GB"/>
        </w:rPr>
      </w:pPr>
    </w:p>
    <w:p>
      <w:pPr>
        <w:snapToGrid w:val="0"/>
        <w:spacing w:line="312" w:lineRule="auto"/>
        <w:ind w:firstLine="420" w:firstLineChars="200"/>
        <w:rPr>
          <w:rFonts w:hint="eastAsia" w:ascii="宋体" w:hAnsi="宋体" w:cs="宋体"/>
          <w:color w:val="auto"/>
          <w:szCs w:val="21"/>
          <w:highlight w:val="none"/>
        </w:rPr>
        <w:sectPr>
          <w:footerReference r:id="rId4" w:type="default"/>
          <w:pgSz w:w="11906" w:h="16838"/>
          <w:pgMar w:top="1389" w:right="1247" w:bottom="1389" w:left="1247" w:header="851" w:footer="992" w:gutter="284"/>
          <w:pgNumType w:fmt="decimal"/>
          <w:cols w:space="720" w:num="1"/>
          <w:docGrid w:linePitch="312" w:charSpace="0"/>
        </w:sectPr>
      </w:pPr>
      <w:r>
        <w:rPr>
          <w:rFonts w:hint="eastAsia" w:ascii="宋体" w:hAnsi="宋体" w:cs="宋体"/>
          <w:color w:val="auto"/>
          <w:szCs w:val="21"/>
          <w:highlight w:val="none"/>
        </w:rPr>
        <w:t>监狱和戒毒企业参加投标时应提供由省级以上监狱管理局、戒毒管理局（含新疆生产建设兵团）出具的属于监狱企业的证明文件。</w:t>
      </w:r>
    </w:p>
    <w:p>
      <w:pPr>
        <w:pStyle w:val="35"/>
        <w:spacing w:line="312" w:lineRule="auto"/>
        <w:jc w:val="center"/>
        <w:rPr>
          <w:rFonts w:hint="eastAsia" w:ascii="宋体" w:hAnsi="宋体" w:cs="宋体"/>
          <w:b/>
          <w:color w:val="auto"/>
          <w:szCs w:val="21"/>
          <w:highlight w:val="none"/>
          <w:lang w:val="en-GB"/>
        </w:rPr>
      </w:pPr>
      <w:r>
        <w:rPr>
          <w:rFonts w:hint="eastAsia" w:ascii="宋体" w:hAnsi="宋体" w:cs="宋体"/>
          <w:b/>
          <w:color w:val="auto"/>
          <w:spacing w:val="6"/>
          <w:szCs w:val="21"/>
          <w:highlight w:val="none"/>
        </w:rPr>
        <w:t>6、</w:t>
      </w:r>
      <w:r>
        <w:rPr>
          <w:rFonts w:hint="eastAsia" w:ascii="宋体" w:hAnsi="宋体" w:cs="宋体"/>
          <w:b/>
          <w:color w:val="auto"/>
          <w:szCs w:val="21"/>
          <w:highlight w:val="none"/>
          <w:lang w:val="en-GB"/>
        </w:rPr>
        <w:t>产品适用</w:t>
      </w:r>
      <w:r>
        <w:rPr>
          <w:rFonts w:hint="eastAsia" w:ascii="宋体" w:hAnsi="宋体" w:cs="宋体"/>
          <w:b/>
          <w:color w:val="auto"/>
          <w:szCs w:val="21"/>
          <w:highlight w:val="none"/>
        </w:rPr>
        <w:t>监狱和戒毒企业</w:t>
      </w:r>
      <w:r>
        <w:rPr>
          <w:rFonts w:hint="eastAsia" w:ascii="宋体" w:hAnsi="宋体" w:cs="宋体"/>
          <w:b/>
          <w:color w:val="auto"/>
          <w:szCs w:val="21"/>
          <w:highlight w:val="none"/>
          <w:lang w:val="en-GB"/>
        </w:rPr>
        <w:t>政策情况表</w:t>
      </w:r>
    </w:p>
    <w:p>
      <w:pPr>
        <w:pStyle w:val="35"/>
        <w:spacing w:line="312" w:lineRule="auto"/>
        <w:jc w:val="center"/>
        <w:rPr>
          <w:rFonts w:hint="eastAsia" w:ascii="宋体" w:hAnsi="宋体" w:cs="宋体"/>
          <w:b/>
          <w:color w:val="auto"/>
          <w:szCs w:val="21"/>
          <w:highlight w:val="none"/>
          <w:lang w:val="en-GB"/>
        </w:rPr>
      </w:pPr>
    </w:p>
    <w:tbl>
      <w:tblPr>
        <w:tblStyle w:val="2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rPr>
              <w:t>监狱和戒毒企业</w:t>
            </w:r>
            <w:r>
              <w:rPr>
                <w:rFonts w:hint="eastAsia" w:ascii="宋体" w:hAnsi="宋体" w:cs="宋体"/>
                <w:color w:val="auto"/>
                <w:szCs w:val="21"/>
                <w:highlight w:val="none"/>
                <w:lang w:val="en-GB"/>
              </w:rPr>
              <w:t>扶持政策</w:t>
            </w:r>
          </w:p>
        </w:tc>
        <w:tc>
          <w:tcPr>
            <w:tcW w:w="55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产品名称（品牌、型号）</w:t>
            </w: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数量</w:t>
            </w: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55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top"/>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55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top"/>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55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top"/>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6968" w:type="dxa"/>
            <w:gridSpan w:val="2"/>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rPr>
              <w:t>监狱和戒毒企业产品</w:t>
            </w:r>
            <w:r>
              <w:rPr>
                <w:rFonts w:hint="eastAsia" w:ascii="宋体" w:hAnsi="宋体" w:cs="宋体"/>
                <w:color w:val="auto"/>
                <w:szCs w:val="21"/>
                <w:highlight w:val="none"/>
                <w:lang w:val="en-GB"/>
              </w:rPr>
              <w:t>金额合计</w:t>
            </w: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bl>
    <w:p>
      <w:pPr>
        <w:pStyle w:val="35"/>
        <w:spacing w:line="312" w:lineRule="auto"/>
        <w:ind w:left="718" w:hanging="718" w:hangingChars="342"/>
        <w:rPr>
          <w:rFonts w:hint="eastAsia" w:ascii="宋体" w:hAnsi="宋体" w:cs="宋体"/>
          <w:color w:val="auto"/>
          <w:szCs w:val="21"/>
          <w:highlight w:val="none"/>
          <w:lang w:val="en-GB"/>
        </w:rPr>
      </w:pPr>
      <w:r>
        <w:rPr>
          <w:rFonts w:hint="eastAsia" w:ascii="宋体" w:hAnsi="宋体" w:cs="宋体"/>
          <w:color w:val="auto"/>
          <w:szCs w:val="21"/>
          <w:highlight w:val="none"/>
          <w:lang w:val="en-GB"/>
        </w:rPr>
        <w:t>填报要求：</w:t>
      </w:r>
    </w:p>
    <w:p>
      <w:pPr>
        <w:pStyle w:val="35"/>
        <w:widowControl/>
        <w:spacing w:line="312" w:lineRule="auto"/>
        <w:ind w:left="540" w:right="84" w:rightChars="40"/>
        <w:jc w:val="left"/>
        <w:rPr>
          <w:rFonts w:hint="eastAsia" w:ascii="宋体" w:hAnsi="宋体" w:cs="宋体"/>
          <w:color w:val="auto"/>
          <w:szCs w:val="21"/>
          <w:highlight w:val="none"/>
          <w:lang w:val="en-GB"/>
        </w:rPr>
      </w:pPr>
      <w:r>
        <w:rPr>
          <w:rFonts w:hint="eastAsia" w:ascii="宋体" w:hAnsi="宋体" w:cs="宋体"/>
          <w:color w:val="auto"/>
          <w:szCs w:val="21"/>
          <w:highlight w:val="none"/>
        </w:rPr>
        <w:t>1.</w:t>
      </w:r>
      <w:r>
        <w:rPr>
          <w:rFonts w:hint="eastAsia" w:ascii="宋体" w:hAnsi="宋体" w:cs="宋体"/>
          <w:color w:val="auto"/>
          <w:szCs w:val="21"/>
          <w:highlight w:val="none"/>
          <w:lang w:val="en-GB"/>
        </w:rPr>
        <w:t>本表的产品名称、规格型号和注册商标、金额要与《报价明细表》一致。</w:t>
      </w:r>
    </w:p>
    <w:p>
      <w:pPr>
        <w:pStyle w:val="35"/>
        <w:widowControl/>
        <w:spacing w:line="312" w:lineRule="auto"/>
        <w:ind w:left="540" w:right="84" w:rightChars="40"/>
        <w:jc w:val="left"/>
        <w:rPr>
          <w:rFonts w:hint="eastAsia" w:ascii="宋体" w:hAnsi="宋体" w:cs="宋体"/>
          <w:color w:val="auto"/>
          <w:szCs w:val="21"/>
          <w:highlight w:val="none"/>
          <w:lang w:val="en-GB"/>
        </w:rPr>
      </w:pPr>
      <w:r>
        <w:rPr>
          <w:rFonts w:hint="eastAsia" w:ascii="宋体" w:hAnsi="宋体" w:cs="宋体"/>
          <w:color w:val="auto"/>
          <w:szCs w:val="21"/>
          <w:highlight w:val="none"/>
        </w:rPr>
        <w:t>2.监狱和戒毒企业投标且提供本企业制造的产品才能</w:t>
      </w:r>
      <w:r>
        <w:rPr>
          <w:rFonts w:hint="eastAsia" w:ascii="宋体" w:hAnsi="宋体" w:cs="宋体"/>
          <w:color w:val="auto"/>
          <w:szCs w:val="21"/>
          <w:highlight w:val="none"/>
          <w:lang w:val="en-GB"/>
        </w:rPr>
        <w:t>享受商务报价里</w:t>
      </w:r>
      <w:r>
        <w:rPr>
          <w:rFonts w:hint="eastAsia" w:ascii="宋体" w:hAnsi="宋体" w:cs="宋体"/>
          <w:color w:val="auto"/>
          <w:szCs w:val="21"/>
          <w:highlight w:val="none"/>
        </w:rPr>
        <w:t>监狱和戒毒企业</w:t>
      </w:r>
      <w:r>
        <w:rPr>
          <w:rFonts w:hint="eastAsia" w:ascii="宋体" w:hAnsi="宋体" w:cs="宋体"/>
          <w:color w:val="auto"/>
          <w:szCs w:val="21"/>
          <w:highlight w:val="none"/>
          <w:lang w:val="en-GB"/>
        </w:rPr>
        <w:t>产品优惠政策。</w:t>
      </w:r>
    </w:p>
    <w:p>
      <w:pPr>
        <w:pStyle w:val="35"/>
        <w:widowControl/>
        <w:spacing w:line="312" w:lineRule="auto"/>
        <w:ind w:left="540" w:right="84" w:rightChars="40"/>
        <w:jc w:val="left"/>
        <w:rPr>
          <w:rFonts w:hint="eastAsia" w:ascii="宋体" w:hAnsi="宋体" w:cs="宋体"/>
          <w:color w:val="auto"/>
          <w:szCs w:val="21"/>
          <w:highlight w:val="none"/>
          <w:lang w:val="en-GB"/>
        </w:rPr>
      </w:pPr>
      <w:r>
        <w:rPr>
          <w:rFonts w:hint="eastAsia" w:ascii="宋体" w:hAnsi="宋体" w:cs="宋体"/>
          <w:color w:val="auto"/>
          <w:szCs w:val="21"/>
          <w:highlight w:val="none"/>
          <w:lang w:val="en-GB"/>
        </w:rPr>
        <w:t>3. 本表内容不填写将不能享受商务报价里</w:t>
      </w:r>
      <w:r>
        <w:rPr>
          <w:rFonts w:hint="eastAsia" w:ascii="宋体" w:hAnsi="宋体" w:cs="宋体"/>
          <w:color w:val="auto"/>
          <w:szCs w:val="21"/>
          <w:highlight w:val="none"/>
        </w:rPr>
        <w:t>监狱和戒毒企业</w:t>
      </w:r>
      <w:r>
        <w:rPr>
          <w:rFonts w:hint="eastAsia" w:ascii="宋体" w:hAnsi="宋体" w:cs="宋体"/>
          <w:color w:val="auto"/>
          <w:szCs w:val="21"/>
          <w:highlight w:val="none"/>
          <w:lang w:val="en-GB"/>
        </w:rPr>
        <w:t>产品优惠政策。</w:t>
      </w:r>
    </w:p>
    <w:p>
      <w:pPr>
        <w:spacing w:line="312" w:lineRule="auto"/>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p>
    <w:p>
      <w:pPr>
        <w:spacing w:line="312"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7、残疾人福利性单位声明函</w:t>
      </w:r>
    </w:p>
    <w:p>
      <w:pPr>
        <w:spacing w:line="312" w:lineRule="auto"/>
        <w:rPr>
          <w:rFonts w:hint="eastAsia" w:ascii="宋体" w:hAnsi="宋体" w:cs="宋体"/>
          <w:b/>
          <w:color w:val="auto"/>
          <w:spacing w:val="6"/>
          <w:szCs w:val="21"/>
          <w:highlight w:val="none"/>
        </w:rPr>
      </w:pP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napToGrid w:val="0"/>
        <w:spacing w:line="312" w:lineRule="auto"/>
        <w:ind w:firstLine="420" w:firstLineChars="200"/>
        <w:rPr>
          <w:rFonts w:hint="eastAsia" w:ascii="宋体" w:hAnsi="宋体" w:cs="宋体"/>
          <w:color w:val="auto"/>
          <w:szCs w:val="21"/>
          <w:highlight w:val="none"/>
        </w:rPr>
      </w:pPr>
    </w:p>
    <w:p>
      <w:pPr>
        <w:spacing w:line="312" w:lineRule="auto"/>
        <w:ind w:firstLine="444" w:firstLineChars="200"/>
        <w:rPr>
          <w:rFonts w:hint="eastAsia" w:ascii="宋体" w:hAnsi="宋体" w:cs="宋体"/>
          <w:color w:val="auto"/>
          <w:spacing w:val="6"/>
          <w:szCs w:val="21"/>
          <w:highlight w:val="none"/>
        </w:rPr>
      </w:pPr>
    </w:p>
    <w:p>
      <w:pPr>
        <w:snapToGrid w:val="0"/>
        <w:spacing w:line="312" w:lineRule="auto"/>
        <w:ind w:firstLine="444" w:firstLineChars="200"/>
        <w:jc w:val="left"/>
        <w:rPr>
          <w:rFonts w:hint="eastAsia" w:ascii="宋体" w:hAnsi="宋体" w:cs="宋体"/>
          <w:color w:val="auto"/>
          <w:szCs w:val="21"/>
          <w:highlight w:val="none"/>
        </w:rPr>
      </w:pPr>
      <w:r>
        <w:rPr>
          <w:rFonts w:hint="eastAsia" w:ascii="宋体" w:hAnsi="宋体" w:cs="宋体"/>
          <w:color w:val="auto"/>
          <w:spacing w:val="6"/>
          <w:szCs w:val="21"/>
          <w:highlight w:val="none"/>
        </w:rPr>
        <w:t xml:space="preserve">         </w:t>
      </w:r>
      <w:r>
        <w:rPr>
          <w:rFonts w:hint="eastAsia" w:ascii="宋体" w:hAnsi="宋体" w:cs="宋体"/>
          <w:color w:val="auto"/>
          <w:szCs w:val="21"/>
          <w:highlight w:val="none"/>
        </w:rPr>
        <w:t>单位名称（盖章）：</w:t>
      </w:r>
    </w:p>
    <w:p>
      <w:pPr>
        <w:pStyle w:val="41"/>
        <w:spacing w:line="312"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 xml:space="preserve">              日  期：</w:t>
      </w: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jc w:val="center"/>
        <w:rPr>
          <w:rFonts w:hint="eastAsia" w:ascii="宋体" w:hAnsi="宋体" w:cs="宋体"/>
          <w:color w:val="auto"/>
          <w:szCs w:val="21"/>
          <w:highlight w:val="none"/>
        </w:rPr>
      </w:pPr>
    </w:p>
    <w:p>
      <w:pPr>
        <w:pStyle w:val="35"/>
        <w:spacing w:line="312" w:lineRule="auto"/>
        <w:rPr>
          <w:rFonts w:hint="eastAsia" w:ascii="宋体" w:hAnsi="宋体" w:cs="宋体"/>
          <w:color w:val="auto"/>
          <w:szCs w:val="21"/>
          <w:highlight w:val="none"/>
        </w:rPr>
      </w:pPr>
    </w:p>
    <w:p>
      <w:pPr>
        <w:pStyle w:val="35"/>
        <w:spacing w:line="312" w:lineRule="auto"/>
        <w:jc w:val="center"/>
        <w:rPr>
          <w:rFonts w:hint="eastAsia" w:ascii="宋体" w:hAnsi="宋体" w:cs="宋体"/>
          <w:b/>
          <w:color w:val="auto"/>
          <w:szCs w:val="21"/>
          <w:highlight w:val="none"/>
          <w:lang w:val="en-GB"/>
        </w:rPr>
      </w:pPr>
      <w:r>
        <w:rPr>
          <w:rFonts w:hint="eastAsia" w:ascii="宋体" w:hAnsi="宋体" w:cs="宋体"/>
          <w:b/>
          <w:bCs/>
          <w:color w:val="auto"/>
          <w:szCs w:val="21"/>
          <w:highlight w:val="none"/>
        </w:rPr>
        <w:t>8、</w:t>
      </w:r>
      <w:r>
        <w:rPr>
          <w:rFonts w:hint="eastAsia" w:ascii="宋体" w:hAnsi="宋体" w:cs="宋体"/>
          <w:b/>
          <w:color w:val="auto"/>
          <w:szCs w:val="21"/>
          <w:highlight w:val="none"/>
          <w:lang w:val="en-GB"/>
        </w:rPr>
        <w:t>产品适用</w:t>
      </w:r>
      <w:r>
        <w:rPr>
          <w:rFonts w:hint="eastAsia" w:ascii="宋体" w:hAnsi="宋体" w:cs="宋体"/>
          <w:b/>
          <w:color w:val="auto"/>
          <w:spacing w:val="6"/>
          <w:szCs w:val="21"/>
          <w:highlight w:val="none"/>
        </w:rPr>
        <w:t>残疾人福利性单位</w:t>
      </w:r>
      <w:r>
        <w:rPr>
          <w:rFonts w:hint="eastAsia" w:ascii="宋体" w:hAnsi="宋体" w:cs="宋体"/>
          <w:b/>
          <w:color w:val="auto"/>
          <w:szCs w:val="21"/>
          <w:highlight w:val="none"/>
          <w:lang w:val="en-GB"/>
        </w:rPr>
        <w:t>政策情况表</w:t>
      </w:r>
    </w:p>
    <w:p>
      <w:pPr>
        <w:pStyle w:val="35"/>
        <w:spacing w:line="312" w:lineRule="auto"/>
        <w:jc w:val="center"/>
        <w:rPr>
          <w:rFonts w:hint="eastAsia" w:ascii="宋体" w:hAnsi="宋体" w:cs="宋体"/>
          <w:b/>
          <w:color w:val="auto"/>
          <w:szCs w:val="21"/>
          <w:highlight w:val="none"/>
          <w:lang w:val="en-GB"/>
        </w:rPr>
      </w:pPr>
    </w:p>
    <w:tbl>
      <w:tblPr>
        <w:tblStyle w:val="2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pacing w:val="6"/>
                <w:szCs w:val="21"/>
                <w:highlight w:val="none"/>
              </w:rPr>
              <w:t>残疾人福利性单位扶持政策</w:t>
            </w:r>
          </w:p>
        </w:tc>
        <w:tc>
          <w:tcPr>
            <w:tcW w:w="55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产品名称（品牌、型号）</w:t>
            </w: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数量</w:t>
            </w: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55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top"/>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55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top"/>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5576"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top"/>
          </w:tcPr>
          <w:p>
            <w:pPr>
              <w:pStyle w:val="35"/>
              <w:tabs>
                <w:tab w:val="left" w:pos="1260"/>
              </w:tabs>
              <w:spacing w:line="312" w:lineRule="auto"/>
              <w:jc w:val="center"/>
              <w:rPr>
                <w:rFonts w:hint="eastAsia" w:ascii="宋体" w:hAnsi="宋体" w:cs="宋体"/>
                <w:color w:val="auto"/>
                <w:szCs w:val="21"/>
                <w:highlight w:val="none"/>
                <w:lang w:val="en-GB"/>
              </w:rPr>
            </w:pP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35"/>
              <w:tabs>
                <w:tab w:val="left" w:pos="1260"/>
              </w:tabs>
              <w:spacing w:line="312" w:lineRule="auto"/>
              <w:jc w:val="center"/>
              <w:rPr>
                <w:rFonts w:hint="eastAsia" w:ascii="宋体" w:hAnsi="宋体" w:cs="宋体"/>
                <w:color w:val="auto"/>
                <w:szCs w:val="21"/>
                <w:highlight w:val="none"/>
                <w:lang w:val="en-GB"/>
              </w:rPr>
            </w:pPr>
          </w:p>
        </w:tc>
        <w:tc>
          <w:tcPr>
            <w:tcW w:w="6968" w:type="dxa"/>
            <w:gridSpan w:val="2"/>
            <w:vAlign w:val="center"/>
          </w:tcPr>
          <w:p>
            <w:pPr>
              <w:pStyle w:val="35"/>
              <w:tabs>
                <w:tab w:val="left" w:pos="1260"/>
              </w:tabs>
              <w:spacing w:line="312" w:lineRule="auto"/>
              <w:jc w:val="center"/>
              <w:rPr>
                <w:rFonts w:hint="eastAsia" w:ascii="宋体" w:hAnsi="宋体" w:cs="宋体"/>
                <w:color w:val="auto"/>
                <w:szCs w:val="21"/>
                <w:highlight w:val="none"/>
                <w:lang w:val="en-GB"/>
              </w:rPr>
            </w:pPr>
            <w:r>
              <w:rPr>
                <w:rFonts w:hint="eastAsia" w:ascii="宋体" w:hAnsi="宋体" w:cs="宋体"/>
                <w:color w:val="auto"/>
                <w:spacing w:val="6"/>
                <w:szCs w:val="21"/>
                <w:highlight w:val="none"/>
              </w:rPr>
              <w:t>残疾人福利性单位</w:t>
            </w:r>
            <w:r>
              <w:rPr>
                <w:rFonts w:hint="eastAsia" w:ascii="宋体" w:hAnsi="宋体" w:cs="宋体"/>
                <w:color w:val="auto"/>
                <w:szCs w:val="21"/>
                <w:highlight w:val="none"/>
              </w:rPr>
              <w:t>产品</w:t>
            </w:r>
            <w:r>
              <w:rPr>
                <w:rFonts w:hint="eastAsia" w:ascii="宋体" w:hAnsi="宋体" w:cs="宋体"/>
                <w:color w:val="auto"/>
                <w:szCs w:val="21"/>
                <w:highlight w:val="none"/>
                <w:lang w:val="en-GB"/>
              </w:rPr>
              <w:t>金额合计</w:t>
            </w:r>
          </w:p>
        </w:tc>
        <w:tc>
          <w:tcPr>
            <w:tcW w:w="1392" w:type="dxa"/>
            <w:vAlign w:val="center"/>
          </w:tcPr>
          <w:p>
            <w:pPr>
              <w:pStyle w:val="35"/>
              <w:tabs>
                <w:tab w:val="left" w:pos="1260"/>
              </w:tabs>
              <w:spacing w:line="312" w:lineRule="auto"/>
              <w:jc w:val="center"/>
              <w:rPr>
                <w:rFonts w:hint="eastAsia" w:ascii="宋体" w:hAnsi="宋体" w:cs="宋体"/>
                <w:color w:val="auto"/>
                <w:szCs w:val="21"/>
                <w:highlight w:val="none"/>
                <w:lang w:val="en-GB"/>
              </w:rPr>
            </w:pPr>
          </w:p>
        </w:tc>
      </w:tr>
    </w:tbl>
    <w:p>
      <w:pPr>
        <w:pStyle w:val="35"/>
        <w:spacing w:line="312" w:lineRule="auto"/>
        <w:ind w:left="718" w:hanging="718" w:hangingChars="342"/>
        <w:rPr>
          <w:rFonts w:hint="eastAsia" w:ascii="宋体" w:hAnsi="宋体" w:cs="宋体"/>
          <w:color w:val="auto"/>
          <w:szCs w:val="21"/>
          <w:highlight w:val="none"/>
          <w:lang w:val="en-GB"/>
        </w:rPr>
      </w:pPr>
      <w:r>
        <w:rPr>
          <w:rFonts w:hint="eastAsia" w:ascii="宋体" w:hAnsi="宋体" w:cs="宋体"/>
          <w:color w:val="auto"/>
          <w:szCs w:val="21"/>
          <w:highlight w:val="none"/>
          <w:lang w:val="en-GB"/>
        </w:rPr>
        <w:t>填报要求：</w:t>
      </w:r>
    </w:p>
    <w:p>
      <w:pPr>
        <w:pStyle w:val="35"/>
        <w:widowControl/>
        <w:spacing w:line="312" w:lineRule="auto"/>
        <w:ind w:right="84" w:rightChars="40"/>
        <w:jc w:val="left"/>
        <w:rPr>
          <w:rFonts w:hint="eastAsia" w:ascii="宋体" w:hAnsi="宋体" w:cs="宋体"/>
          <w:color w:val="auto"/>
          <w:szCs w:val="21"/>
          <w:highlight w:val="none"/>
          <w:lang w:val="en-GB"/>
        </w:rPr>
      </w:pPr>
      <w:r>
        <w:rPr>
          <w:rFonts w:hint="eastAsia" w:ascii="宋体" w:hAnsi="宋体" w:cs="宋体"/>
          <w:color w:val="auto"/>
          <w:szCs w:val="21"/>
          <w:highlight w:val="none"/>
          <w:lang w:val="en-GB"/>
        </w:rPr>
        <w:t>1.本表的产品名称、规格型号和注册商标、金额要与《报价明细表》一致。</w:t>
      </w:r>
    </w:p>
    <w:p>
      <w:pPr>
        <w:pStyle w:val="35"/>
        <w:widowControl/>
        <w:spacing w:line="312" w:lineRule="auto"/>
        <w:ind w:right="84" w:rightChars="40"/>
        <w:jc w:val="left"/>
        <w:rPr>
          <w:rFonts w:hint="eastAsia" w:ascii="宋体" w:hAnsi="宋体" w:cs="宋体"/>
          <w:color w:val="auto"/>
          <w:szCs w:val="21"/>
          <w:highlight w:val="none"/>
          <w:lang w:val="en-GB"/>
        </w:rPr>
      </w:pPr>
      <w:r>
        <w:rPr>
          <w:rFonts w:hint="eastAsia" w:ascii="宋体" w:hAnsi="宋体" w:cs="宋体"/>
          <w:color w:val="auto"/>
          <w:szCs w:val="21"/>
          <w:highlight w:val="none"/>
          <w:lang w:val="en-GB"/>
        </w:rPr>
        <w:t>2.本表内容不填写将不能享受商务报价里</w:t>
      </w:r>
      <w:r>
        <w:rPr>
          <w:rFonts w:hint="eastAsia" w:ascii="宋体" w:hAnsi="宋体" w:cs="宋体"/>
          <w:color w:val="auto"/>
          <w:spacing w:val="6"/>
          <w:szCs w:val="21"/>
          <w:highlight w:val="none"/>
        </w:rPr>
        <w:t>残疾人福利性单位</w:t>
      </w:r>
      <w:r>
        <w:rPr>
          <w:rFonts w:hint="eastAsia" w:ascii="宋体" w:hAnsi="宋体" w:cs="宋体"/>
          <w:color w:val="auto"/>
          <w:szCs w:val="21"/>
          <w:highlight w:val="none"/>
          <w:lang w:val="en-GB"/>
        </w:rPr>
        <w:t>产品优惠政策。</w:t>
      </w:r>
    </w:p>
    <w:p>
      <w:pPr>
        <w:spacing w:line="312" w:lineRule="auto"/>
        <w:jc w:val="left"/>
        <w:rPr>
          <w:rFonts w:hint="eastAsia" w:ascii="宋体" w:hAnsi="宋体" w:cs="宋体"/>
          <w:color w:val="auto"/>
          <w:szCs w:val="21"/>
          <w:highlight w:val="none"/>
        </w:rPr>
      </w:pPr>
    </w:p>
    <w:p>
      <w:pPr>
        <w:spacing w:line="312" w:lineRule="auto"/>
        <w:jc w:val="left"/>
        <w:rPr>
          <w:rFonts w:hint="eastAsia" w:ascii="宋体" w:hAnsi="宋体" w:cs="宋体"/>
          <w:color w:val="auto"/>
          <w:szCs w:val="21"/>
          <w:highlight w:val="none"/>
        </w:rPr>
      </w:pPr>
    </w:p>
    <w:p>
      <w:pPr>
        <w:spacing w:line="312" w:lineRule="auto"/>
        <w:jc w:val="left"/>
        <w:rPr>
          <w:rFonts w:hint="eastAsia" w:ascii="宋体" w:hAnsi="宋体" w:cs="宋体"/>
          <w:color w:val="auto"/>
          <w:szCs w:val="21"/>
          <w:highlight w:val="none"/>
        </w:rPr>
      </w:pPr>
    </w:p>
    <w:p>
      <w:pPr>
        <w:spacing w:line="312" w:lineRule="auto"/>
        <w:jc w:val="left"/>
        <w:rPr>
          <w:rFonts w:hint="eastAsia" w:ascii="宋体" w:hAnsi="宋体" w:cs="宋体"/>
          <w:color w:val="auto"/>
          <w:szCs w:val="21"/>
          <w:highlight w:val="none"/>
        </w:rPr>
      </w:pPr>
    </w:p>
    <w:p>
      <w:pPr>
        <w:spacing w:line="312" w:lineRule="auto"/>
        <w:jc w:val="left"/>
        <w:rPr>
          <w:rFonts w:hint="eastAsia" w:ascii="宋体" w:hAnsi="宋体" w:cs="宋体"/>
          <w:color w:val="auto"/>
          <w:szCs w:val="21"/>
          <w:highlight w:val="none"/>
        </w:rPr>
      </w:pPr>
    </w:p>
    <w:p>
      <w:pPr>
        <w:spacing w:line="312" w:lineRule="auto"/>
        <w:jc w:val="left"/>
        <w:outlineLvl w:val="1"/>
        <w:rPr>
          <w:rFonts w:hint="eastAsia" w:ascii="宋体" w:hAnsi="宋体" w:cs="宋体"/>
          <w:color w:val="auto"/>
          <w:szCs w:val="21"/>
          <w:highlight w:val="none"/>
        </w:rPr>
      </w:pPr>
      <w:bookmarkStart w:id="73" w:name="_Toc5963"/>
      <w:bookmarkStart w:id="74" w:name="_Toc13480"/>
      <w:r>
        <w:rPr>
          <w:rFonts w:hint="eastAsia" w:ascii="宋体" w:hAnsi="宋体" w:cs="宋体"/>
          <w:color w:val="auto"/>
          <w:szCs w:val="21"/>
          <w:highlight w:val="none"/>
        </w:rPr>
        <w:t>二、节能、环保产品优先（强制）采购政策说明</w:t>
      </w:r>
      <w:bookmarkEnd w:id="73"/>
      <w:bookmarkEnd w:id="74"/>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1、政策依据</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（一）《国务院办公厅关于建立政府强制采购节能产品制度的通知》(国办发[2007]51号)</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（二）财政部、发展改革委发布的《节能产品政府采购实施意见》(财库[2004]185号)</w:t>
      </w:r>
    </w:p>
    <w:p>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（三）财政部、原环保总局印发的《环境标志产品政府采购实施的意见》（财库 [2006]90号）</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2、供应商投标货物属于节能、环保优先（强制）采购范围的，须提供相关证明材料，给予适当加分，但加分总值原则上不超过“价格分”的10%为宜。</w:t>
      </w:r>
    </w:p>
    <w:p>
      <w:pPr>
        <w:spacing w:line="312" w:lineRule="auto"/>
        <w:rPr>
          <w:rFonts w:hint="eastAsia" w:ascii="宋体" w:hAnsi="宋体" w:cs="宋体"/>
          <w:color w:val="auto"/>
          <w:szCs w:val="21"/>
          <w:highlight w:val="none"/>
        </w:rPr>
      </w:pPr>
    </w:p>
    <w:p>
      <w:pPr>
        <w:pStyle w:val="41"/>
        <w:spacing w:line="312" w:lineRule="auto"/>
        <w:ind w:firstLine="0" w:firstLineChars="0"/>
        <w:jc w:val="center"/>
        <w:outlineLvl w:val="1"/>
        <w:rPr>
          <w:rFonts w:hint="eastAsia" w:ascii="宋体" w:eastAsia="宋体" w:cs="宋体"/>
          <w:color w:val="auto"/>
          <w:sz w:val="21"/>
          <w:szCs w:val="21"/>
          <w:highlight w:val="none"/>
        </w:rPr>
      </w:pPr>
      <w:bookmarkStart w:id="75" w:name="_Toc1031"/>
      <w:bookmarkStart w:id="76" w:name="_Toc8895"/>
    </w:p>
    <w:p>
      <w:pPr>
        <w:pStyle w:val="41"/>
        <w:spacing w:line="312" w:lineRule="auto"/>
        <w:ind w:firstLine="0" w:firstLineChars="0"/>
        <w:jc w:val="center"/>
        <w:outlineLvl w:val="1"/>
        <w:rPr>
          <w:rFonts w:hint="eastAsia" w:ascii="宋体" w:eastAsia="宋体" w:cs="宋体"/>
          <w:color w:val="auto"/>
          <w:sz w:val="21"/>
          <w:szCs w:val="21"/>
          <w:highlight w:val="none"/>
        </w:rPr>
      </w:pPr>
    </w:p>
    <w:p>
      <w:pPr>
        <w:pStyle w:val="41"/>
        <w:spacing w:line="312" w:lineRule="auto"/>
        <w:ind w:firstLine="0" w:firstLineChars="0"/>
        <w:jc w:val="center"/>
        <w:outlineLvl w:val="1"/>
        <w:rPr>
          <w:rFonts w:hint="eastAsia" w:ascii="宋体" w:eastAsia="宋体" w:cs="宋体"/>
          <w:color w:val="auto"/>
          <w:sz w:val="21"/>
          <w:szCs w:val="21"/>
          <w:highlight w:val="none"/>
        </w:rPr>
      </w:pPr>
    </w:p>
    <w:p>
      <w:pPr>
        <w:pStyle w:val="41"/>
        <w:spacing w:line="312" w:lineRule="auto"/>
        <w:ind w:firstLine="0" w:firstLineChars="0"/>
        <w:jc w:val="center"/>
        <w:outlineLvl w:val="1"/>
        <w:rPr>
          <w:rFonts w:hint="eastAsia" w:ascii="宋体" w:eastAsia="宋体" w:cs="宋体"/>
          <w:color w:val="auto"/>
          <w:sz w:val="21"/>
          <w:szCs w:val="21"/>
          <w:highlight w:val="none"/>
        </w:rPr>
      </w:pPr>
    </w:p>
    <w:p>
      <w:pPr>
        <w:pStyle w:val="41"/>
        <w:spacing w:line="312" w:lineRule="auto"/>
        <w:ind w:firstLine="0" w:firstLineChars="0"/>
        <w:jc w:val="center"/>
        <w:outlineLvl w:val="1"/>
        <w:rPr>
          <w:rFonts w:hint="eastAsia" w:ascii="宋体" w:eastAsia="宋体" w:cs="宋体"/>
          <w:color w:val="auto"/>
          <w:sz w:val="21"/>
          <w:szCs w:val="21"/>
          <w:highlight w:val="none"/>
        </w:rPr>
      </w:pPr>
    </w:p>
    <w:p>
      <w:pPr>
        <w:pStyle w:val="41"/>
        <w:spacing w:line="312" w:lineRule="auto"/>
        <w:ind w:firstLine="0" w:firstLineChars="0"/>
        <w:jc w:val="center"/>
        <w:outlineLvl w:val="1"/>
        <w:rPr>
          <w:rFonts w:hint="eastAsia" w:ascii="宋体" w:eastAsia="宋体" w:cs="宋体"/>
          <w:color w:val="auto"/>
          <w:sz w:val="21"/>
          <w:szCs w:val="21"/>
          <w:highlight w:val="none"/>
        </w:rPr>
      </w:pPr>
    </w:p>
    <w:p>
      <w:pPr>
        <w:pStyle w:val="41"/>
        <w:spacing w:line="312" w:lineRule="auto"/>
        <w:ind w:firstLine="0" w:firstLineChars="0"/>
        <w:jc w:val="center"/>
        <w:outlineLvl w:val="1"/>
        <w:rPr>
          <w:rFonts w:hint="eastAsia" w:ascii="宋体" w:eastAsia="宋体" w:cs="宋体"/>
          <w:color w:val="auto"/>
          <w:sz w:val="21"/>
          <w:szCs w:val="21"/>
          <w:highlight w:val="none"/>
        </w:rPr>
      </w:pPr>
    </w:p>
    <w:p>
      <w:pPr>
        <w:pStyle w:val="41"/>
        <w:spacing w:line="312" w:lineRule="auto"/>
        <w:ind w:firstLine="0" w:firstLineChars="0"/>
        <w:jc w:val="center"/>
        <w:outlineLvl w:val="1"/>
        <w:rPr>
          <w:rFonts w:hint="eastAsia" w:ascii="宋体" w:eastAsia="宋体" w:cs="宋体"/>
          <w:color w:val="auto"/>
          <w:sz w:val="21"/>
          <w:szCs w:val="21"/>
          <w:highlight w:val="none"/>
        </w:rPr>
      </w:pPr>
      <w:r>
        <w:rPr>
          <w:rFonts w:hint="eastAsia" w:ascii="宋体" w:eastAsia="宋体" w:cs="宋体"/>
          <w:color w:val="auto"/>
          <w:sz w:val="21"/>
          <w:szCs w:val="21"/>
          <w:highlight w:val="none"/>
        </w:rPr>
        <w:t>2节能环保产品清单</w:t>
      </w:r>
      <w:bookmarkEnd w:id="75"/>
      <w:bookmarkEnd w:id="76"/>
    </w:p>
    <w:p>
      <w:pPr>
        <w:pStyle w:val="38"/>
        <w:keepNext w:val="0"/>
        <w:keepLines w:val="0"/>
        <w:spacing w:before="0" w:after="0" w:line="312" w:lineRule="auto"/>
        <w:jc w:val="both"/>
        <w:outlineLvl w:val="9"/>
        <w:rPr>
          <w:rFonts w:hint="eastAsia" w:eastAsia="宋体" w:cs="宋体"/>
          <w:b w:val="0"/>
          <w:bCs w:val="0"/>
          <w:color w:val="auto"/>
          <w:sz w:val="21"/>
          <w:szCs w:val="21"/>
          <w:highlight w:val="none"/>
        </w:rPr>
      </w:pPr>
      <w:bookmarkStart w:id="77" w:name="_Toc28217"/>
      <w:bookmarkStart w:id="78" w:name="_Toc4333"/>
      <w:bookmarkStart w:id="79" w:name="_Toc23709"/>
      <w:r>
        <w:rPr>
          <w:rFonts w:hint="eastAsia" w:eastAsia="宋体" w:cs="宋体"/>
          <w:b w:val="0"/>
          <w:bCs w:val="0"/>
          <w:color w:val="auto"/>
          <w:sz w:val="21"/>
          <w:szCs w:val="21"/>
          <w:highlight w:val="none"/>
        </w:rPr>
        <w:t>项目名称：</w:t>
      </w:r>
      <w:bookmarkEnd w:id="77"/>
      <w:bookmarkEnd w:id="78"/>
      <w:bookmarkEnd w:id="79"/>
      <w:r>
        <w:rPr>
          <w:rFonts w:hint="eastAsia" w:eastAsia="宋体" w:cs="宋体"/>
          <w:b w:val="0"/>
          <w:bCs w:val="0"/>
          <w:color w:val="auto"/>
          <w:sz w:val="21"/>
          <w:szCs w:val="21"/>
          <w:highlight w:val="none"/>
        </w:rPr>
        <w:t xml:space="preserve">                            </w:t>
      </w:r>
    </w:p>
    <w:p>
      <w:pPr>
        <w:pStyle w:val="38"/>
        <w:keepNext w:val="0"/>
        <w:keepLines w:val="0"/>
        <w:spacing w:before="0" w:after="0" w:line="312" w:lineRule="auto"/>
        <w:jc w:val="both"/>
        <w:outlineLvl w:val="9"/>
        <w:rPr>
          <w:rFonts w:hint="eastAsia" w:eastAsia="宋体" w:cs="宋体"/>
          <w:color w:val="auto"/>
          <w:sz w:val="21"/>
          <w:szCs w:val="21"/>
          <w:highlight w:val="none"/>
        </w:rPr>
      </w:pPr>
      <w:bookmarkStart w:id="80" w:name="_Toc3708"/>
      <w:bookmarkStart w:id="81" w:name="_Toc30918"/>
      <w:bookmarkStart w:id="82" w:name="_Toc17193"/>
      <w:r>
        <w:rPr>
          <w:rFonts w:hint="eastAsia" w:eastAsia="宋体" w:cs="宋体"/>
          <w:b w:val="0"/>
          <w:bCs w:val="0"/>
          <w:color w:val="auto"/>
          <w:sz w:val="21"/>
          <w:szCs w:val="21"/>
          <w:highlight w:val="none"/>
        </w:rPr>
        <w:t>项目编号：</w:t>
      </w:r>
      <w:bookmarkEnd w:id="80"/>
      <w:bookmarkEnd w:id="81"/>
      <w:bookmarkEnd w:id="82"/>
    </w:p>
    <w:tbl>
      <w:tblPr>
        <w:tblStyle w:val="2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64"/>
        <w:gridCol w:w="3162"/>
        <w:gridCol w:w="2205"/>
        <w:gridCol w:w="108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9" w:type="dxa"/>
            <w:gridSpan w:val="6"/>
            <w:vAlign w:val="center"/>
          </w:tcPr>
          <w:p>
            <w:pPr>
              <w:spacing w:line="312" w:lineRule="auto"/>
              <w:rPr>
                <w:rFonts w:hint="eastAsia" w:ascii="宋体" w:hAnsi="宋体" w:cs="宋体"/>
                <w:b/>
                <w:color w:val="auto"/>
                <w:szCs w:val="21"/>
                <w:highlight w:val="none"/>
              </w:rPr>
            </w:pPr>
            <w:r>
              <w:rPr>
                <w:rFonts w:hint="eastAsia" w:ascii="宋体" w:hAnsi="宋体" w:cs="宋体"/>
                <w:b/>
                <w:color w:val="auto"/>
                <w:szCs w:val="21"/>
                <w:highlight w:val="none"/>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64"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3162"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产品型号</w:t>
            </w:r>
          </w:p>
        </w:tc>
        <w:tc>
          <w:tcPr>
            <w:tcW w:w="2205" w:type="dxa"/>
            <w:vAlign w:val="center"/>
          </w:tcPr>
          <w:p>
            <w:pPr>
              <w:spacing w:line="312" w:lineRule="auto"/>
              <w:jc w:val="center"/>
              <w:rPr>
                <w:rFonts w:hint="eastAsia" w:ascii="宋体" w:hAnsi="宋体" w:cs="宋体"/>
                <w:b/>
                <w:color w:val="auto"/>
                <w:szCs w:val="21"/>
                <w:highlight w:val="none"/>
              </w:rPr>
            </w:pPr>
            <w:r>
              <w:rPr>
                <w:rFonts w:hint="eastAsia" w:ascii="宋体" w:hAnsi="宋体" w:cs="宋体"/>
                <w:b/>
                <w:bCs/>
                <w:color w:val="auto"/>
                <w:szCs w:val="21"/>
                <w:highlight w:val="none"/>
              </w:rPr>
              <w:t>认证证书编号</w:t>
            </w:r>
          </w:p>
        </w:tc>
        <w:tc>
          <w:tcPr>
            <w:tcW w:w="1088" w:type="dxa"/>
            <w:vAlign w:val="center"/>
          </w:tcPr>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认证机构名称</w:t>
            </w:r>
          </w:p>
        </w:tc>
        <w:tc>
          <w:tcPr>
            <w:tcW w:w="804"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64" w:type="dxa"/>
            <w:vAlign w:val="center"/>
          </w:tcPr>
          <w:p>
            <w:pPr>
              <w:spacing w:line="312" w:lineRule="auto"/>
              <w:jc w:val="center"/>
              <w:rPr>
                <w:rFonts w:hint="eastAsia" w:ascii="宋体" w:hAnsi="宋体" w:cs="宋体"/>
                <w:color w:val="auto"/>
                <w:szCs w:val="21"/>
                <w:highlight w:val="none"/>
              </w:rPr>
            </w:pPr>
          </w:p>
        </w:tc>
        <w:tc>
          <w:tcPr>
            <w:tcW w:w="3162" w:type="dxa"/>
            <w:vAlign w:val="center"/>
          </w:tcPr>
          <w:p>
            <w:pPr>
              <w:spacing w:line="312" w:lineRule="auto"/>
              <w:jc w:val="center"/>
              <w:rPr>
                <w:rFonts w:hint="eastAsia" w:ascii="宋体" w:hAnsi="宋体" w:cs="宋体"/>
                <w:color w:val="auto"/>
                <w:szCs w:val="21"/>
                <w:highlight w:val="none"/>
              </w:rPr>
            </w:pPr>
          </w:p>
        </w:tc>
        <w:tc>
          <w:tcPr>
            <w:tcW w:w="2205" w:type="dxa"/>
            <w:vAlign w:val="center"/>
          </w:tcPr>
          <w:p>
            <w:pPr>
              <w:spacing w:line="312" w:lineRule="auto"/>
              <w:jc w:val="center"/>
              <w:rPr>
                <w:rFonts w:hint="eastAsia" w:ascii="宋体" w:hAnsi="宋体" w:cs="宋体"/>
                <w:bCs/>
                <w:color w:val="auto"/>
                <w:szCs w:val="21"/>
                <w:highlight w:val="none"/>
              </w:rPr>
            </w:pPr>
          </w:p>
        </w:tc>
        <w:tc>
          <w:tcPr>
            <w:tcW w:w="1088" w:type="dxa"/>
            <w:vAlign w:val="center"/>
          </w:tcPr>
          <w:p>
            <w:pPr>
              <w:spacing w:line="312" w:lineRule="auto"/>
              <w:jc w:val="center"/>
              <w:rPr>
                <w:rFonts w:hint="eastAsia" w:ascii="宋体" w:hAnsi="宋体" w:cs="宋体"/>
                <w:color w:val="auto"/>
                <w:szCs w:val="21"/>
                <w:highlight w:val="none"/>
              </w:rPr>
            </w:pPr>
          </w:p>
        </w:tc>
        <w:tc>
          <w:tcPr>
            <w:tcW w:w="804" w:type="dxa"/>
            <w:vAlign w:val="center"/>
          </w:tcPr>
          <w:p>
            <w:pPr>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64" w:type="dxa"/>
            <w:vAlign w:val="center"/>
          </w:tcPr>
          <w:p>
            <w:pPr>
              <w:spacing w:line="312" w:lineRule="auto"/>
              <w:jc w:val="center"/>
              <w:rPr>
                <w:rFonts w:hint="eastAsia" w:ascii="宋体" w:hAnsi="宋体" w:cs="宋体"/>
                <w:color w:val="auto"/>
                <w:szCs w:val="21"/>
                <w:highlight w:val="none"/>
              </w:rPr>
            </w:pPr>
          </w:p>
        </w:tc>
        <w:tc>
          <w:tcPr>
            <w:tcW w:w="3162" w:type="dxa"/>
            <w:vAlign w:val="center"/>
          </w:tcPr>
          <w:p>
            <w:pPr>
              <w:spacing w:line="312" w:lineRule="auto"/>
              <w:jc w:val="center"/>
              <w:rPr>
                <w:rFonts w:hint="eastAsia" w:ascii="宋体" w:hAnsi="宋体" w:cs="宋体"/>
                <w:color w:val="auto"/>
                <w:szCs w:val="21"/>
                <w:highlight w:val="none"/>
              </w:rPr>
            </w:pPr>
          </w:p>
        </w:tc>
        <w:tc>
          <w:tcPr>
            <w:tcW w:w="2205" w:type="dxa"/>
            <w:vAlign w:val="center"/>
          </w:tcPr>
          <w:p>
            <w:pPr>
              <w:spacing w:line="312" w:lineRule="auto"/>
              <w:jc w:val="center"/>
              <w:rPr>
                <w:rFonts w:hint="eastAsia" w:ascii="宋体" w:hAnsi="宋体" w:cs="宋体"/>
                <w:color w:val="auto"/>
                <w:szCs w:val="21"/>
                <w:highlight w:val="none"/>
              </w:rPr>
            </w:pPr>
          </w:p>
        </w:tc>
        <w:tc>
          <w:tcPr>
            <w:tcW w:w="1088" w:type="dxa"/>
            <w:vAlign w:val="center"/>
          </w:tcPr>
          <w:p>
            <w:pPr>
              <w:spacing w:line="312" w:lineRule="auto"/>
              <w:jc w:val="center"/>
              <w:rPr>
                <w:rFonts w:hint="eastAsia" w:ascii="宋体" w:hAnsi="宋体" w:cs="宋体"/>
                <w:color w:val="auto"/>
                <w:szCs w:val="21"/>
                <w:highlight w:val="none"/>
              </w:rPr>
            </w:pPr>
          </w:p>
        </w:tc>
        <w:tc>
          <w:tcPr>
            <w:tcW w:w="804" w:type="dxa"/>
            <w:vAlign w:val="center"/>
          </w:tcPr>
          <w:p>
            <w:pPr>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64"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162" w:type="dxa"/>
            <w:vAlign w:val="center"/>
          </w:tcPr>
          <w:p>
            <w:pPr>
              <w:spacing w:line="312" w:lineRule="auto"/>
              <w:jc w:val="center"/>
              <w:rPr>
                <w:rFonts w:hint="eastAsia" w:ascii="宋体" w:hAnsi="宋体" w:cs="宋体"/>
                <w:color w:val="auto"/>
                <w:szCs w:val="21"/>
                <w:highlight w:val="none"/>
              </w:rPr>
            </w:pPr>
          </w:p>
        </w:tc>
        <w:tc>
          <w:tcPr>
            <w:tcW w:w="2205" w:type="dxa"/>
            <w:vAlign w:val="center"/>
          </w:tcPr>
          <w:p>
            <w:pPr>
              <w:spacing w:line="312" w:lineRule="auto"/>
              <w:jc w:val="center"/>
              <w:rPr>
                <w:rFonts w:hint="eastAsia" w:ascii="宋体" w:hAnsi="宋体" w:cs="宋体"/>
                <w:bCs/>
                <w:color w:val="auto"/>
                <w:szCs w:val="21"/>
                <w:highlight w:val="none"/>
              </w:rPr>
            </w:pPr>
          </w:p>
        </w:tc>
        <w:tc>
          <w:tcPr>
            <w:tcW w:w="1088" w:type="dxa"/>
            <w:vAlign w:val="center"/>
          </w:tcPr>
          <w:p>
            <w:pPr>
              <w:spacing w:line="312" w:lineRule="auto"/>
              <w:jc w:val="center"/>
              <w:rPr>
                <w:rFonts w:hint="eastAsia" w:ascii="宋体" w:hAnsi="宋体" w:cs="宋体"/>
                <w:color w:val="auto"/>
                <w:szCs w:val="21"/>
                <w:highlight w:val="none"/>
              </w:rPr>
            </w:pPr>
          </w:p>
        </w:tc>
        <w:tc>
          <w:tcPr>
            <w:tcW w:w="804" w:type="dxa"/>
            <w:vAlign w:val="center"/>
          </w:tcPr>
          <w:p>
            <w:pPr>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9" w:type="dxa"/>
            <w:gridSpan w:val="6"/>
            <w:vAlign w:val="center"/>
          </w:tcPr>
          <w:p>
            <w:pPr>
              <w:spacing w:line="312" w:lineRule="auto"/>
              <w:rPr>
                <w:rFonts w:hint="eastAsia" w:ascii="宋体" w:hAnsi="宋体" w:cs="宋体"/>
                <w:b/>
                <w:color w:val="auto"/>
                <w:szCs w:val="21"/>
                <w:highlight w:val="none"/>
              </w:rPr>
            </w:pPr>
            <w:r>
              <w:rPr>
                <w:rFonts w:hint="eastAsia" w:ascii="宋体" w:hAnsi="宋体" w:cs="宋体"/>
                <w:b/>
                <w:color w:val="auto"/>
                <w:szCs w:val="21"/>
                <w:highlight w:val="none"/>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64"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3162"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产品名称、规格型号</w:t>
            </w:r>
          </w:p>
        </w:tc>
        <w:tc>
          <w:tcPr>
            <w:tcW w:w="2205" w:type="dxa"/>
            <w:vAlign w:val="center"/>
          </w:tcPr>
          <w:p>
            <w:pPr>
              <w:spacing w:line="312" w:lineRule="auto"/>
              <w:jc w:val="center"/>
              <w:rPr>
                <w:rFonts w:hint="eastAsia" w:ascii="宋体" w:hAnsi="宋体" w:cs="宋体"/>
                <w:b/>
                <w:color w:val="auto"/>
                <w:szCs w:val="21"/>
                <w:highlight w:val="none"/>
              </w:rPr>
            </w:pPr>
            <w:r>
              <w:rPr>
                <w:rFonts w:hint="eastAsia" w:ascii="宋体" w:hAnsi="宋体" w:cs="宋体"/>
                <w:b/>
                <w:bCs/>
                <w:color w:val="auto"/>
                <w:szCs w:val="21"/>
                <w:highlight w:val="none"/>
              </w:rPr>
              <w:t>认证证书编号</w:t>
            </w:r>
          </w:p>
        </w:tc>
        <w:tc>
          <w:tcPr>
            <w:tcW w:w="1088" w:type="dxa"/>
            <w:vAlign w:val="center"/>
          </w:tcPr>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认证机构名称</w:t>
            </w:r>
          </w:p>
        </w:tc>
        <w:tc>
          <w:tcPr>
            <w:tcW w:w="804"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64" w:type="dxa"/>
            <w:vAlign w:val="center"/>
          </w:tcPr>
          <w:p>
            <w:pPr>
              <w:spacing w:line="312" w:lineRule="auto"/>
              <w:jc w:val="center"/>
              <w:rPr>
                <w:rFonts w:hint="eastAsia" w:ascii="宋体" w:hAnsi="宋体" w:cs="宋体"/>
                <w:color w:val="auto"/>
                <w:szCs w:val="21"/>
                <w:highlight w:val="none"/>
              </w:rPr>
            </w:pPr>
          </w:p>
        </w:tc>
        <w:tc>
          <w:tcPr>
            <w:tcW w:w="3162" w:type="dxa"/>
            <w:vAlign w:val="center"/>
          </w:tcPr>
          <w:p>
            <w:pPr>
              <w:spacing w:line="312" w:lineRule="auto"/>
              <w:jc w:val="center"/>
              <w:rPr>
                <w:rFonts w:hint="eastAsia" w:ascii="宋体" w:hAnsi="宋体" w:cs="宋体"/>
                <w:color w:val="auto"/>
                <w:szCs w:val="21"/>
                <w:highlight w:val="none"/>
              </w:rPr>
            </w:pPr>
          </w:p>
        </w:tc>
        <w:tc>
          <w:tcPr>
            <w:tcW w:w="2205" w:type="dxa"/>
            <w:vAlign w:val="center"/>
          </w:tcPr>
          <w:p>
            <w:pPr>
              <w:spacing w:line="312" w:lineRule="auto"/>
              <w:jc w:val="center"/>
              <w:rPr>
                <w:rFonts w:hint="eastAsia" w:ascii="宋体" w:hAnsi="宋体" w:cs="宋体"/>
                <w:bCs/>
                <w:color w:val="auto"/>
                <w:szCs w:val="21"/>
                <w:highlight w:val="none"/>
              </w:rPr>
            </w:pPr>
          </w:p>
        </w:tc>
        <w:tc>
          <w:tcPr>
            <w:tcW w:w="1088" w:type="dxa"/>
            <w:vAlign w:val="center"/>
          </w:tcPr>
          <w:p>
            <w:pPr>
              <w:spacing w:line="312" w:lineRule="auto"/>
              <w:jc w:val="center"/>
              <w:rPr>
                <w:rFonts w:hint="eastAsia" w:ascii="宋体" w:hAnsi="宋体" w:cs="宋体"/>
                <w:color w:val="auto"/>
                <w:szCs w:val="21"/>
                <w:highlight w:val="none"/>
              </w:rPr>
            </w:pPr>
          </w:p>
        </w:tc>
        <w:tc>
          <w:tcPr>
            <w:tcW w:w="804" w:type="dxa"/>
            <w:vAlign w:val="center"/>
          </w:tcPr>
          <w:p>
            <w:pPr>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64" w:type="dxa"/>
            <w:vAlign w:val="center"/>
          </w:tcPr>
          <w:p>
            <w:pPr>
              <w:spacing w:line="312" w:lineRule="auto"/>
              <w:jc w:val="center"/>
              <w:rPr>
                <w:rFonts w:hint="eastAsia" w:ascii="宋体" w:hAnsi="宋体" w:cs="宋体"/>
                <w:color w:val="auto"/>
                <w:szCs w:val="21"/>
                <w:highlight w:val="none"/>
              </w:rPr>
            </w:pPr>
          </w:p>
        </w:tc>
        <w:tc>
          <w:tcPr>
            <w:tcW w:w="3162" w:type="dxa"/>
            <w:vAlign w:val="center"/>
          </w:tcPr>
          <w:p>
            <w:pPr>
              <w:spacing w:line="312" w:lineRule="auto"/>
              <w:jc w:val="center"/>
              <w:rPr>
                <w:rFonts w:hint="eastAsia" w:ascii="宋体" w:hAnsi="宋体" w:cs="宋体"/>
                <w:color w:val="auto"/>
                <w:szCs w:val="21"/>
                <w:highlight w:val="none"/>
              </w:rPr>
            </w:pPr>
          </w:p>
        </w:tc>
        <w:tc>
          <w:tcPr>
            <w:tcW w:w="2205" w:type="dxa"/>
            <w:vAlign w:val="center"/>
          </w:tcPr>
          <w:p>
            <w:pPr>
              <w:spacing w:line="312" w:lineRule="auto"/>
              <w:jc w:val="center"/>
              <w:rPr>
                <w:rFonts w:hint="eastAsia" w:ascii="宋体" w:hAnsi="宋体" w:cs="宋体"/>
                <w:bCs/>
                <w:color w:val="auto"/>
                <w:szCs w:val="21"/>
                <w:highlight w:val="none"/>
              </w:rPr>
            </w:pPr>
          </w:p>
        </w:tc>
        <w:tc>
          <w:tcPr>
            <w:tcW w:w="1088" w:type="dxa"/>
            <w:vAlign w:val="center"/>
          </w:tcPr>
          <w:p>
            <w:pPr>
              <w:spacing w:line="312" w:lineRule="auto"/>
              <w:jc w:val="center"/>
              <w:rPr>
                <w:rFonts w:hint="eastAsia" w:ascii="宋体" w:hAnsi="宋体" w:cs="宋体"/>
                <w:color w:val="auto"/>
                <w:szCs w:val="21"/>
                <w:highlight w:val="none"/>
              </w:rPr>
            </w:pPr>
          </w:p>
        </w:tc>
        <w:tc>
          <w:tcPr>
            <w:tcW w:w="804" w:type="dxa"/>
            <w:vAlign w:val="center"/>
          </w:tcPr>
          <w:p>
            <w:pPr>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64" w:type="dxa"/>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162" w:type="dxa"/>
            <w:vAlign w:val="center"/>
          </w:tcPr>
          <w:p>
            <w:pPr>
              <w:spacing w:line="312" w:lineRule="auto"/>
              <w:jc w:val="center"/>
              <w:rPr>
                <w:rFonts w:hint="eastAsia" w:ascii="宋体" w:hAnsi="宋体" w:cs="宋体"/>
                <w:color w:val="auto"/>
                <w:szCs w:val="21"/>
                <w:highlight w:val="none"/>
              </w:rPr>
            </w:pPr>
          </w:p>
        </w:tc>
        <w:tc>
          <w:tcPr>
            <w:tcW w:w="2205" w:type="dxa"/>
            <w:vAlign w:val="center"/>
          </w:tcPr>
          <w:p>
            <w:pPr>
              <w:spacing w:line="312" w:lineRule="auto"/>
              <w:jc w:val="center"/>
              <w:rPr>
                <w:rFonts w:hint="eastAsia" w:ascii="宋体" w:hAnsi="宋体" w:cs="宋体"/>
                <w:bCs/>
                <w:color w:val="auto"/>
                <w:szCs w:val="21"/>
                <w:highlight w:val="none"/>
              </w:rPr>
            </w:pPr>
          </w:p>
        </w:tc>
        <w:tc>
          <w:tcPr>
            <w:tcW w:w="1088" w:type="dxa"/>
            <w:vAlign w:val="center"/>
          </w:tcPr>
          <w:p>
            <w:pPr>
              <w:spacing w:line="312" w:lineRule="auto"/>
              <w:jc w:val="center"/>
              <w:rPr>
                <w:rFonts w:hint="eastAsia" w:ascii="宋体" w:hAnsi="宋体" w:cs="宋体"/>
                <w:color w:val="auto"/>
                <w:szCs w:val="21"/>
                <w:highlight w:val="none"/>
              </w:rPr>
            </w:pPr>
          </w:p>
        </w:tc>
        <w:tc>
          <w:tcPr>
            <w:tcW w:w="804" w:type="dxa"/>
            <w:vAlign w:val="center"/>
          </w:tcPr>
          <w:p>
            <w:pPr>
              <w:spacing w:line="312" w:lineRule="auto"/>
              <w:jc w:val="center"/>
              <w:rPr>
                <w:rFonts w:hint="eastAsia" w:ascii="宋体" w:hAnsi="宋体" w:cs="宋体"/>
                <w:color w:val="auto"/>
                <w:szCs w:val="21"/>
                <w:highlight w:val="none"/>
              </w:rPr>
            </w:pPr>
          </w:p>
        </w:tc>
      </w:tr>
    </w:tbl>
    <w:p>
      <w:pPr>
        <w:spacing w:line="312" w:lineRule="auto"/>
        <w:rPr>
          <w:rFonts w:hint="eastAsia" w:ascii="宋体" w:hAnsi="宋体" w:cs="宋体"/>
          <w:b/>
          <w:color w:val="auto"/>
          <w:szCs w:val="21"/>
          <w:highlight w:val="none"/>
        </w:rPr>
      </w:pPr>
      <w:r>
        <w:rPr>
          <w:rFonts w:hint="eastAsia" w:ascii="宋体" w:hAnsi="宋体" w:cs="宋体"/>
          <w:b/>
          <w:color w:val="auto"/>
          <w:szCs w:val="21"/>
          <w:highlight w:val="none"/>
        </w:rPr>
        <w:t>注：1、节能产品和环保产品需附上拟投的产品的认证证书（</w:t>
      </w:r>
      <w:r>
        <w:rPr>
          <w:rFonts w:hint="eastAsia" w:ascii="宋体" w:hAnsi="宋体" w:cs="宋体"/>
          <w:b/>
          <w:color w:val="auto"/>
          <w:szCs w:val="21"/>
          <w:highlight w:val="none"/>
          <w:u w:val="single"/>
        </w:rPr>
        <w:t>以《市场监管总局关于发布参与实施政府采购节能产品、环境标志产品认证机构名录的公告》（2019年第16号）中所列认证机构出具</w:t>
      </w:r>
      <w:r>
        <w:rPr>
          <w:rFonts w:hint="eastAsia" w:ascii="宋体" w:hAnsi="宋体" w:cs="宋体"/>
          <w:b/>
          <w:color w:val="auto"/>
          <w:szCs w:val="21"/>
          <w:highlight w:val="none"/>
        </w:rPr>
        <w:t>）或在中国政府采购网（http://www.ccgp.gov.cn/jnhb/jnhbqd/）节能、环保清单查询结果截图；</w:t>
      </w:r>
    </w:p>
    <w:p>
      <w:pPr>
        <w:numPr>
          <w:ilvl w:val="0"/>
          <w:numId w:val="25"/>
        </w:numPr>
        <w:spacing w:line="312" w:lineRule="auto"/>
        <w:ind w:left="0" w:leftChars="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投标时未提供本表格及附件截图，环保产品不得分。</w:t>
      </w:r>
    </w:p>
    <w:p>
      <w:pPr>
        <w:pStyle w:val="32"/>
        <w:widowControl w:val="0"/>
        <w:numPr>
          <w:ilvl w:val="0"/>
          <w:numId w:val="0"/>
        </w:numPr>
        <w:spacing w:after="120" w:afterLines="0" w:line="240" w:lineRule="auto"/>
        <w:jc w:val="both"/>
        <w:rPr>
          <w:rFonts w:hint="eastAsia"/>
          <w:color w:val="auto"/>
          <w:highlight w:val="none"/>
        </w:rPr>
      </w:pPr>
    </w:p>
    <w:p>
      <w:pPr>
        <w:pStyle w:val="32"/>
        <w:widowControl w:val="0"/>
        <w:numPr>
          <w:ilvl w:val="0"/>
          <w:numId w:val="0"/>
        </w:numPr>
        <w:spacing w:after="120" w:afterLines="0" w:line="240" w:lineRule="auto"/>
        <w:jc w:val="both"/>
        <w:rPr>
          <w:rFonts w:hint="eastAsia"/>
          <w:color w:val="auto"/>
          <w:highlight w:val="none"/>
        </w:rPr>
      </w:pPr>
    </w:p>
    <w:p>
      <w:pPr>
        <w:pStyle w:val="32"/>
        <w:widowControl w:val="0"/>
        <w:numPr>
          <w:ilvl w:val="0"/>
          <w:numId w:val="0"/>
        </w:numPr>
        <w:spacing w:after="120" w:afterLines="0" w:line="240" w:lineRule="auto"/>
        <w:jc w:val="both"/>
        <w:rPr>
          <w:rFonts w:hint="eastAsia"/>
          <w:color w:val="auto"/>
          <w:highlight w:val="none"/>
        </w:rPr>
      </w:pPr>
    </w:p>
    <w:p>
      <w:pPr>
        <w:pStyle w:val="32"/>
        <w:widowControl w:val="0"/>
        <w:numPr>
          <w:ilvl w:val="0"/>
          <w:numId w:val="0"/>
        </w:numPr>
        <w:spacing w:after="120" w:afterLines="0" w:line="240" w:lineRule="auto"/>
        <w:jc w:val="both"/>
        <w:rPr>
          <w:rFonts w:hint="eastAsia"/>
          <w:color w:val="auto"/>
          <w:highlight w:val="none"/>
        </w:rPr>
      </w:pPr>
    </w:p>
    <w:p>
      <w:pPr>
        <w:pStyle w:val="32"/>
        <w:widowControl w:val="0"/>
        <w:numPr>
          <w:ilvl w:val="0"/>
          <w:numId w:val="0"/>
        </w:numPr>
        <w:spacing w:after="120" w:afterLines="0" w:line="240" w:lineRule="auto"/>
        <w:jc w:val="both"/>
        <w:rPr>
          <w:rFonts w:hint="eastAsia"/>
          <w:color w:val="auto"/>
          <w:highlight w:val="none"/>
        </w:rPr>
      </w:pPr>
    </w:p>
    <w:p>
      <w:pPr>
        <w:pStyle w:val="32"/>
        <w:widowControl w:val="0"/>
        <w:numPr>
          <w:ilvl w:val="0"/>
          <w:numId w:val="0"/>
        </w:numPr>
        <w:spacing w:after="120" w:afterLines="0" w:line="240" w:lineRule="auto"/>
        <w:jc w:val="both"/>
        <w:rPr>
          <w:rFonts w:hint="eastAsia"/>
          <w:color w:val="auto"/>
          <w:highlight w:val="none"/>
        </w:rPr>
      </w:pPr>
    </w:p>
    <w:p>
      <w:pPr>
        <w:pStyle w:val="32"/>
        <w:widowControl w:val="0"/>
        <w:numPr>
          <w:ilvl w:val="0"/>
          <w:numId w:val="0"/>
        </w:numPr>
        <w:spacing w:after="120" w:afterLines="0" w:line="240" w:lineRule="auto"/>
        <w:jc w:val="both"/>
        <w:rPr>
          <w:rFonts w:hint="eastAsia"/>
          <w:color w:val="auto"/>
          <w:highlight w:val="none"/>
        </w:rPr>
      </w:pPr>
    </w:p>
    <w:p>
      <w:pPr>
        <w:pStyle w:val="32"/>
        <w:widowControl w:val="0"/>
        <w:numPr>
          <w:ilvl w:val="0"/>
          <w:numId w:val="0"/>
        </w:numPr>
        <w:spacing w:after="120" w:afterLines="0" w:line="240" w:lineRule="auto"/>
        <w:jc w:val="both"/>
        <w:rPr>
          <w:rFonts w:hint="eastAsia"/>
          <w:color w:val="auto"/>
          <w:highlight w:val="none"/>
        </w:rPr>
      </w:pPr>
    </w:p>
    <w:sectPr>
      <w:footerReference r:id="rId6" w:type="first"/>
      <w:footerReference r:id="rId5" w:type="default"/>
      <w:pgSz w:w="11906" w:h="16838"/>
      <w:pgMar w:top="1304" w:right="1644" w:bottom="1304" w:left="164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pX8jGsQEA&#10;AE4DAAAOAAAAAAAAAAEAIAAAAB4BAABkcnMvZTJvRG9jLnhtbFBLBQYAAAAABgAGAFkBAABBBQAA&#10;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UK8bEBAABO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ar6Y5w71PtaY+OQxNQ0fYMjZoz+iMwsfVLD5&#10;i5IIxrHXh3N/5ZCIyI+Wi+WywpDA2HRBHPb63IeYPkqwJBsNDTjA0le+/xTTKXVKydUc3Glj0M9r&#10;4/5wIGb2sMz9xDFbadgMI/ENtAfU0+PsG+pwOSkx9w5bm9dkMsJkbCZj54PedmWPcr3ob3YJSRRu&#10;ucIJdiyMQyvqxgXLW/H7vWS9/gb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K5QrxsQEA&#10;AE4DAAAOAAAAAAAAAAEAIAAAAB4BAABkcnMvZTJvRG9jLnhtbFBLBQYAAAAABgAGAFkBAABBBQAA&#10;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PAGE   \* MERGEFORMAT</w:instrText>
                          </w:r>
                          <w:r>
                            <w:fldChar w:fldCharType="separate"/>
                          </w:r>
                          <w:r>
                            <w:rPr>
                              <w:lang w:val="zh-CN"/>
                            </w:rPr>
                            <w:t>37</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V9dbxsQEA&#10;AE4DAAAOAAAAAAAAAAEAIAAAAB4BAABkcnMvZTJvRG9jLnhtbFBLBQYAAAAABgAGAFkBAABBBQAA&#10;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37</w:t>
                    </w:r>
                    <w:r>
                      <w:fldChar w:fldCharType="end"/>
                    </w:r>
                  </w:p>
                </w:txbxContent>
              </v:textbox>
            </v:shape>
          </w:pict>
        </mc:Fallback>
      </mc:AlternateContent>
    </w:r>
  </w:p>
  <w:p>
    <w:pPr>
      <w:pStyle w:val="14"/>
      <w:tabs>
        <w:tab w:val="left" w:pos="705"/>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PAGE   \* MERGEFORMAT</w:instrText>
                          </w:r>
                          <w:r>
                            <w:fldChar w:fldCharType="separate"/>
                          </w:r>
                          <w:r>
                            <w:rPr>
                              <w:lang w:val="zh-CN"/>
                            </w:rPr>
                            <w:t>34</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n/hNR7IB&#10;AABOAwAADgAAAAAAAAABACAAAAAeAQAAZHJzL2Uyb0RvYy54bWxQSwUGAAAAAAYABgBZAQAAQgUA&#10;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AEE4A"/>
    <w:multiLevelType w:val="singleLevel"/>
    <w:tmpl w:val="9C7AEE4A"/>
    <w:lvl w:ilvl="0" w:tentative="0">
      <w:start w:val="4"/>
      <w:numFmt w:val="chineseCounting"/>
      <w:suff w:val="nothing"/>
      <w:lvlText w:val="%1、"/>
      <w:lvlJc w:val="left"/>
      <w:rPr>
        <w:rFonts w:hint="eastAsia"/>
      </w:rPr>
    </w:lvl>
  </w:abstractNum>
  <w:abstractNum w:abstractNumId="1">
    <w:nsid w:val="CC0EAE62"/>
    <w:multiLevelType w:val="singleLevel"/>
    <w:tmpl w:val="CC0EAE62"/>
    <w:lvl w:ilvl="0" w:tentative="0">
      <w:start w:val="1"/>
      <w:numFmt w:val="decimal"/>
      <w:suff w:val="nothing"/>
      <w:lvlText w:val="%1、"/>
      <w:lvlJc w:val="left"/>
    </w:lvl>
  </w:abstractNum>
  <w:abstractNum w:abstractNumId="2">
    <w:nsid w:val="D9776BBA"/>
    <w:multiLevelType w:val="singleLevel"/>
    <w:tmpl w:val="D9776BBA"/>
    <w:lvl w:ilvl="0" w:tentative="0">
      <w:start w:val="6"/>
      <w:numFmt w:val="chineseCounting"/>
      <w:suff w:val="space"/>
      <w:lvlText w:val="第%1部分"/>
      <w:lvlJc w:val="left"/>
      <w:rPr>
        <w:rFonts w:hint="eastAsia"/>
      </w:rPr>
    </w:lvl>
  </w:abstractNum>
  <w:abstractNum w:abstractNumId="3">
    <w:nsid w:val="00D51E37"/>
    <w:multiLevelType w:val="multilevel"/>
    <w:tmpl w:val="00D51E37"/>
    <w:lvl w:ilvl="0" w:tentative="0">
      <w:start w:val="1"/>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06866DEF"/>
    <w:multiLevelType w:val="multilevel"/>
    <w:tmpl w:val="06866DEF"/>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933117D"/>
    <w:multiLevelType w:val="multilevel"/>
    <w:tmpl w:val="0933117D"/>
    <w:lvl w:ilvl="0" w:tentative="0">
      <w:start w:val="9"/>
      <w:numFmt w:val="chineseCountingThousand"/>
      <w:suff w:val="space"/>
      <w:lvlText w:val="%1、"/>
      <w:lvlJc w:val="left"/>
      <w:pPr>
        <w:ind w:left="425" w:firstLine="142"/>
      </w:pPr>
      <w:rPr>
        <w:rFonts w:hint="eastAsia"/>
      </w:rPr>
    </w:lvl>
    <w:lvl w:ilvl="1" w:tentative="0">
      <w:start w:val="1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A9F1AFE"/>
    <w:multiLevelType w:val="multilevel"/>
    <w:tmpl w:val="0A9F1AFE"/>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7">
    <w:nsid w:val="19101F81"/>
    <w:multiLevelType w:val="multilevel"/>
    <w:tmpl w:val="19101F81"/>
    <w:lvl w:ilvl="0" w:tentative="0">
      <w:start w:val="13"/>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23A5190A"/>
    <w:multiLevelType w:val="multilevel"/>
    <w:tmpl w:val="23A5190A"/>
    <w:lvl w:ilvl="0" w:tentative="0">
      <w:start w:val="8"/>
      <w:numFmt w:val="chineseCountingThousand"/>
      <w:suff w:val="space"/>
      <w:lvlText w:val="%1"/>
      <w:lvlJc w:val="left"/>
      <w:pPr>
        <w:ind w:left="425" w:firstLine="142"/>
      </w:pPr>
      <w:rPr>
        <w:rFonts w:hint="eastAsia"/>
      </w:rPr>
    </w:lvl>
    <w:lvl w:ilvl="1" w:tentative="0">
      <w:start w:val="2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1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24480996"/>
    <w:multiLevelType w:val="multilevel"/>
    <w:tmpl w:val="24480996"/>
    <w:lvl w:ilvl="0" w:tentative="0">
      <w:start w:val="14"/>
      <w:numFmt w:val="chineseCountingThousand"/>
      <w:suff w:val="space"/>
      <w:lvlText w:val="%1、"/>
      <w:lvlJc w:val="left"/>
      <w:pPr>
        <w:ind w:left="425" w:firstLine="142"/>
      </w:pPr>
      <w:rPr>
        <w:rFonts w:hint="eastAsia"/>
      </w:rPr>
    </w:lvl>
    <w:lvl w:ilvl="1" w:tentative="0">
      <w:start w:val="1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27035C20"/>
    <w:multiLevelType w:val="multilevel"/>
    <w:tmpl w:val="27035C20"/>
    <w:lvl w:ilvl="0" w:tentative="0">
      <w:start w:val="6"/>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35EC69AF"/>
    <w:multiLevelType w:val="multilevel"/>
    <w:tmpl w:val="35EC69AF"/>
    <w:lvl w:ilvl="0" w:tentative="0">
      <w:start w:val="4"/>
      <w:numFmt w:val="chineseCountingThousand"/>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4751299C"/>
    <w:multiLevelType w:val="multilevel"/>
    <w:tmpl w:val="4751299C"/>
    <w:lvl w:ilvl="0" w:tentative="0">
      <w:start w:val="8"/>
      <w:numFmt w:val="chineseCountingThousand"/>
      <w:suff w:val="space"/>
      <w:lvlText w:val="%1"/>
      <w:lvlJc w:val="left"/>
      <w:pPr>
        <w:ind w:left="425" w:firstLine="142"/>
      </w:pPr>
      <w:rPr>
        <w:rFonts w:hint="eastAsia"/>
      </w:rPr>
    </w:lvl>
    <w:lvl w:ilvl="1" w:tentative="0">
      <w:start w:val="1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142"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56490074"/>
    <w:multiLevelType w:val="multilevel"/>
    <w:tmpl w:val="56490074"/>
    <w:lvl w:ilvl="0" w:tentative="0">
      <w:start w:val="1"/>
      <w:numFmt w:val="chineseCountingThousand"/>
      <w:suff w:val="space"/>
      <w:lvlText w:val="%1、"/>
      <w:lvlJc w:val="left"/>
      <w:pPr>
        <w:ind w:left="552" w:hanging="552"/>
      </w:pPr>
      <w:rPr>
        <w:rFonts w:hint="default"/>
        <w:b/>
        <w:bCs/>
        <w:sz w:val="28"/>
        <w:szCs w:val="2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suff w:val="space"/>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6CE96E8D"/>
    <w:multiLevelType w:val="multilevel"/>
    <w:tmpl w:val="6CE96E8D"/>
    <w:lvl w:ilvl="0" w:tentative="0">
      <w:start w:val="5"/>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20">
    <w:nsid w:val="70A069D2"/>
    <w:multiLevelType w:val="multilevel"/>
    <w:tmpl w:val="70A069D2"/>
    <w:lvl w:ilvl="0" w:tentative="0">
      <w:start w:val="7"/>
      <w:numFmt w:val="chineseCountingThousand"/>
      <w:suff w:val="space"/>
      <w:lvlText w:val="%1"/>
      <w:lvlJc w:val="left"/>
      <w:pPr>
        <w:ind w:left="425" w:firstLine="142"/>
      </w:pPr>
      <w:rPr>
        <w:rFonts w:hint="eastAsia"/>
      </w:rPr>
    </w:lvl>
    <w:lvl w:ilvl="1" w:tentative="0">
      <w:start w:val="3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730A0488"/>
    <w:multiLevelType w:val="multilevel"/>
    <w:tmpl w:val="730A0488"/>
    <w:lvl w:ilvl="0" w:tentative="0">
      <w:start w:val="4"/>
      <w:numFmt w:val="decimal"/>
      <w:lvlText w:val="（%1）"/>
      <w:lvlJc w:val="left"/>
      <w:pPr>
        <w:ind w:left="1245" w:hanging="735"/>
      </w:pPr>
      <w:rPr>
        <w:rFonts w:hint="default"/>
        <w:lang w:val="en-US"/>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22">
    <w:nsid w:val="76101386"/>
    <w:multiLevelType w:val="multilevel"/>
    <w:tmpl w:val="76101386"/>
    <w:lvl w:ilvl="0" w:tentative="0">
      <w:start w:val="9"/>
      <w:numFmt w:val="chineseCountingThousand"/>
      <w:suff w:val="space"/>
      <w:lvlText w:val="%1、"/>
      <w:lvlJc w:val="left"/>
      <w:pPr>
        <w:ind w:left="425" w:firstLine="142"/>
      </w:pPr>
      <w:rPr>
        <w:rFonts w:hint="eastAsia"/>
      </w:rPr>
    </w:lvl>
    <w:lvl w:ilvl="1" w:tentative="0">
      <w:start w:val="3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77FA72C7"/>
    <w:multiLevelType w:val="multilevel"/>
    <w:tmpl w:val="77FA72C7"/>
    <w:lvl w:ilvl="0" w:tentative="0">
      <w:start w:val="7"/>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5"/>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8"/>
  </w:num>
  <w:num w:numId="3">
    <w:abstractNumId w:val="6"/>
  </w:num>
  <w:num w:numId="4">
    <w:abstractNumId w:val="16"/>
  </w:num>
  <w:num w:numId="5">
    <w:abstractNumId w:val="14"/>
  </w:num>
  <w:num w:numId="6">
    <w:abstractNumId w:val="13"/>
  </w:num>
  <w:num w:numId="7">
    <w:abstractNumId w:val="18"/>
  </w:num>
  <w:num w:numId="8">
    <w:abstractNumId w:val="12"/>
  </w:num>
  <w:num w:numId="9">
    <w:abstractNumId w:val="10"/>
  </w:num>
  <w:num w:numId="10">
    <w:abstractNumId w:val="23"/>
  </w:num>
  <w:num w:numId="11">
    <w:abstractNumId w:val="15"/>
  </w:num>
  <w:num w:numId="12">
    <w:abstractNumId w:val="10"/>
    <w:lvlOverride w:ilvl="0">
      <w:lvl w:ilvl="0" w:tentative="1">
        <w:start w:val="6"/>
        <w:numFmt w:val="chineseCountingThousand"/>
        <w:suff w:val="space"/>
        <w:lvlText w:val="%1"/>
        <w:lvlJc w:val="left"/>
        <w:pPr>
          <w:ind w:left="425" w:firstLine="142"/>
        </w:pPr>
        <w:rPr>
          <w:rFonts w:hint="eastAsia"/>
        </w:rPr>
      </w:lvl>
    </w:lvlOverride>
    <w:lvlOverride w:ilvl="1">
      <w:lvl w:ilvl="1" w:tentative="1">
        <w:start w:val="19"/>
        <w:numFmt w:val="decimal"/>
        <w:suff w:val="space"/>
        <w:lvlText w:val="%2."/>
        <w:lvlJc w:val="left"/>
        <w:pPr>
          <w:ind w:left="0" w:firstLine="567"/>
        </w:pPr>
        <w:rPr>
          <w:rFonts w:hint="eastAsia"/>
          <w:b w:val="0"/>
          <w:i w:val="0"/>
        </w:rPr>
      </w:lvl>
    </w:lvlOverride>
    <w:lvlOverride w:ilvl="2">
      <w:lvl w:ilvl="2" w:tentative="1">
        <w:start w:val="1"/>
        <w:numFmt w:val="decimal"/>
        <w:suff w:val="nothing"/>
        <w:lvlText w:val="%2.%3"/>
        <w:lvlJc w:val="left"/>
        <w:pPr>
          <w:ind w:left="0" w:firstLine="567"/>
        </w:pPr>
        <w:rPr>
          <w:rFonts w:hint="eastAsia"/>
          <w:b w:val="0"/>
          <w:sz w:val="28"/>
          <w:szCs w:val="28"/>
        </w:rPr>
      </w:lvl>
    </w:lvlOverride>
    <w:lvlOverride w:ilvl="3">
      <w:lvl w:ilvl="3" w:tentative="1">
        <w:start w:val="1"/>
        <w:numFmt w:val="decimal"/>
        <w:suff w:val="nothing"/>
        <w:lvlText w:val="%2.%3.%4"/>
        <w:lvlJc w:val="left"/>
        <w:pPr>
          <w:ind w:left="0" w:firstLine="567"/>
        </w:pPr>
        <w:rPr>
          <w:rFonts w:hint="default"/>
        </w:rPr>
      </w:lvl>
    </w:lvlOverride>
    <w:lvlOverride w:ilvl="4">
      <w:lvl w:ilvl="4" w:tentative="1">
        <w:start w:val="1"/>
        <w:numFmt w:val="decimal"/>
        <w:lvlText w:val="%1.%2.%3.%4.%5"/>
        <w:lvlJc w:val="left"/>
        <w:pPr>
          <w:tabs>
            <w:tab w:val="left" w:pos="2551"/>
          </w:tabs>
          <w:ind w:left="2551" w:hanging="850"/>
        </w:pPr>
        <w:rPr>
          <w:rFonts w:hint="eastAsia"/>
        </w:rPr>
      </w:lvl>
    </w:lvlOverride>
    <w:lvlOverride w:ilvl="5">
      <w:lvl w:ilvl="5" w:tentative="1">
        <w:start w:val="1"/>
        <w:numFmt w:val="decimal"/>
        <w:lvlText w:val="%1.%2.%3.%4.%5.%6"/>
        <w:lvlJc w:val="left"/>
        <w:pPr>
          <w:tabs>
            <w:tab w:val="left" w:pos="3260"/>
          </w:tabs>
          <w:ind w:left="3260" w:hanging="1134"/>
        </w:pPr>
        <w:rPr>
          <w:rFonts w:hint="eastAsia"/>
        </w:rPr>
      </w:lvl>
    </w:lvlOverride>
    <w:lvlOverride w:ilvl="6">
      <w:lvl w:ilvl="6" w:tentative="1">
        <w:start w:val="1"/>
        <w:numFmt w:val="decimal"/>
        <w:lvlText w:val="%1.%2.%3.%4.%5.%6.%7"/>
        <w:lvlJc w:val="left"/>
        <w:pPr>
          <w:tabs>
            <w:tab w:val="left" w:pos="3827"/>
          </w:tabs>
          <w:ind w:left="3827" w:hanging="1276"/>
        </w:pPr>
        <w:rPr>
          <w:rFonts w:hint="eastAsia"/>
        </w:rPr>
      </w:lvl>
    </w:lvlOverride>
    <w:lvlOverride w:ilvl="7">
      <w:lvl w:ilvl="7" w:tentative="1">
        <w:start w:val="1"/>
        <w:numFmt w:val="decimal"/>
        <w:lvlText w:val="%1.%2.%3.%4.%5.%6.%7.%8"/>
        <w:lvlJc w:val="left"/>
        <w:pPr>
          <w:tabs>
            <w:tab w:val="left" w:pos="4394"/>
          </w:tabs>
          <w:ind w:left="4394" w:hanging="1418"/>
        </w:pPr>
        <w:rPr>
          <w:rFonts w:hint="eastAsia"/>
        </w:rPr>
      </w:lvl>
    </w:lvlOverride>
    <w:lvlOverride w:ilvl="8">
      <w:lvl w:ilvl="8" w:tentative="1">
        <w:start w:val="1"/>
        <w:numFmt w:val="decimal"/>
        <w:lvlText w:val="%1.%2.%3.%4.%5.%6.%7.%8.%9"/>
        <w:lvlJc w:val="left"/>
        <w:pPr>
          <w:tabs>
            <w:tab w:val="left" w:pos="5102"/>
          </w:tabs>
          <w:ind w:left="5102" w:hanging="1700"/>
        </w:pPr>
        <w:rPr>
          <w:rFonts w:hint="eastAsia"/>
        </w:rPr>
      </w:lvl>
    </w:lvlOverride>
  </w:num>
  <w:num w:numId="13">
    <w:abstractNumId w:val="5"/>
  </w:num>
  <w:num w:numId="14">
    <w:abstractNumId w:val="9"/>
  </w:num>
  <w:num w:numId="15">
    <w:abstractNumId w:val="7"/>
  </w:num>
  <w:num w:numId="16">
    <w:abstractNumId w:val="22"/>
  </w:num>
  <w:num w:numId="17">
    <w:abstractNumId w:val="4"/>
  </w:num>
  <w:num w:numId="18">
    <w:abstractNumId w:val="21"/>
  </w:num>
  <w:num w:numId="19">
    <w:abstractNumId w:val="11"/>
  </w:num>
  <w:num w:numId="20">
    <w:abstractNumId w:val="20"/>
  </w:num>
  <w:num w:numId="21">
    <w:abstractNumId w:val="17"/>
  </w:num>
  <w:num w:numId="22">
    <w:abstractNumId w:val="3"/>
  </w:num>
  <w:num w:numId="23">
    <w:abstractNumId w:val="2"/>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5,6,7,8"/>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95"/>
    <w:rsid w:val="00000C74"/>
    <w:rsid w:val="00001009"/>
    <w:rsid w:val="00001F84"/>
    <w:rsid w:val="00004671"/>
    <w:rsid w:val="00004F2C"/>
    <w:rsid w:val="0000530A"/>
    <w:rsid w:val="00005694"/>
    <w:rsid w:val="00007531"/>
    <w:rsid w:val="000138A4"/>
    <w:rsid w:val="00015A2F"/>
    <w:rsid w:val="000207DB"/>
    <w:rsid w:val="000245AA"/>
    <w:rsid w:val="00024AB0"/>
    <w:rsid w:val="0002635F"/>
    <w:rsid w:val="000270A4"/>
    <w:rsid w:val="000318FB"/>
    <w:rsid w:val="00033303"/>
    <w:rsid w:val="000349DC"/>
    <w:rsid w:val="00035B88"/>
    <w:rsid w:val="0003699E"/>
    <w:rsid w:val="00037D4D"/>
    <w:rsid w:val="00045B31"/>
    <w:rsid w:val="00046CD9"/>
    <w:rsid w:val="000478E2"/>
    <w:rsid w:val="00047FE4"/>
    <w:rsid w:val="00050818"/>
    <w:rsid w:val="00050DB5"/>
    <w:rsid w:val="0005252C"/>
    <w:rsid w:val="000539C5"/>
    <w:rsid w:val="00053DE5"/>
    <w:rsid w:val="0005448C"/>
    <w:rsid w:val="000545B1"/>
    <w:rsid w:val="00055DDC"/>
    <w:rsid w:val="000565F5"/>
    <w:rsid w:val="00056966"/>
    <w:rsid w:val="00056F97"/>
    <w:rsid w:val="00060E75"/>
    <w:rsid w:val="00066F36"/>
    <w:rsid w:val="00070986"/>
    <w:rsid w:val="00070CFA"/>
    <w:rsid w:val="00073D1D"/>
    <w:rsid w:val="00075970"/>
    <w:rsid w:val="0007603C"/>
    <w:rsid w:val="000776C8"/>
    <w:rsid w:val="00081F77"/>
    <w:rsid w:val="0008435A"/>
    <w:rsid w:val="00087689"/>
    <w:rsid w:val="000876EA"/>
    <w:rsid w:val="000903CB"/>
    <w:rsid w:val="00091D2C"/>
    <w:rsid w:val="000A0A75"/>
    <w:rsid w:val="000A1FF8"/>
    <w:rsid w:val="000A3BA7"/>
    <w:rsid w:val="000A5422"/>
    <w:rsid w:val="000B0230"/>
    <w:rsid w:val="000B0522"/>
    <w:rsid w:val="000B541C"/>
    <w:rsid w:val="000B6209"/>
    <w:rsid w:val="000B649D"/>
    <w:rsid w:val="000B730A"/>
    <w:rsid w:val="000C0861"/>
    <w:rsid w:val="000C14BB"/>
    <w:rsid w:val="000C36C3"/>
    <w:rsid w:val="000C3FE5"/>
    <w:rsid w:val="000C44DD"/>
    <w:rsid w:val="000C45A6"/>
    <w:rsid w:val="000C4C00"/>
    <w:rsid w:val="000C5DAB"/>
    <w:rsid w:val="000C6947"/>
    <w:rsid w:val="000C7261"/>
    <w:rsid w:val="000D0286"/>
    <w:rsid w:val="000D0822"/>
    <w:rsid w:val="000D2A68"/>
    <w:rsid w:val="000D2CA5"/>
    <w:rsid w:val="000D2E77"/>
    <w:rsid w:val="000D3983"/>
    <w:rsid w:val="000D672A"/>
    <w:rsid w:val="000E06E1"/>
    <w:rsid w:val="000E0721"/>
    <w:rsid w:val="000E2A79"/>
    <w:rsid w:val="000E2F28"/>
    <w:rsid w:val="000E335C"/>
    <w:rsid w:val="000E5555"/>
    <w:rsid w:val="000E5E5D"/>
    <w:rsid w:val="000E7784"/>
    <w:rsid w:val="000F0251"/>
    <w:rsid w:val="000F091D"/>
    <w:rsid w:val="000F182C"/>
    <w:rsid w:val="000F22E7"/>
    <w:rsid w:val="000F22E9"/>
    <w:rsid w:val="000F2AF7"/>
    <w:rsid w:val="000F2CAC"/>
    <w:rsid w:val="000F3B16"/>
    <w:rsid w:val="000F5AB8"/>
    <w:rsid w:val="000F6E27"/>
    <w:rsid w:val="00100B2B"/>
    <w:rsid w:val="00101C44"/>
    <w:rsid w:val="001030EE"/>
    <w:rsid w:val="00103640"/>
    <w:rsid w:val="0010532E"/>
    <w:rsid w:val="001069A1"/>
    <w:rsid w:val="00106BE1"/>
    <w:rsid w:val="00121207"/>
    <w:rsid w:val="00122EAA"/>
    <w:rsid w:val="00124559"/>
    <w:rsid w:val="001256A9"/>
    <w:rsid w:val="00127681"/>
    <w:rsid w:val="001306AC"/>
    <w:rsid w:val="00130872"/>
    <w:rsid w:val="00131010"/>
    <w:rsid w:val="00131809"/>
    <w:rsid w:val="00131B75"/>
    <w:rsid w:val="0013236D"/>
    <w:rsid w:val="0013370C"/>
    <w:rsid w:val="00141F32"/>
    <w:rsid w:val="00142523"/>
    <w:rsid w:val="00144771"/>
    <w:rsid w:val="0015044F"/>
    <w:rsid w:val="00156161"/>
    <w:rsid w:val="001570FE"/>
    <w:rsid w:val="00157AA0"/>
    <w:rsid w:val="00167C5F"/>
    <w:rsid w:val="00171D44"/>
    <w:rsid w:val="00172BD6"/>
    <w:rsid w:val="00172C95"/>
    <w:rsid w:val="00173D93"/>
    <w:rsid w:val="00174B00"/>
    <w:rsid w:val="001766AA"/>
    <w:rsid w:val="00183AFE"/>
    <w:rsid w:val="001849A1"/>
    <w:rsid w:val="00185AD9"/>
    <w:rsid w:val="00187F20"/>
    <w:rsid w:val="0019033E"/>
    <w:rsid w:val="00191B1D"/>
    <w:rsid w:val="001920D3"/>
    <w:rsid w:val="001925ED"/>
    <w:rsid w:val="00192892"/>
    <w:rsid w:val="0019307D"/>
    <w:rsid w:val="0019403E"/>
    <w:rsid w:val="00196D9B"/>
    <w:rsid w:val="001A25E8"/>
    <w:rsid w:val="001A2DA5"/>
    <w:rsid w:val="001A598C"/>
    <w:rsid w:val="001B0A4A"/>
    <w:rsid w:val="001B0CC5"/>
    <w:rsid w:val="001B3DC3"/>
    <w:rsid w:val="001B60FE"/>
    <w:rsid w:val="001B766E"/>
    <w:rsid w:val="001C034C"/>
    <w:rsid w:val="001C1E5A"/>
    <w:rsid w:val="001C4FFF"/>
    <w:rsid w:val="001C5765"/>
    <w:rsid w:val="001C61C3"/>
    <w:rsid w:val="001C6443"/>
    <w:rsid w:val="001C7D2B"/>
    <w:rsid w:val="001D1DC4"/>
    <w:rsid w:val="001D2392"/>
    <w:rsid w:val="001D2869"/>
    <w:rsid w:val="001D3B23"/>
    <w:rsid w:val="001D4335"/>
    <w:rsid w:val="001D5BD8"/>
    <w:rsid w:val="001D5FE7"/>
    <w:rsid w:val="001E01F0"/>
    <w:rsid w:val="001E0B06"/>
    <w:rsid w:val="001E458C"/>
    <w:rsid w:val="001E5C3D"/>
    <w:rsid w:val="001F02BA"/>
    <w:rsid w:val="001F0AE3"/>
    <w:rsid w:val="001F12D2"/>
    <w:rsid w:val="001F1709"/>
    <w:rsid w:val="001F3E02"/>
    <w:rsid w:val="001F3E78"/>
    <w:rsid w:val="001F45DE"/>
    <w:rsid w:val="001F48B5"/>
    <w:rsid w:val="001F5129"/>
    <w:rsid w:val="001F5659"/>
    <w:rsid w:val="001F5998"/>
    <w:rsid w:val="001F7388"/>
    <w:rsid w:val="00201F73"/>
    <w:rsid w:val="0020472A"/>
    <w:rsid w:val="002055A7"/>
    <w:rsid w:val="00212C1A"/>
    <w:rsid w:val="00214129"/>
    <w:rsid w:val="002164F5"/>
    <w:rsid w:val="0021768B"/>
    <w:rsid w:val="00217F86"/>
    <w:rsid w:val="00222E2E"/>
    <w:rsid w:val="00225980"/>
    <w:rsid w:val="00231FB1"/>
    <w:rsid w:val="002330DC"/>
    <w:rsid w:val="002339A5"/>
    <w:rsid w:val="00240497"/>
    <w:rsid w:val="00241BB2"/>
    <w:rsid w:val="00243DE0"/>
    <w:rsid w:val="00244CE0"/>
    <w:rsid w:val="00247048"/>
    <w:rsid w:val="00247AAD"/>
    <w:rsid w:val="00250E3E"/>
    <w:rsid w:val="002510A5"/>
    <w:rsid w:val="0025188E"/>
    <w:rsid w:val="00251F98"/>
    <w:rsid w:val="00254A8A"/>
    <w:rsid w:val="00256C0F"/>
    <w:rsid w:val="00262B82"/>
    <w:rsid w:val="0026307D"/>
    <w:rsid w:val="00270F84"/>
    <w:rsid w:val="00272B7B"/>
    <w:rsid w:val="002731BD"/>
    <w:rsid w:val="00277A0A"/>
    <w:rsid w:val="00281AE8"/>
    <w:rsid w:val="00283EF5"/>
    <w:rsid w:val="00286E95"/>
    <w:rsid w:val="0028769B"/>
    <w:rsid w:val="002913A3"/>
    <w:rsid w:val="0029202A"/>
    <w:rsid w:val="002929D8"/>
    <w:rsid w:val="00292A81"/>
    <w:rsid w:val="00295D21"/>
    <w:rsid w:val="002A1577"/>
    <w:rsid w:val="002A3D15"/>
    <w:rsid w:val="002A52AC"/>
    <w:rsid w:val="002A684C"/>
    <w:rsid w:val="002B1440"/>
    <w:rsid w:val="002B356F"/>
    <w:rsid w:val="002B383C"/>
    <w:rsid w:val="002B5BAB"/>
    <w:rsid w:val="002B61A3"/>
    <w:rsid w:val="002C219C"/>
    <w:rsid w:val="002C421C"/>
    <w:rsid w:val="002C49A3"/>
    <w:rsid w:val="002C6673"/>
    <w:rsid w:val="002D0352"/>
    <w:rsid w:val="002D335D"/>
    <w:rsid w:val="002D3FD5"/>
    <w:rsid w:val="002D4254"/>
    <w:rsid w:val="002D4E7E"/>
    <w:rsid w:val="002D4F50"/>
    <w:rsid w:val="002D53BD"/>
    <w:rsid w:val="002D5E8A"/>
    <w:rsid w:val="002E352A"/>
    <w:rsid w:val="002E49A9"/>
    <w:rsid w:val="002E4AC3"/>
    <w:rsid w:val="002E53BC"/>
    <w:rsid w:val="002E74A7"/>
    <w:rsid w:val="002F0C21"/>
    <w:rsid w:val="002F0E0A"/>
    <w:rsid w:val="002F0FF2"/>
    <w:rsid w:val="002F3B53"/>
    <w:rsid w:val="002F4EE5"/>
    <w:rsid w:val="002F5296"/>
    <w:rsid w:val="002F5CE3"/>
    <w:rsid w:val="002F6B47"/>
    <w:rsid w:val="00301DE1"/>
    <w:rsid w:val="00303BBB"/>
    <w:rsid w:val="0030491E"/>
    <w:rsid w:val="00305A12"/>
    <w:rsid w:val="00307390"/>
    <w:rsid w:val="00307FE4"/>
    <w:rsid w:val="003102B1"/>
    <w:rsid w:val="0031030C"/>
    <w:rsid w:val="003115D1"/>
    <w:rsid w:val="00321C6D"/>
    <w:rsid w:val="00327693"/>
    <w:rsid w:val="003311F3"/>
    <w:rsid w:val="0033140A"/>
    <w:rsid w:val="003343C5"/>
    <w:rsid w:val="0033678C"/>
    <w:rsid w:val="00336A27"/>
    <w:rsid w:val="00337D58"/>
    <w:rsid w:val="00340953"/>
    <w:rsid w:val="0034099E"/>
    <w:rsid w:val="00340E73"/>
    <w:rsid w:val="00344457"/>
    <w:rsid w:val="00344BFD"/>
    <w:rsid w:val="00346245"/>
    <w:rsid w:val="00350BA8"/>
    <w:rsid w:val="00350C75"/>
    <w:rsid w:val="00351193"/>
    <w:rsid w:val="003511D5"/>
    <w:rsid w:val="003514CD"/>
    <w:rsid w:val="00351A0F"/>
    <w:rsid w:val="00351B8A"/>
    <w:rsid w:val="0035518E"/>
    <w:rsid w:val="003558A5"/>
    <w:rsid w:val="003610F2"/>
    <w:rsid w:val="00361712"/>
    <w:rsid w:val="00362D08"/>
    <w:rsid w:val="00364AEC"/>
    <w:rsid w:val="00364DD1"/>
    <w:rsid w:val="0036562D"/>
    <w:rsid w:val="003708C9"/>
    <w:rsid w:val="0037149E"/>
    <w:rsid w:val="00372EA8"/>
    <w:rsid w:val="00376F87"/>
    <w:rsid w:val="00377BA7"/>
    <w:rsid w:val="00382486"/>
    <w:rsid w:val="00384441"/>
    <w:rsid w:val="0038584E"/>
    <w:rsid w:val="003868DD"/>
    <w:rsid w:val="00392368"/>
    <w:rsid w:val="00394514"/>
    <w:rsid w:val="0039549D"/>
    <w:rsid w:val="003972A1"/>
    <w:rsid w:val="003A00F4"/>
    <w:rsid w:val="003A1FF4"/>
    <w:rsid w:val="003A337D"/>
    <w:rsid w:val="003A6411"/>
    <w:rsid w:val="003A66DA"/>
    <w:rsid w:val="003B0B9C"/>
    <w:rsid w:val="003B757C"/>
    <w:rsid w:val="003B7D16"/>
    <w:rsid w:val="003C0648"/>
    <w:rsid w:val="003C11D3"/>
    <w:rsid w:val="003C3288"/>
    <w:rsid w:val="003C436D"/>
    <w:rsid w:val="003C6709"/>
    <w:rsid w:val="003C7C05"/>
    <w:rsid w:val="003C7DAF"/>
    <w:rsid w:val="003D1E9F"/>
    <w:rsid w:val="003D3F90"/>
    <w:rsid w:val="003D4358"/>
    <w:rsid w:val="003D4725"/>
    <w:rsid w:val="003D4A69"/>
    <w:rsid w:val="003D61AB"/>
    <w:rsid w:val="003D6F09"/>
    <w:rsid w:val="003D71CC"/>
    <w:rsid w:val="003E4B58"/>
    <w:rsid w:val="003E51F7"/>
    <w:rsid w:val="003E7EE6"/>
    <w:rsid w:val="003F1FBC"/>
    <w:rsid w:val="003F2D49"/>
    <w:rsid w:val="003F4CD3"/>
    <w:rsid w:val="00410685"/>
    <w:rsid w:val="00410C37"/>
    <w:rsid w:val="00415869"/>
    <w:rsid w:val="00416FD5"/>
    <w:rsid w:val="00420063"/>
    <w:rsid w:val="00420C2F"/>
    <w:rsid w:val="004306BF"/>
    <w:rsid w:val="004326AC"/>
    <w:rsid w:val="00432A20"/>
    <w:rsid w:val="0044299B"/>
    <w:rsid w:val="00450209"/>
    <w:rsid w:val="0045527D"/>
    <w:rsid w:val="00455D4F"/>
    <w:rsid w:val="004561F4"/>
    <w:rsid w:val="00456BBA"/>
    <w:rsid w:val="00457EF0"/>
    <w:rsid w:val="0046042C"/>
    <w:rsid w:val="00461392"/>
    <w:rsid w:val="0046222E"/>
    <w:rsid w:val="00462CF8"/>
    <w:rsid w:val="0046315E"/>
    <w:rsid w:val="00463DAA"/>
    <w:rsid w:val="0046664F"/>
    <w:rsid w:val="004670AB"/>
    <w:rsid w:val="00471BAF"/>
    <w:rsid w:val="00473575"/>
    <w:rsid w:val="0048055F"/>
    <w:rsid w:val="00481382"/>
    <w:rsid w:val="004814E4"/>
    <w:rsid w:val="004821E0"/>
    <w:rsid w:val="0048429B"/>
    <w:rsid w:val="004855C3"/>
    <w:rsid w:val="004859BC"/>
    <w:rsid w:val="0048689E"/>
    <w:rsid w:val="0049033C"/>
    <w:rsid w:val="00491031"/>
    <w:rsid w:val="00497BF4"/>
    <w:rsid w:val="004A1986"/>
    <w:rsid w:val="004A4342"/>
    <w:rsid w:val="004A46BD"/>
    <w:rsid w:val="004A7272"/>
    <w:rsid w:val="004A7F1D"/>
    <w:rsid w:val="004B1A9C"/>
    <w:rsid w:val="004B324C"/>
    <w:rsid w:val="004B4AB6"/>
    <w:rsid w:val="004B65AF"/>
    <w:rsid w:val="004C2905"/>
    <w:rsid w:val="004C300F"/>
    <w:rsid w:val="004C4187"/>
    <w:rsid w:val="004C4920"/>
    <w:rsid w:val="004C5975"/>
    <w:rsid w:val="004C598A"/>
    <w:rsid w:val="004C613F"/>
    <w:rsid w:val="004C760B"/>
    <w:rsid w:val="004C7B0A"/>
    <w:rsid w:val="004D1AEC"/>
    <w:rsid w:val="004D2F2F"/>
    <w:rsid w:val="004D46D2"/>
    <w:rsid w:val="004D4D1F"/>
    <w:rsid w:val="004D559A"/>
    <w:rsid w:val="004D6EBD"/>
    <w:rsid w:val="004E07DA"/>
    <w:rsid w:val="004E32C8"/>
    <w:rsid w:val="004E36ED"/>
    <w:rsid w:val="004E7C10"/>
    <w:rsid w:val="004F3D86"/>
    <w:rsid w:val="004F74E7"/>
    <w:rsid w:val="004F7AB4"/>
    <w:rsid w:val="00500180"/>
    <w:rsid w:val="00501B08"/>
    <w:rsid w:val="00502EE0"/>
    <w:rsid w:val="00504D05"/>
    <w:rsid w:val="00504EC4"/>
    <w:rsid w:val="00513989"/>
    <w:rsid w:val="00515536"/>
    <w:rsid w:val="00515AAD"/>
    <w:rsid w:val="00515BA7"/>
    <w:rsid w:val="00516B67"/>
    <w:rsid w:val="00516C45"/>
    <w:rsid w:val="00517484"/>
    <w:rsid w:val="00521334"/>
    <w:rsid w:val="005216DE"/>
    <w:rsid w:val="005233A8"/>
    <w:rsid w:val="00523579"/>
    <w:rsid w:val="00524C8F"/>
    <w:rsid w:val="0052795F"/>
    <w:rsid w:val="005306C7"/>
    <w:rsid w:val="00530F83"/>
    <w:rsid w:val="0053664E"/>
    <w:rsid w:val="0053718F"/>
    <w:rsid w:val="00537FA7"/>
    <w:rsid w:val="00541535"/>
    <w:rsid w:val="00545427"/>
    <w:rsid w:val="005472CD"/>
    <w:rsid w:val="0054742A"/>
    <w:rsid w:val="005525DD"/>
    <w:rsid w:val="005527F0"/>
    <w:rsid w:val="00553E55"/>
    <w:rsid w:val="00556796"/>
    <w:rsid w:val="00557220"/>
    <w:rsid w:val="00557DA1"/>
    <w:rsid w:val="00564C12"/>
    <w:rsid w:val="00566C4C"/>
    <w:rsid w:val="00570068"/>
    <w:rsid w:val="0057444B"/>
    <w:rsid w:val="0057645B"/>
    <w:rsid w:val="00576A77"/>
    <w:rsid w:val="00577FB2"/>
    <w:rsid w:val="005816B2"/>
    <w:rsid w:val="00583501"/>
    <w:rsid w:val="00583960"/>
    <w:rsid w:val="005845BB"/>
    <w:rsid w:val="005845F0"/>
    <w:rsid w:val="00584F63"/>
    <w:rsid w:val="00585E46"/>
    <w:rsid w:val="0058750F"/>
    <w:rsid w:val="00593964"/>
    <w:rsid w:val="00594007"/>
    <w:rsid w:val="00595166"/>
    <w:rsid w:val="0059645A"/>
    <w:rsid w:val="005A0B4B"/>
    <w:rsid w:val="005A5084"/>
    <w:rsid w:val="005A54E0"/>
    <w:rsid w:val="005A6E45"/>
    <w:rsid w:val="005B073B"/>
    <w:rsid w:val="005B12BF"/>
    <w:rsid w:val="005B1895"/>
    <w:rsid w:val="005B32CB"/>
    <w:rsid w:val="005B3ACA"/>
    <w:rsid w:val="005B5491"/>
    <w:rsid w:val="005B54C6"/>
    <w:rsid w:val="005B578A"/>
    <w:rsid w:val="005B67C6"/>
    <w:rsid w:val="005B77CC"/>
    <w:rsid w:val="005C732E"/>
    <w:rsid w:val="005D3FD9"/>
    <w:rsid w:val="005D44F5"/>
    <w:rsid w:val="005E05F2"/>
    <w:rsid w:val="005E0614"/>
    <w:rsid w:val="005E0E08"/>
    <w:rsid w:val="005F2DA2"/>
    <w:rsid w:val="005F57AE"/>
    <w:rsid w:val="005F5B0D"/>
    <w:rsid w:val="005F5E8F"/>
    <w:rsid w:val="005F6B11"/>
    <w:rsid w:val="005F6CC6"/>
    <w:rsid w:val="0060011C"/>
    <w:rsid w:val="006022EA"/>
    <w:rsid w:val="00602ACC"/>
    <w:rsid w:val="0060500B"/>
    <w:rsid w:val="0060612B"/>
    <w:rsid w:val="006066CD"/>
    <w:rsid w:val="00617E52"/>
    <w:rsid w:val="00620222"/>
    <w:rsid w:val="00621EB8"/>
    <w:rsid w:val="00623B3E"/>
    <w:rsid w:val="00624367"/>
    <w:rsid w:val="006256EF"/>
    <w:rsid w:val="0063050E"/>
    <w:rsid w:val="00631B2A"/>
    <w:rsid w:val="00631C2A"/>
    <w:rsid w:val="00633476"/>
    <w:rsid w:val="0063433B"/>
    <w:rsid w:val="0063603F"/>
    <w:rsid w:val="006369C9"/>
    <w:rsid w:val="00637932"/>
    <w:rsid w:val="00641C91"/>
    <w:rsid w:val="006445D5"/>
    <w:rsid w:val="006478E2"/>
    <w:rsid w:val="00650351"/>
    <w:rsid w:val="00655127"/>
    <w:rsid w:val="0065569A"/>
    <w:rsid w:val="006565AD"/>
    <w:rsid w:val="00656D2B"/>
    <w:rsid w:val="00656F4F"/>
    <w:rsid w:val="006635FD"/>
    <w:rsid w:val="0066592C"/>
    <w:rsid w:val="00665DFC"/>
    <w:rsid w:val="006665F1"/>
    <w:rsid w:val="00671125"/>
    <w:rsid w:val="00671381"/>
    <w:rsid w:val="00672124"/>
    <w:rsid w:val="0067286C"/>
    <w:rsid w:val="00672BE3"/>
    <w:rsid w:val="00680609"/>
    <w:rsid w:val="006830A8"/>
    <w:rsid w:val="00684529"/>
    <w:rsid w:val="00693FCC"/>
    <w:rsid w:val="006961D1"/>
    <w:rsid w:val="00696320"/>
    <w:rsid w:val="00696428"/>
    <w:rsid w:val="006A01FC"/>
    <w:rsid w:val="006A4610"/>
    <w:rsid w:val="006A54B9"/>
    <w:rsid w:val="006A5784"/>
    <w:rsid w:val="006A6ACE"/>
    <w:rsid w:val="006B1735"/>
    <w:rsid w:val="006B2377"/>
    <w:rsid w:val="006B5983"/>
    <w:rsid w:val="006B5F0E"/>
    <w:rsid w:val="006B609A"/>
    <w:rsid w:val="006B7464"/>
    <w:rsid w:val="006C1FF3"/>
    <w:rsid w:val="006C683E"/>
    <w:rsid w:val="006D156E"/>
    <w:rsid w:val="006D2A55"/>
    <w:rsid w:val="006E1373"/>
    <w:rsid w:val="006E1C6A"/>
    <w:rsid w:val="006E24FD"/>
    <w:rsid w:val="006E2668"/>
    <w:rsid w:val="006E2A22"/>
    <w:rsid w:val="006E507C"/>
    <w:rsid w:val="006F0845"/>
    <w:rsid w:val="006F091B"/>
    <w:rsid w:val="006F1998"/>
    <w:rsid w:val="006F1B41"/>
    <w:rsid w:val="006F3751"/>
    <w:rsid w:val="006F3CA1"/>
    <w:rsid w:val="006F7A54"/>
    <w:rsid w:val="00703BBA"/>
    <w:rsid w:val="00704D1D"/>
    <w:rsid w:val="00705297"/>
    <w:rsid w:val="00705E82"/>
    <w:rsid w:val="00707782"/>
    <w:rsid w:val="00707A60"/>
    <w:rsid w:val="00707F34"/>
    <w:rsid w:val="007102EE"/>
    <w:rsid w:val="0071039F"/>
    <w:rsid w:val="00711D5A"/>
    <w:rsid w:val="00712C07"/>
    <w:rsid w:val="00714C53"/>
    <w:rsid w:val="00715A4A"/>
    <w:rsid w:val="007171A3"/>
    <w:rsid w:val="00721020"/>
    <w:rsid w:val="00723959"/>
    <w:rsid w:val="00723AE8"/>
    <w:rsid w:val="007271BA"/>
    <w:rsid w:val="007327F8"/>
    <w:rsid w:val="007343E4"/>
    <w:rsid w:val="00734BEB"/>
    <w:rsid w:val="0073603A"/>
    <w:rsid w:val="00744999"/>
    <w:rsid w:val="007466C3"/>
    <w:rsid w:val="00747A74"/>
    <w:rsid w:val="0075027E"/>
    <w:rsid w:val="00752198"/>
    <w:rsid w:val="00752E2B"/>
    <w:rsid w:val="00753FE2"/>
    <w:rsid w:val="00754107"/>
    <w:rsid w:val="0075448F"/>
    <w:rsid w:val="0075613C"/>
    <w:rsid w:val="007564B2"/>
    <w:rsid w:val="00756639"/>
    <w:rsid w:val="00762783"/>
    <w:rsid w:val="00764515"/>
    <w:rsid w:val="00766355"/>
    <w:rsid w:val="00766431"/>
    <w:rsid w:val="00767A02"/>
    <w:rsid w:val="00770095"/>
    <w:rsid w:val="007709C1"/>
    <w:rsid w:val="007733AF"/>
    <w:rsid w:val="0077593A"/>
    <w:rsid w:val="007759D5"/>
    <w:rsid w:val="00791754"/>
    <w:rsid w:val="00792337"/>
    <w:rsid w:val="007925EE"/>
    <w:rsid w:val="00792C4F"/>
    <w:rsid w:val="007933D5"/>
    <w:rsid w:val="00794944"/>
    <w:rsid w:val="00794E5D"/>
    <w:rsid w:val="00797C1E"/>
    <w:rsid w:val="007A0757"/>
    <w:rsid w:val="007A268C"/>
    <w:rsid w:val="007A3026"/>
    <w:rsid w:val="007A3876"/>
    <w:rsid w:val="007A52CE"/>
    <w:rsid w:val="007A652E"/>
    <w:rsid w:val="007A70B1"/>
    <w:rsid w:val="007A7B53"/>
    <w:rsid w:val="007B1D68"/>
    <w:rsid w:val="007B5AAF"/>
    <w:rsid w:val="007B7C90"/>
    <w:rsid w:val="007C14AF"/>
    <w:rsid w:val="007C2A5E"/>
    <w:rsid w:val="007C2DC3"/>
    <w:rsid w:val="007C3653"/>
    <w:rsid w:val="007D0A76"/>
    <w:rsid w:val="007D11DC"/>
    <w:rsid w:val="007D147D"/>
    <w:rsid w:val="007D1537"/>
    <w:rsid w:val="007D1D85"/>
    <w:rsid w:val="007D4895"/>
    <w:rsid w:val="007D5920"/>
    <w:rsid w:val="007D5995"/>
    <w:rsid w:val="007E0307"/>
    <w:rsid w:val="007E0B48"/>
    <w:rsid w:val="007E4851"/>
    <w:rsid w:val="007E5A81"/>
    <w:rsid w:val="007E5E1F"/>
    <w:rsid w:val="007E7A15"/>
    <w:rsid w:val="007F0A5D"/>
    <w:rsid w:val="007F6A2E"/>
    <w:rsid w:val="007F7A35"/>
    <w:rsid w:val="008012D1"/>
    <w:rsid w:val="00802815"/>
    <w:rsid w:val="00807B6D"/>
    <w:rsid w:val="0081035A"/>
    <w:rsid w:val="00812386"/>
    <w:rsid w:val="00815D72"/>
    <w:rsid w:val="00822D3E"/>
    <w:rsid w:val="00822D59"/>
    <w:rsid w:val="00823036"/>
    <w:rsid w:val="0082472A"/>
    <w:rsid w:val="00824DC5"/>
    <w:rsid w:val="00826AA3"/>
    <w:rsid w:val="00827049"/>
    <w:rsid w:val="00827DA3"/>
    <w:rsid w:val="008316CF"/>
    <w:rsid w:val="008327AF"/>
    <w:rsid w:val="0083324A"/>
    <w:rsid w:val="00833EEA"/>
    <w:rsid w:val="008344A8"/>
    <w:rsid w:val="00834D94"/>
    <w:rsid w:val="00835F28"/>
    <w:rsid w:val="008362F5"/>
    <w:rsid w:val="00836A25"/>
    <w:rsid w:val="00842725"/>
    <w:rsid w:val="00843211"/>
    <w:rsid w:val="00844AAC"/>
    <w:rsid w:val="00845378"/>
    <w:rsid w:val="00845AB2"/>
    <w:rsid w:val="00846FFB"/>
    <w:rsid w:val="0084703E"/>
    <w:rsid w:val="00850276"/>
    <w:rsid w:val="00853A56"/>
    <w:rsid w:val="00855927"/>
    <w:rsid w:val="008572A5"/>
    <w:rsid w:val="00857636"/>
    <w:rsid w:val="00857833"/>
    <w:rsid w:val="00861558"/>
    <w:rsid w:val="0086224D"/>
    <w:rsid w:val="00862D3E"/>
    <w:rsid w:val="00864808"/>
    <w:rsid w:val="0087093A"/>
    <w:rsid w:val="00872B73"/>
    <w:rsid w:val="00872FB1"/>
    <w:rsid w:val="00873D7A"/>
    <w:rsid w:val="00874181"/>
    <w:rsid w:val="00876507"/>
    <w:rsid w:val="0087659D"/>
    <w:rsid w:val="008805D5"/>
    <w:rsid w:val="008808AD"/>
    <w:rsid w:val="00881C2A"/>
    <w:rsid w:val="0088408A"/>
    <w:rsid w:val="008850B5"/>
    <w:rsid w:val="00885475"/>
    <w:rsid w:val="00886969"/>
    <w:rsid w:val="008875E2"/>
    <w:rsid w:val="00887D2A"/>
    <w:rsid w:val="00893C02"/>
    <w:rsid w:val="00894315"/>
    <w:rsid w:val="00894FE0"/>
    <w:rsid w:val="00896524"/>
    <w:rsid w:val="008969A3"/>
    <w:rsid w:val="00896E44"/>
    <w:rsid w:val="008A03BC"/>
    <w:rsid w:val="008A0A8A"/>
    <w:rsid w:val="008A1A39"/>
    <w:rsid w:val="008A2E23"/>
    <w:rsid w:val="008A38FA"/>
    <w:rsid w:val="008A3FF1"/>
    <w:rsid w:val="008A6279"/>
    <w:rsid w:val="008B4060"/>
    <w:rsid w:val="008B5D27"/>
    <w:rsid w:val="008B7F15"/>
    <w:rsid w:val="008C1C90"/>
    <w:rsid w:val="008C30DC"/>
    <w:rsid w:val="008C47A1"/>
    <w:rsid w:val="008C67C7"/>
    <w:rsid w:val="008C7388"/>
    <w:rsid w:val="008D1D77"/>
    <w:rsid w:val="008D35EC"/>
    <w:rsid w:val="008D4443"/>
    <w:rsid w:val="008D5175"/>
    <w:rsid w:val="008E08DF"/>
    <w:rsid w:val="008E13DA"/>
    <w:rsid w:val="008E29AD"/>
    <w:rsid w:val="008E3CE1"/>
    <w:rsid w:val="008E4C4E"/>
    <w:rsid w:val="008F1B16"/>
    <w:rsid w:val="008F2A32"/>
    <w:rsid w:val="008F2A5A"/>
    <w:rsid w:val="008F2DE5"/>
    <w:rsid w:val="008F603B"/>
    <w:rsid w:val="008F6AA3"/>
    <w:rsid w:val="00900B77"/>
    <w:rsid w:val="0090405C"/>
    <w:rsid w:val="00904FAC"/>
    <w:rsid w:val="009057AC"/>
    <w:rsid w:val="0090682B"/>
    <w:rsid w:val="0090754F"/>
    <w:rsid w:val="00907C71"/>
    <w:rsid w:val="00920336"/>
    <w:rsid w:val="00930727"/>
    <w:rsid w:val="00930ED3"/>
    <w:rsid w:val="00933922"/>
    <w:rsid w:val="00935ADF"/>
    <w:rsid w:val="00940300"/>
    <w:rsid w:val="00940434"/>
    <w:rsid w:val="00940477"/>
    <w:rsid w:val="00941ADA"/>
    <w:rsid w:val="0095278A"/>
    <w:rsid w:val="0095623B"/>
    <w:rsid w:val="00962AB2"/>
    <w:rsid w:val="00966D21"/>
    <w:rsid w:val="00966F9F"/>
    <w:rsid w:val="00967110"/>
    <w:rsid w:val="009679F3"/>
    <w:rsid w:val="00970D8B"/>
    <w:rsid w:val="00971D2D"/>
    <w:rsid w:val="00973945"/>
    <w:rsid w:val="0097531D"/>
    <w:rsid w:val="00975954"/>
    <w:rsid w:val="00976607"/>
    <w:rsid w:val="00976DB0"/>
    <w:rsid w:val="0097724F"/>
    <w:rsid w:val="00977AB6"/>
    <w:rsid w:val="00980CAB"/>
    <w:rsid w:val="00981323"/>
    <w:rsid w:val="009826F2"/>
    <w:rsid w:val="009847BA"/>
    <w:rsid w:val="00985252"/>
    <w:rsid w:val="00985256"/>
    <w:rsid w:val="00987857"/>
    <w:rsid w:val="00990F9D"/>
    <w:rsid w:val="00992D99"/>
    <w:rsid w:val="00994231"/>
    <w:rsid w:val="00994F1F"/>
    <w:rsid w:val="00995FD7"/>
    <w:rsid w:val="00995FED"/>
    <w:rsid w:val="009A39D8"/>
    <w:rsid w:val="009B510C"/>
    <w:rsid w:val="009B76B2"/>
    <w:rsid w:val="009C05C6"/>
    <w:rsid w:val="009C3256"/>
    <w:rsid w:val="009C43D1"/>
    <w:rsid w:val="009C593C"/>
    <w:rsid w:val="009C6C86"/>
    <w:rsid w:val="009C770B"/>
    <w:rsid w:val="009C7848"/>
    <w:rsid w:val="009D0552"/>
    <w:rsid w:val="009D4481"/>
    <w:rsid w:val="009D78D6"/>
    <w:rsid w:val="009E0410"/>
    <w:rsid w:val="009E334B"/>
    <w:rsid w:val="009E393F"/>
    <w:rsid w:val="009E458E"/>
    <w:rsid w:val="009E4939"/>
    <w:rsid w:val="009F1693"/>
    <w:rsid w:val="009F2151"/>
    <w:rsid w:val="009F2720"/>
    <w:rsid w:val="009F2FDE"/>
    <w:rsid w:val="009F4BD1"/>
    <w:rsid w:val="009F5E84"/>
    <w:rsid w:val="009F6F21"/>
    <w:rsid w:val="00A006CA"/>
    <w:rsid w:val="00A00D06"/>
    <w:rsid w:val="00A023D6"/>
    <w:rsid w:val="00A03163"/>
    <w:rsid w:val="00A03D48"/>
    <w:rsid w:val="00A042C7"/>
    <w:rsid w:val="00A0481D"/>
    <w:rsid w:val="00A04C5B"/>
    <w:rsid w:val="00A10D3B"/>
    <w:rsid w:val="00A116E0"/>
    <w:rsid w:val="00A1240E"/>
    <w:rsid w:val="00A1782A"/>
    <w:rsid w:val="00A22821"/>
    <w:rsid w:val="00A2525D"/>
    <w:rsid w:val="00A253FB"/>
    <w:rsid w:val="00A25558"/>
    <w:rsid w:val="00A25954"/>
    <w:rsid w:val="00A25EB2"/>
    <w:rsid w:val="00A265AC"/>
    <w:rsid w:val="00A26746"/>
    <w:rsid w:val="00A26A0E"/>
    <w:rsid w:val="00A27032"/>
    <w:rsid w:val="00A33837"/>
    <w:rsid w:val="00A35B5D"/>
    <w:rsid w:val="00A35FBF"/>
    <w:rsid w:val="00A3764E"/>
    <w:rsid w:val="00A407E1"/>
    <w:rsid w:val="00A42E09"/>
    <w:rsid w:val="00A435F8"/>
    <w:rsid w:val="00A4441A"/>
    <w:rsid w:val="00A44C17"/>
    <w:rsid w:val="00A50833"/>
    <w:rsid w:val="00A50930"/>
    <w:rsid w:val="00A520BA"/>
    <w:rsid w:val="00A52B15"/>
    <w:rsid w:val="00A5681C"/>
    <w:rsid w:val="00A57152"/>
    <w:rsid w:val="00A645B8"/>
    <w:rsid w:val="00A67F5E"/>
    <w:rsid w:val="00A7083D"/>
    <w:rsid w:val="00A72B55"/>
    <w:rsid w:val="00A75C0C"/>
    <w:rsid w:val="00A81037"/>
    <w:rsid w:val="00A82838"/>
    <w:rsid w:val="00A86ADB"/>
    <w:rsid w:val="00A9014E"/>
    <w:rsid w:val="00A90A6D"/>
    <w:rsid w:val="00A90C3E"/>
    <w:rsid w:val="00A92089"/>
    <w:rsid w:val="00A92598"/>
    <w:rsid w:val="00A95EDF"/>
    <w:rsid w:val="00A97FFD"/>
    <w:rsid w:val="00AA10ED"/>
    <w:rsid w:val="00AA1AD4"/>
    <w:rsid w:val="00AA31B6"/>
    <w:rsid w:val="00AA5C4F"/>
    <w:rsid w:val="00AA7554"/>
    <w:rsid w:val="00AA7850"/>
    <w:rsid w:val="00AB0C5C"/>
    <w:rsid w:val="00AB1A93"/>
    <w:rsid w:val="00AB3225"/>
    <w:rsid w:val="00AB3CE7"/>
    <w:rsid w:val="00AB5F47"/>
    <w:rsid w:val="00AB6A18"/>
    <w:rsid w:val="00AB6D63"/>
    <w:rsid w:val="00AB7C8D"/>
    <w:rsid w:val="00AC05AE"/>
    <w:rsid w:val="00AC4064"/>
    <w:rsid w:val="00AC44EC"/>
    <w:rsid w:val="00AC6AC0"/>
    <w:rsid w:val="00AC6B39"/>
    <w:rsid w:val="00AC7540"/>
    <w:rsid w:val="00AD143E"/>
    <w:rsid w:val="00AD2E36"/>
    <w:rsid w:val="00AE1E2A"/>
    <w:rsid w:val="00AE5C8B"/>
    <w:rsid w:val="00AE607F"/>
    <w:rsid w:val="00AF00F8"/>
    <w:rsid w:val="00AF2980"/>
    <w:rsid w:val="00AF46C4"/>
    <w:rsid w:val="00AF47B7"/>
    <w:rsid w:val="00AF55EC"/>
    <w:rsid w:val="00B00568"/>
    <w:rsid w:val="00B01165"/>
    <w:rsid w:val="00B0154B"/>
    <w:rsid w:val="00B04101"/>
    <w:rsid w:val="00B0438B"/>
    <w:rsid w:val="00B047D9"/>
    <w:rsid w:val="00B05432"/>
    <w:rsid w:val="00B06A47"/>
    <w:rsid w:val="00B1018B"/>
    <w:rsid w:val="00B110E8"/>
    <w:rsid w:val="00B1174C"/>
    <w:rsid w:val="00B1505D"/>
    <w:rsid w:val="00B16769"/>
    <w:rsid w:val="00B16C44"/>
    <w:rsid w:val="00B202E1"/>
    <w:rsid w:val="00B20C7C"/>
    <w:rsid w:val="00B20FF4"/>
    <w:rsid w:val="00B21637"/>
    <w:rsid w:val="00B245D5"/>
    <w:rsid w:val="00B25960"/>
    <w:rsid w:val="00B27A03"/>
    <w:rsid w:val="00B3017C"/>
    <w:rsid w:val="00B30DC6"/>
    <w:rsid w:val="00B33036"/>
    <w:rsid w:val="00B34CEE"/>
    <w:rsid w:val="00B360A7"/>
    <w:rsid w:val="00B4023C"/>
    <w:rsid w:val="00B4031E"/>
    <w:rsid w:val="00B43994"/>
    <w:rsid w:val="00B4740E"/>
    <w:rsid w:val="00B50467"/>
    <w:rsid w:val="00B52CBB"/>
    <w:rsid w:val="00B53158"/>
    <w:rsid w:val="00B53FAD"/>
    <w:rsid w:val="00B5616F"/>
    <w:rsid w:val="00B56346"/>
    <w:rsid w:val="00B61E40"/>
    <w:rsid w:val="00B62B86"/>
    <w:rsid w:val="00B64829"/>
    <w:rsid w:val="00B6732C"/>
    <w:rsid w:val="00B718D5"/>
    <w:rsid w:val="00B71A5B"/>
    <w:rsid w:val="00B71C76"/>
    <w:rsid w:val="00B72C2F"/>
    <w:rsid w:val="00B72D4D"/>
    <w:rsid w:val="00B74588"/>
    <w:rsid w:val="00B75CA0"/>
    <w:rsid w:val="00B765E8"/>
    <w:rsid w:val="00B7685F"/>
    <w:rsid w:val="00B8401F"/>
    <w:rsid w:val="00B86E0F"/>
    <w:rsid w:val="00B879FF"/>
    <w:rsid w:val="00B93CB0"/>
    <w:rsid w:val="00B940FB"/>
    <w:rsid w:val="00B94873"/>
    <w:rsid w:val="00B958FF"/>
    <w:rsid w:val="00BA169A"/>
    <w:rsid w:val="00BA1D6E"/>
    <w:rsid w:val="00BA6865"/>
    <w:rsid w:val="00BA6E88"/>
    <w:rsid w:val="00BB038E"/>
    <w:rsid w:val="00BB0CC7"/>
    <w:rsid w:val="00BB2984"/>
    <w:rsid w:val="00BB34FA"/>
    <w:rsid w:val="00BB3C3C"/>
    <w:rsid w:val="00BB569E"/>
    <w:rsid w:val="00BB5E3C"/>
    <w:rsid w:val="00BC0BCF"/>
    <w:rsid w:val="00BC363F"/>
    <w:rsid w:val="00BC6846"/>
    <w:rsid w:val="00BC6D1B"/>
    <w:rsid w:val="00BD22F7"/>
    <w:rsid w:val="00BD27D3"/>
    <w:rsid w:val="00BD2C1D"/>
    <w:rsid w:val="00BD2D66"/>
    <w:rsid w:val="00BD4DF4"/>
    <w:rsid w:val="00BD6141"/>
    <w:rsid w:val="00BE1B31"/>
    <w:rsid w:val="00BE1F30"/>
    <w:rsid w:val="00BE205E"/>
    <w:rsid w:val="00BE2E39"/>
    <w:rsid w:val="00BE3A60"/>
    <w:rsid w:val="00BE4067"/>
    <w:rsid w:val="00BE60F7"/>
    <w:rsid w:val="00BE66C0"/>
    <w:rsid w:val="00BF20B0"/>
    <w:rsid w:val="00BF23B6"/>
    <w:rsid w:val="00BF5F18"/>
    <w:rsid w:val="00BF6A1B"/>
    <w:rsid w:val="00BF6F6A"/>
    <w:rsid w:val="00BF70A8"/>
    <w:rsid w:val="00BF7218"/>
    <w:rsid w:val="00C00AC9"/>
    <w:rsid w:val="00C04D56"/>
    <w:rsid w:val="00C05497"/>
    <w:rsid w:val="00C05ADF"/>
    <w:rsid w:val="00C10312"/>
    <w:rsid w:val="00C12119"/>
    <w:rsid w:val="00C13472"/>
    <w:rsid w:val="00C134E9"/>
    <w:rsid w:val="00C13C18"/>
    <w:rsid w:val="00C222DD"/>
    <w:rsid w:val="00C22782"/>
    <w:rsid w:val="00C22851"/>
    <w:rsid w:val="00C235E6"/>
    <w:rsid w:val="00C24AF6"/>
    <w:rsid w:val="00C31C6B"/>
    <w:rsid w:val="00C33CCC"/>
    <w:rsid w:val="00C355B8"/>
    <w:rsid w:val="00C363FF"/>
    <w:rsid w:val="00C36508"/>
    <w:rsid w:val="00C40823"/>
    <w:rsid w:val="00C409F6"/>
    <w:rsid w:val="00C42794"/>
    <w:rsid w:val="00C42E10"/>
    <w:rsid w:val="00C42F9C"/>
    <w:rsid w:val="00C43739"/>
    <w:rsid w:val="00C43A25"/>
    <w:rsid w:val="00C43DF0"/>
    <w:rsid w:val="00C44D5B"/>
    <w:rsid w:val="00C45B8A"/>
    <w:rsid w:val="00C463D1"/>
    <w:rsid w:val="00C46AFA"/>
    <w:rsid w:val="00C47EE9"/>
    <w:rsid w:val="00C53428"/>
    <w:rsid w:val="00C54400"/>
    <w:rsid w:val="00C55022"/>
    <w:rsid w:val="00C55471"/>
    <w:rsid w:val="00C56C5C"/>
    <w:rsid w:val="00C613B1"/>
    <w:rsid w:val="00C650AB"/>
    <w:rsid w:val="00C71752"/>
    <w:rsid w:val="00C71862"/>
    <w:rsid w:val="00C72129"/>
    <w:rsid w:val="00C72697"/>
    <w:rsid w:val="00C73F99"/>
    <w:rsid w:val="00C77385"/>
    <w:rsid w:val="00C777DB"/>
    <w:rsid w:val="00C77EBE"/>
    <w:rsid w:val="00C83B68"/>
    <w:rsid w:val="00C854C8"/>
    <w:rsid w:val="00C86102"/>
    <w:rsid w:val="00C97A16"/>
    <w:rsid w:val="00CA0C84"/>
    <w:rsid w:val="00CA1ED0"/>
    <w:rsid w:val="00CA35DA"/>
    <w:rsid w:val="00CA458E"/>
    <w:rsid w:val="00CA7650"/>
    <w:rsid w:val="00CB3CDA"/>
    <w:rsid w:val="00CB5540"/>
    <w:rsid w:val="00CC20A4"/>
    <w:rsid w:val="00CC2BEF"/>
    <w:rsid w:val="00CC3578"/>
    <w:rsid w:val="00CC418A"/>
    <w:rsid w:val="00CC47E2"/>
    <w:rsid w:val="00CC51F3"/>
    <w:rsid w:val="00CD1108"/>
    <w:rsid w:val="00CD2AC6"/>
    <w:rsid w:val="00CD3399"/>
    <w:rsid w:val="00CD4B73"/>
    <w:rsid w:val="00CD6EF2"/>
    <w:rsid w:val="00CE00F3"/>
    <w:rsid w:val="00CE022F"/>
    <w:rsid w:val="00CE1C97"/>
    <w:rsid w:val="00CE2887"/>
    <w:rsid w:val="00CE28FC"/>
    <w:rsid w:val="00CF156E"/>
    <w:rsid w:val="00D0291F"/>
    <w:rsid w:val="00D02F00"/>
    <w:rsid w:val="00D03BF3"/>
    <w:rsid w:val="00D05526"/>
    <w:rsid w:val="00D05B02"/>
    <w:rsid w:val="00D05E08"/>
    <w:rsid w:val="00D119B0"/>
    <w:rsid w:val="00D123CE"/>
    <w:rsid w:val="00D12C39"/>
    <w:rsid w:val="00D143E4"/>
    <w:rsid w:val="00D17233"/>
    <w:rsid w:val="00D20396"/>
    <w:rsid w:val="00D21DD2"/>
    <w:rsid w:val="00D229BD"/>
    <w:rsid w:val="00D314A2"/>
    <w:rsid w:val="00D314CB"/>
    <w:rsid w:val="00D327EF"/>
    <w:rsid w:val="00D33FB1"/>
    <w:rsid w:val="00D347F9"/>
    <w:rsid w:val="00D358E6"/>
    <w:rsid w:val="00D378E2"/>
    <w:rsid w:val="00D406A5"/>
    <w:rsid w:val="00D407AF"/>
    <w:rsid w:val="00D40F54"/>
    <w:rsid w:val="00D410AD"/>
    <w:rsid w:val="00D41D77"/>
    <w:rsid w:val="00D426EB"/>
    <w:rsid w:val="00D53258"/>
    <w:rsid w:val="00D54BA6"/>
    <w:rsid w:val="00D572E3"/>
    <w:rsid w:val="00D57DCC"/>
    <w:rsid w:val="00D60483"/>
    <w:rsid w:val="00D61B62"/>
    <w:rsid w:val="00D6208E"/>
    <w:rsid w:val="00D635C5"/>
    <w:rsid w:val="00D638D5"/>
    <w:rsid w:val="00D64682"/>
    <w:rsid w:val="00D6468A"/>
    <w:rsid w:val="00D66879"/>
    <w:rsid w:val="00D67642"/>
    <w:rsid w:val="00D7178D"/>
    <w:rsid w:val="00D738A8"/>
    <w:rsid w:val="00D7417B"/>
    <w:rsid w:val="00D7532B"/>
    <w:rsid w:val="00D75907"/>
    <w:rsid w:val="00D817D5"/>
    <w:rsid w:val="00D8225E"/>
    <w:rsid w:val="00D831E8"/>
    <w:rsid w:val="00D83364"/>
    <w:rsid w:val="00D84BD0"/>
    <w:rsid w:val="00D86033"/>
    <w:rsid w:val="00D86976"/>
    <w:rsid w:val="00D87F24"/>
    <w:rsid w:val="00D90D27"/>
    <w:rsid w:val="00D916D1"/>
    <w:rsid w:val="00D92537"/>
    <w:rsid w:val="00D927FE"/>
    <w:rsid w:val="00D93997"/>
    <w:rsid w:val="00D94FAD"/>
    <w:rsid w:val="00D95315"/>
    <w:rsid w:val="00D95A27"/>
    <w:rsid w:val="00D9700F"/>
    <w:rsid w:val="00DA1136"/>
    <w:rsid w:val="00DA45F1"/>
    <w:rsid w:val="00DA5428"/>
    <w:rsid w:val="00DA5E4C"/>
    <w:rsid w:val="00DA7EE7"/>
    <w:rsid w:val="00DB6CFC"/>
    <w:rsid w:val="00DC0C56"/>
    <w:rsid w:val="00DC1478"/>
    <w:rsid w:val="00DC20E1"/>
    <w:rsid w:val="00DC2C0B"/>
    <w:rsid w:val="00DC2E2F"/>
    <w:rsid w:val="00DC64AB"/>
    <w:rsid w:val="00DD48AE"/>
    <w:rsid w:val="00DD68D9"/>
    <w:rsid w:val="00DD7842"/>
    <w:rsid w:val="00DE0088"/>
    <w:rsid w:val="00DE230C"/>
    <w:rsid w:val="00DE29EF"/>
    <w:rsid w:val="00DE4C71"/>
    <w:rsid w:val="00DE659E"/>
    <w:rsid w:val="00DE68D4"/>
    <w:rsid w:val="00DE767D"/>
    <w:rsid w:val="00DF1586"/>
    <w:rsid w:val="00DF1BE8"/>
    <w:rsid w:val="00DF344C"/>
    <w:rsid w:val="00E00ECE"/>
    <w:rsid w:val="00E00F97"/>
    <w:rsid w:val="00E00FC0"/>
    <w:rsid w:val="00E02A20"/>
    <w:rsid w:val="00E075D6"/>
    <w:rsid w:val="00E07BC9"/>
    <w:rsid w:val="00E11421"/>
    <w:rsid w:val="00E15337"/>
    <w:rsid w:val="00E155A1"/>
    <w:rsid w:val="00E15E51"/>
    <w:rsid w:val="00E16F2F"/>
    <w:rsid w:val="00E172C7"/>
    <w:rsid w:val="00E24A21"/>
    <w:rsid w:val="00E25C34"/>
    <w:rsid w:val="00E26841"/>
    <w:rsid w:val="00E277A5"/>
    <w:rsid w:val="00E30273"/>
    <w:rsid w:val="00E31E6D"/>
    <w:rsid w:val="00E33A58"/>
    <w:rsid w:val="00E35FC1"/>
    <w:rsid w:val="00E41D5C"/>
    <w:rsid w:val="00E45EB0"/>
    <w:rsid w:val="00E45FC1"/>
    <w:rsid w:val="00E47759"/>
    <w:rsid w:val="00E50085"/>
    <w:rsid w:val="00E50AB3"/>
    <w:rsid w:val="00E5193A"/>
    <w:rsid w:val="00E5371C"/>
    <w:rsid w:val="00E54E9D"/>
    <w:rsid w:val="00E54F1B"/>
    <w:rsid w:val="00E560A1"/>
    <w:rsid w:val="00E6063F"/>
    <w:rsid w:val="00E62D10"/>
    <w:rsid w:val="00E65551"/>
    <w:rsid w:val="00E6615A"/>
    <w:rsid w:val="00E67DCB"/>
    <w:rsid w:val="00E7127B"/>
    <w:rsid w:val="00E7198E"/>
    <w:rsid w:val="00E73A0B"/>
    <w:rsid w:val="00E74B3F"/>
    <w:rsid w:val="00E74F65"/>
    <w:rsid w:val="00E75E65"/>
    <w:rsid w:val="00E7620E"/>
    <w:rsid w:val="00E773EC"/>
    <w:rsid w:val="00E82812"/>
    <w:rsid w:val="00E86FA9"/>
    <w:rsid w:val="00E913D3"/>
    <w:rsid w:val="00E92A56"/>
    <w:rsid w:val="00E92C55"/>
    <w:rsid w:val="00E947C4"/>
    <w:rsid w:val="00E9585E"/>
    <w:rsid w:val="00E97631"/>
    <w:rsid w:val="00E97C72"/>
    <w:rsid w:val="00E97F1D"/>
    <w:rsid w:val="00EA26D8"/>
    <w:rsid w:val="00EA3521"/>
    <w:rsid w:val="00EA43FC"/>
    <w:rsid w:val="00EA5595"/>
    <w:rsid w:val="00EA5D69"/>
    <w:rsid w:val="00EB01A4"/>
    <w:rsid w:val="00EB07A9"/>
    <w:rsid w:val="00EB4206"/>
    <w:rsid w:val="00EB56CF"/>
    <w:rsid w:val="00EB6102"/>
    <w:rsid w:val="00EC21D1"/>
    <w:rsid w:val="00EC418D"/>
    <w:rsid w:val="00EC7A9D"/>
    <w:rsid w:val="00ED32A4"/>
    <w:rsid w:val="00ED51BC"/>
    <w:rsid w:val="00ED6217"/>
    <w:rsid w:val="00EE06F1"/>
    <w:rsid w:val="00EE09EE"/>
    <w:rsid w:val="00EE2566"/>
    <w:rsid w:val="00EE3CA6"/>
    <w:rsid w:val="00EE5BCE"/>
    <w:rsid w:val="00EE649A"/>
    <w:rsid w:val="00EE6CD0"/>
    <w:rsid w:val="00EF2E8F"/>
    <w:rsid w:val="00EF68E9"/>
    <w:rsid w:val="00F01733"/>
    <w:rsid w:val="00F042F8"/>
    <w:rsid w:val="00F06B02"/>
    <w:rsid w:val="00F103A9"/>
    <w:rsid w:val="00F119F0"/>
    <w:rsid w:val="00F13109"/>
    <w:rsid w:val="00F143B0"/>
    <w:rsid w:val="00F15B2E"/>
    <w:rsid w:val="00F15DDF"/>
    <w:rsid w:val="00F15EB3"/>
    <w:rsid w:val="00F166D8"/>
    <w:rsid w:val="00F16813"/>
    <w:rsid w:val="00F20F8C"/>
    <w:rsid w:val="00F21590"/>
    <w:rsid w:val="00F26DDF"/>
    <w:rsid w:val="00F359B7"/>
    <w:rsid w:val="00F4487E"/>
    <w:rsid w:val="00F44B6C"/>
    <w:rsid w:val="00F456F9"/>
    <w:rsid w:val="00F47B18"/>
    <w:rsid w:val="00F52203"/>
    <w:rsid w:val="00F5281B"/>
    <w:rsid w:val="00F54BEE"/>
    <w:rsid w:val="00F562AF"/>
    <w:rsid w:val="00F569D7"/>
    <w:rsid w:val="00F57A8A"/>
    <w:rsid w:val="00F57F5E"/>
    <w:rsid w:val="00F623E4"/>
    <w:rsid w:val="00F63C21"/>
    <w:rsid w:val="00F648CE"/>
    <w:rsid w:val="00F66079"/>
    <w:rsid w:val="00F725B0"/>
    <w:rsid w:val="00F725B8"/>
    <w:rsid w:val="00F75D5A"/>
    <w:rsid w:val="00F76DB0"/>
    <w:rsid w:val="00F810D0"/>
    <w:rsid w:val="00F8260E"/>
    <w:rsid w:val="00F82D43"/>
    <w:rsid w:val="00F843C5"/>
    <w:rsid w:val="00F852BB"/>
    <w:rsid w:val="00F85ED6"/>
    <w:rsid w:val="00F87570"/>
    <w:rsid w:val="00F94464"/>
    <w:rsid w:val="00F94C7A"/>
    <w:rsid w:val="00F96D80"/>
    <w:rsid w:val="00FA1B2E"/>
    <w:rsid w:val="00FB0524"/>
    <w:rsid w:val="00FB1C88"/>
    <w:rsid w:val="00FB32B9"/>
    <w:rsid w:val="00FB7576"/>
    <w:rsid w:val="00FB7A65"/>
    <w:rsid w:val="00FC3C9A"/>
    <w:rsid w:val="00FC4838"/>
    <w:rsid w:val="00FC4B65"/>
    <w:rsid w:val="00FC4C88"/>
    <w:rsid w:val="00FC62CF"/>
    <w:rsid w:val="00FC6761"/>
    <w:rsid w:val="00FD0281"/>
    <w:rsid w:val="00FD067B"/>
    <w:rsid w:val="00FD4C96"/>
    <w:rsid w:val="00FD4CA4"/>
    <w:rsid w:val="00FD5AF4"/>
    <w:rsid w:val="00FD5B89"/>
    <w:rsid w:val="00FE1F40"/>
    <w:rsid w:val="00FE2ABD"/>
    <w:rsid w:val="00FE64EB"/>
    <w:rsid w:val="00FF0DD8"/>
    <w:rsid w:val="00FF18EF"/>
    <w:rsid w:val="00FF2068"/>
    <w:rsid w:val="00FF3FBF"/>
    <w:rsid w:val="00FF470C"/>
    <w:rsid w:val="00FF5E79"/>
    <w:rsid w:val="00FF779C"/>
    <w:rsid w:val="00FF7D4C"/>
    <w:rsid w:val="016663F2"/>
    <w:rsid w:val="01A818F7"/>
    <w:rsid w:val="01BE6398"/>
    <w:rsid w:val="02411832"/>
    <w:rsid w:val="025F32B3"/>
    <w:rsid w:val="026F47BC"/>
    <w:rsid w:val="02946E12"/>
    <w:rsid w:val="02B77331"/>
    <w:rsid w:val="03162715"/>
    <w:rsid w:val="03267201"/>
    <w:rsid w:val="046B57C4"/>
    <w:rsid w:val="049C0652"/>
    <w:rsid w:val="05E3734D"/>
    <w:rsid w:val="0632004F"/>
    <w:rsid w:val="065E6593"/>
    <w:rsid w:val="06704DF5"/>
    <w:rsid w:val="0687506A"/>
    <w:rsid w:val="068B4235"/>
    <w:rsid w:val="07523DCC"/>
    <w:rsid w:val="07744439"/>
    <w:rsid w:val="079F4436"/>
    <w:rsid w:val="07B734B9"/>
    <w:rsid w:val="0816509A"/>
    <w:rsid w:val="08572184"/>
    <w:rsid w:val="08AB1838"/>
    <w:rsid w:val="08CC594E"/>
    <w:rsid w:val="08F8709A"/>
    <w:rsid w:val="091B4CC0"/>
    <w:rsid w:val="093914B4"/>
    <w:rsid w:val="09D35044"/>
    <w:rsid w:val="09F362E8"/>
    <w:rsid w:val="0A1E08E6"/>
    <w:rsid w:val="0A355B7E"/>
    <w:rsid w:val="0A845473"/>
    <w:rsid w:val="0AB91EEE"/>
    <w:rsid w:val="0B5E2EDF"/>
    <w:rsid w:val="0BD74A5B"/>
    <w:rsid w:val="0C5839AE"/>
    <w:rsid w:val="0C5D2B2F"/>
    <w:rsid w:val="0CB6114F"/>
    <w:rsid w:val="0CBA249A"/>
    <w:rsid w:val="0CEE0F72"/>
    <w:rsid w:val="0CF30339"/>
    <w:rsid w:val="0D0E5FB3"/>
    <w:rsid w:val="0D730CCD"/>
    <w:rsid w:val="0D7D292D"/>
    <w:rsid w:val="0DC45FEF"/>
    <w:rsid w:val="0E351EEB"/>
    <w:rsid w:val="0E3E1496"/>
    <w:rsid w:val="0E935D8B"/>
    <w:rsid w:val="0E9D2A44"/>
    <w:rsid w:val="0F1710B6"/>
    <w:rsid w:val="0F2839A6"/>
    <w:rsid w:val="0F604F43"/>
    <w:rsid w:val="0F993836"/>
    <w:rsid w:val="0FAD38F5"/>
    <w:rsid w:val="0FAE530D"/>
    <w:rsid w:val="0FBC3C26"/>
    <w:rsid w:val="0FE90DFE"/>
    <w:rsid w:val="0FF55B4F"/>
    <w:rsid w:val="10000DE0"/>
    <w:rsid w:val="106A1977"/>
    <w:rsid w:val="106A41B4"/>
    <w:rsid w:val="106A54AA"/>
    <w:rsid w:val="11153DCE"/>
    <w:rsid w:val="111E7C32"/>
    <w:rsid w:val="11247BD2"/>
    <w:rsid w:val="114025C4"/>
    <w:rsid w:val="11984A53"/>
    <w:rsid w:val="12057EEC"/>
    <w:rsid w:val="12347A31"/>
    <w:rsid w:val="128A3529"/>
    <w:rsid w:val="12B22783"/>
    <w:rsid w:val="12E73636"/>
    <w:rsid w:val="130C0B4A"/>
    <w:rsid w:val="13405E85"/>
    <w:rsid w:val="134E125D"/>
    <w:rsid w:val="138E641E"/>
    <w:rsid w:val="13D35169"/>
    <w:rsid w:val="13E54ACB"/>
    <w:rsid w:val="141B6A06"/>
    <w:rsid w:val="142A2B9A"/>
    <w:rsid w:val="14326025"/>
    <w:rsid w:val="1495321B"/>
    <w:rsid w:val="15150C61"/>
    <w:rsid w:val="155D4714"/>
    <w:rsid w:val="156101F4"/>
    <w:rsid w:val="159C7CA3"/>
    <w:rsid w:val="15D71F11"/>
    <w:rsid w:val="160A39E5"/>
    <w:rsid w:val="161A7E7D"/>
    <w:rsid w:val="162523BB"/>
    <w:rsid w:val="16477B3A"/>
    <w:rsid w:val="165C3C19"/>
    <w:rsid w:val="165D10D3"/>
    <w:rsid w:val="165E3679"/>
    <w:rsid w:val="167E1511"/>
    <w:rsid w:val="17006C2B"/>
    <w:rsid w:val="17026F02"/>
    <w:rsid w:val="171E5ECB"/>
    <w:rsid w:val="172229D8"/>
    <w:rsid w:val="17284700"/>
    <w:rsid w:val="174256B5"/>
    <w:rsid w:val="17744329"/>
    <w:rsid w:val="18B71676"/>
    <w:rsid w:val="18FD5033"/>
    <w:rsid w:val="18FF3482"/>
    <w:rsid w:val="190F0B8F"/>
    <w:rsid w:val="192A4093"/>
    <w:rsid w:val="1979227A"/>
    <w:rsid w:val="197A7271"/>
    <w:rsid w:val="199436EA"/>
    <w:rsid w:val="199B67F5"/>
    <w:rsid w:val="19C46618"/>
    <w:rsid w:val="19F70CF6"/>
    <w:rsid w:val="19F80B6A"/>
    <w:rsid w:val="1A133E1C"/>
    <w:rsid w:val="1AAC703B"/>
    <w:rsid w:val="1ACC6C6A"/>
    <w:rsid w:val="1AF97EA7"/>
    <w:rsid w:val="1B0A1602"/>
    <w:rsid w:val="1B2A4ACB"/>
    <w:rsid w:val="1B2C07D9"/>
    <w:rsid w:val="1B362A94"/>
    <w:rsid w:val="1B656BD4"/>
    <w:rsid w:val="1B8154B4"/>
    <w:rsid w:val="1BD45CE9"/>
    <w:rsid w:val="1BEB3322"/>
    <w:rsid w:val="1CDB63C7"/>
    <w:rsid w:val="1CE721CD"/>
    <w:rsid w:val="1CE76C9B"/>
    <w:rsid w:val="1D531991"/>
    <w:rsid w:val="1D606A1E"/>
    <w:rsid w:val="1D615205"/>
    <w:rsid w:val="1D696EA0"/>
    <w:rsid w:val="1DB91E54"/>
    <w:rsid w:val="1DF67B8B"/>
    <w:rsid w:val="1E3A6018"/>
    <w:rsid w:val="1E414C98"/>
    <w:rsid w:val="1E5176F7"/>
    <w:rsid w:val="1EB17B39"/>
    <w:rsid w:val="1ECA5E2F"/>
    <w:rsid w:val="1EFD7DF1"/>
    <w:rsid w:val="1F854F6A"/>
    <w:rsid w:val="1FB538FB"/>
    <w:rsid w:val="202E34A2"/>
    <w:rsid w:val="20377FD4"/>
    <w:rsid w:val="205B7982"/>
    <w:rsid w:val="208353DD"/>
    <w:rsid w:val="208A238E"/>
    <w:rsid w:val="20C450E4"/>
    <w:rsid w:val="20D6686A"/>
    <w:rsid w:val="21092085"/>
    <w:rsid w:val="21661AB7"/>
    <w:rsid w:val="218773BF"/>
    <w:rsid w:val="220C28BB"/>
    <w:rsid w:val="22224B51"/>
    <w:rsid w:val="222E416B"/>
    <w:rsid w:val="228452F9"/>
    <w:rsid w:val="22A07B28"/>
    <w:rsid w:val="22B5496E"/>
    <w:rsid w:val="22CC0326"/>
    <w:rsid w:val="22CD4646"/>
    <w:rsid w:val="22DF012A"/>
    <w:rsid w:val="231E05C7"/>
    <w:rsid w:val="233A48E0"/>
    <w:rsid w:val="23EC218B"/>
    <w:rsid w:val="247A2F38"/>
    <w:rsid w:val="248000A3"/>
    <w:rsid w:val="24A8227A"/>
    <w:rsid w:val="24D806B9"/>
    <w:rsid w:val="25592EE3"/>
    <w:rsid w:val="25644F65"/>
    <w:rsid w:val="25800D4E"/>
    <w:rsid w:val="260B5405"/>
    <w:rsid w:val="264853AE"/>
    <w:rsid w:val="266E0FDE"/>
    <w:rsid w:val="26BB6C4C"/>
    <w:rsid w:val="26D161D0"/>
    <w:rsid w:val="26EA3392"/>
    <w:rsid w:val="270A4C3E"/>
    <w:rsid w:val="27510F13"/>
    <w:rsid w:val="278655BF"/>
    <w:rsid w:val="2790570F"/>
    <w:rsid w:val="27E5660A"/>
    <w:rsid w:val="27EC0965"/>
    <w:rsid w:val="28471268"/>
    <w:rsid w:val="288377DC"/>
    <w:rsid w:val="289755AE"/>
    <w:rsid w:val="28B11677"/>
    <w:rsid w:val="28CE63B0"/>
    <w:rsid w:val="28E11F4C"/>
    <w:rsid w:val="29346596"/>
    <w:rsid w:val="296917CA"/>
    <w:rsid w:val="29E248B8"/>
    <w:rsid w:val="2A3E6ABA"/>
    <w:rsid w:val="2AFF7167"/>
    <w:rsid w:val="2B076414"/>
    <w:rsid w:val="2B0C53B7"/>
    <w:rsid w:val="2B56316B"/>
    <w:rsid w:val="2B9D4DF3"/>
    <w:rsid w:val="2BA70F98"/>
    <w:rsid w:val="2BBF08BB"/>
    <w:rsid w:val="2BC32540"/>
    <w:rsid w:val="2BDB25FE"/>
    <w:rsid w:val="2C54644C"/>
    <w:rsid w:val="2CC57232"/>
    <w:rsid w:val="2CF813F8"/>
    <w:rsid w:val="2D156222"/>
    <w:rsid w:val="2DCE3C0D"/>
    <w:rsid w:val="2DE952B0"/>
    <w:rsid w:val="2E3F24A7"/>
    <w:rsid w:val="2E60409D"/>
    <w:rsid w:val="2E6F34F9"/>
    <w:rsid w:val="2F1A52A0"/>
    <w:rsid w:val="2F291CEA"/>
    <w:rsid w:val="2F8061A1"/>
    <w:rsid w:val="2FDB1A12"/>
    <w:rsid w:val="301D37AD"/>
    <w:rsid w:val="305307AA"/>
    <w:rsid w:val="307409BD"/>
    <w:rsid w:val="30762535"/>
    <w:rsid w:val="30AC7C70"/>
    <w:rsid w:val="30B15CB8"/>
    <w:rsid w:val="30C96DF1"/>
    <w:rsid w:val="30DE1AFA"/>
    <w:rsid w:val="30E807A6"/>
    <w:rsid w:val="316C6667"/>
    <w:rsid w:val="31847E9C"/>
    <w:rsid w:val="31D143B6"/>
    <w:rsid w:val="31DD44E2"/>
    <w:rsid w:val="322A3AB9"/>
    <w:rsid w:val="32BD33C7"/>
    <w:rsid w:val="32C65F60"/>
    <w:rsid w:val="32DB0A52"/>
    <w:rsid w:val="33603228"/>
    <w:rsid w:val="33BD4BBF"/>
    <w:rsid w:val="33C8028A"/>
    <w:rsid w:val="33F562DE"/>
    <w:rsid w:val="33FF42F1"/>
    <w:rsid w:val="341F56F3"/>
    <w:rsid w:val="3427048A"/>
    <w:rsid w:val="34543CB1"/>
    <w:rsid w:val="350702CB"/>
    <w:rsid w:val="355644F2"/>
    <w:rsid w:val="358B6BF3"/>
    <w:rsid w:val="35B41DBB"/>
    <w:rsid w:val="35BA4A65"/>
    <w:rsid w:val="35FB7D34"/>
    <w:rsid w:val="365F3428"/>
    <w:rsid w:val="36693477"/>
    <w:rsid w:val="36821AFA"/>
    <w:rsid w:val="36914733"/>
    <w:rsid w:val="36C96596"/>
    <w:rsid w:val="36E26C08"/>
    <w:rsid w:val="3721676D"/>
    <w:rsid w:val="378739E9"/>
    <w:rsid w:val="3798103B"/>
    <w:rsid w:val="37C3713A"/>
    <w:rsid w:val="380739A3"/>
    <w:rsid w:val="3891039F"/>
    <w:rsid w:val="38953E3B"/>
    <w:rsid w:val="38BC4CB8"/>
    <w:rsid w:val="38C15F18"/>
    <w:rsid w:val="3953591C"/>
    <w:rsid w:val="39863B83"/>
    <w:rsid w:val="39B609EE"/>
    <w:rsid w:val="39C303DF"/>
    <w:rsid w:val="39E80536"/>
    <w:rsid w:val="3A8D5191"/>
    <w:rsid w:val="3AA56030"/>
    <w:rsid w:val="3B216E8C"/>
    <w:rsid w:val="3BE35265"/>
    <w:rsid w:val="3BEA339E"/>
    <w:rsid w:val="3BEF48AA"/>
    <w:rsid w:val="3C5E4B00"/>
    <w:rsid w:val="3CAC45DF"/>
    <w:rsid w:val="3D0E135F"/>
    <w:rsid w:val="3D466909"/>
    <w:rsid w:val="3DAD0026"/>
    <w:rsid w:val="3DB56140"/>
    <w:rsid w:val="3E680A3D"/>
    <w:rsid w:val="3E80691F"/>
    <w:rsid w:val="3EE205B5"/>
    <w:rsid w:val="3FDC18E6"/>
    <w:rsid w:val="3FE047C3"/>
    <w:rsid w:val="3FEA6702"/>
    <w:rsid w:val="3FF81D04"/>
    <w:rsid w:val="40100414"/>
    <w:rsid w:val="40180E5A"/>
    <w:rsid w:val="40655DFB"/>
    <w:rsid w:val="40694B5F"/>
    <w:rsid w:val="40E77992"/>
    <w:rsid w:val="413D0B4B"/>
    <w:rsid w:val="415356F5"/>
    <w:rsid w:val="41571DF1"/>
    <w:rsid w:val="41573AA6"/>
    <w:rsid w:val="41734F01"/>
    <w:rsid w:val="418E1655"/>
    <w:rsid w:val="41955205"/>
    <w:rsid w:val="41A256C5"/>
    <w:rsid w:val="41AC2E43"/>
    <w:rsid w:val="41C1205E"/>
    <w:rsid w:val="41C146AC"/>
    <w:rsid w:val="41DC53E5"/>
    <w:rsid w:val="42191F05"/>
    <w:rsid w:val="4257414F"/>
    <w:rsid w:val="4298562D"/>
    <w:rsid w:val="42EC2A08"/>
    <w:rsid w:val="437A2BED"/>
    <w:rsid w:val="43D54658"/>
    <w:rsid w:val="447603CE"/>
    <w:rsid w:val="44DD77B1"/>
    <w:rsid w:val="44FA69E7"/>
    <w:rsid w:val="450F1150"/>
    <w:rsid w:val="459E58E4"/>
    <w:rsid w:val="463F2656"/>
    <w:rsid w:val="46476093"/>
    <w:rsid w:val="464F6B32"/>
    <w:rsid w:val="46846FCD"/>
    <w:rsid w:val="46BF1E6C"/>
    <w:rsid w:val="4710011C"/>
    <w:rsid w:val="4732012E"/>
    <w:rsid w:val="47CA3C3D"/>
    <w:rsid w:val="48224BFE"/>
    <w:rsid w:val="486D6614"/>
    <w:rsid w:val="48835DA3"/>
    <w:rsid w:val="48B07FAA"/>
    <w:rsid w:val="490008F6"/>
    <w:rsid w:val="497D3552"/>
    <w:rsid w:val="49A54C4F"/>
    <w:rsid w:val="4A7A7E22"/>
    <w:rsid w:val="4AF446BD"/>
    <w:rsid w:val="4B3E3469"/>
    <w:rsid w:val="4B4C4159"/>
    <w:rsid w:val="4B5E504E"/>
    <w:rsid w:val="4B653901"/>
    <w:rsid w:val="4B79314F"/>
    <w:rsid w:val="4BA657DC"/>
    <w:rsid w:val="4BBA3A15"/>
    <w:rsid w:val="4BCC20DC"/>
    <w:rsid w:val="4BFF70D6"/>
    <w:rsid w:val="4C5B3D1E"/>
    <w:rsid w:val="4C752977"/>
    <w:rsid w:val="4C7D457A"/>
    <w:rsid w:val="4CDC6F20"/>
    <w:rsid w:val="4D282BF9"/>
    <w:rsid w:val="4D95629B"/>
    <w:rsid w:val="4D9A420D"/>
    <w:rsid w:val="4DC44FFE"/>
    <w:rsid w:val="4DC85533"/>
    <w:rsid w:val="4DF02345"/>
    <w:rsid w:val="4DFC6D56"/>
    <w:rsid w:val="4E1E6EB8"/>
    <w:rsid w:val="4E554DB3"/>
    <w:rsid w:val="4E6C6976"/>
    <w:rsid w:val="4FAB73D7"/>
    <w:rsid w:val="500C4EAB"/>
    <w:rsid w:val="50150002"/>
    <w:rsid w:val="502B75FF"/>
    <w:rsid w:val="517D6BB0"/>
    <w:rsid w:val="52051627"/>
    <w:rsid w:val="523C7AD1"/>
    <w:rsid w:val="5255599E"/>
    <w:rsid w:val="526F26AC"/>
    <w:rsid w:val="52A2070A"/>
    <w:rsid w:val="52AA6A30"/>
    <w:rsid w:val="52DF37EE"/>
    <w:rsid w:val="52F632F8"/>
    <w:rsid w:val="534C4982"/>
    <w:rsid w:val="5370420B"/>
    <w:rsid w:val="53C575C5"/>
    <w:rsid w:val="54310064"/>
    <w:rsid w:val="544560E0"/>
    <w:rsid w:val="545E484D"/>
    <w:rsid w:val="549F29A7"/>
    <w:rsid w:val="54D91ECD"/>
    <w:rsid w:val="55284099"/>
    <w:rsid w:val="553F150F"/>
    <w:rsid w:val="55505E79"/>
    <w:rsid w:val="55AE5332"/>
    <w:rsid w:val="55B6008C"/>
    <w:rsid w:val="55C30080"/>
    <w:rsid w:val="5611060B"/>
    <w:rsid w:val="561879A4"/>
    <w:rsid w:val="56693EC5"/>
    <w:rsid w:val="56D61464"/>
    <w:rsid w:val="56E16BC4"/>
    <w:rsid w:val="56EE42FE"/>
    <w:rsid w:val="5743769A"/>
    <w:rsid w:val="57532A86"/>
    <w:rsid w:val="57A72121"/>
    <w:rsid w:val="57C21727"/>
    <w:rsid w:val="57CB33F9"/>
    <w:rsid w:val="58086D6B"/>
    <w:rsid w:val="580B35FC"/>
    <w:rsid w:val="58363988"/>
    <w:rsid w:val="588021CA"/>
    <w:rsid w:val="58B57A98"/>
    <w:rsid w:val="58C052B7"/>
    <w:rsid w:val="58C63588"/>
    <w:rsid w:val="58D05F88"/>
    <w:rsid w:val="59523812"/>
    <w:rsid w:val="598B1FC1"/>
    <w:rsid w:val="59BB13BC"/>
    <w:rsid w:val="59C0408D"/>
    <w:rsid w:val="5A4A5AF5"/>
    <w:rsid w:val="5AE0060B"/>
    <w:rsid w:val="5B0C4E47"/>
    <w:rsid w:val="5B6C57CD"/>
    <w:rsid w:val="5BDE03EA"/>
    <w:rsid w:val="5BEC1FE6"/>
    <w:rsid w:val="5BEF6B19"/>
    <w:rsid w:val="5C9417A3"/>
    <w:rsid w:val="5CA73B23"/>
    <w:rsid w:val="5D1632EF"/>
    <w:rsid w:val="5DA30AF4"/>
    <w:rsid w:val="5E050DB6"/>
    <w:rsid w:val="5E72636B"/>
    <w:rsid w:val="5ED04304"/>
    <w:rsid w:val="5F045829"/>
    <w:rsid w:val="5F0A3CA3"/>
    <w:rsid w:val="5F106D2F"/>
    <w:rsid w:val="5F192D09"/>
    <w:rsid w:val="5F2C0F14"/>
    <w:rsid w:val="5F4678F8"/>
    <w:rsid w:val="5F486CBE"/>
    <w:rsid w:val="5F510B44"/>
    <w:rsid w:val="5F763EED"/>
    <w:rsid w:val="5F8407D7"/>
    <w:rsid w:val="5FE9337B"/>
    <w:rsid w:val="601E78C7"/>
    <w:rsid w:val="60382C9F"/>
    <w:rsid w:val="60405A97"/>
    <w:rsid w:val="6069628B"/>
    <w:rsid w:val="60895F6B"/>
    <w:rsid w:val="60AC7D0F"/>
    <w:rsid w:val="60B666DA"/>
    <w:rsid w:val="60C41BFC"/>
    <w:rsid w:val="612C5192"/>
    <w:rsid w:val="613258BD"/>
    <w:rsid w:val="613406E7"/>
    <w:rsid w:val="613D5FE9"/>
    <w:rsid w:val="62022708"/>
    <w:rsid w:val="624224F5"/>
    <w:rsid w:val="624A0B67"/>
    <w:rsid w:val="62633B12"/>
    <w:rsid w:val="626A747D"/>
    <w:rsid w:val="6323289A"/>
    <w:rsid w:val="634D2081"/>
    <w:rsid w:val="63626E0D"/>
    <w:rsid w:val="63B61A42"/>
    <w:rsid w:val="63E3168C"/>
    <w:rsid w:val="63E92B9F"/>
    <w:rsid w:val="63F91B74"/>
    <w:rsid w:val="63F920D5"/>
    <w:rsid w:val="645B25A1"/>
    <w:rsid w:val="64851AB6"/>
    <w:rsid w:val="64E3271F"/>
    <w:rsid w:val="64F17BEC"/>
    <w:rsid w:val="650D098B"/>
    <w:rsid w:val="65456C96"/>
    <w:rsid w:val="65D9747C"/>
    <w:rsid w:val="667B5743"/>
    <w:rsid w:val="66A675FC"/>
    <w:rsid w:val="66AA6667"/>
    <w:rsid w:val="66C5349D"/>
    <w:rsid w:val="67046F81"/>
    <w:rsid w:val="6874317D"/>
    <w:rsid w:val="688C7202"/>
    <w:rsid w:val="68A350EF"/>
    <w:rsid w:val="68C77FA9"/>
    <w:rsid w:val="68EE4566"/>
    <w:rsid w:val="68FD3B96"/>
    <w:rsid w:val="69021777"/>
    <w:rsid w:val="691F26C4"/>
    <w:rsid w:val="69F82F1A"/>
    <w:rsid w:val="6A73571B"/>
    <w:rsid w:val="6AB61678"/>
    <w:rsid w:val="6AFE18FE"/>
    <w:rsid w:val="6B0C03A6"/>
    <w:rsid w:val="6B1403D3"/>
    <w:rsid w:val="6B3420BB"/>
    <w:rsid w:val="6B411090"/>
    <w:rsid w:val="6B485F75"/>
    <w:rsid w:val="6BBA57DA"/>
    <w:rsid w:val="6BCE12D9"/>
    <w:rsid w:val="6BEA32CC"/>
    <w:rsid w:val="6BFB3B4E"/>
    <w:rsid w:val="6CD5022A"/>
    <w:rsid w:val="6D536820"/>
    <w:rsid w:val="6D5544AC"/>
    <w:rsid w:val="6D5F0DB5"/>
    <w:rsid w:val="6D61073A"/>
    <w:rsid w:val="6D625F57"/>
    <w:rsid w:val="6D743CCD"/>
    <w:rsid w:val="6E0C3B1A"/>
    <w:rsid w:val="6E4422C9"/>
    <w:rsid w:val="6E556E3A"/>
    <w:rsid w:val="6E9971F0"/>
    <w:rsid w:val="6EBC3538"/>
    <w:rsid w:val="6EC02656"/>
    <w:rsid w:val="6ECF09D1"/>
    <w:rsid w:val="6EDA2983"/>
    <w:rsid w:val="6EE25F0B"/>
    <w:rsid w:val="6EE526EE"/>
    <w:rsid w:val="6EE637D7"/>
    <w:rsid w:val="6EEE033C"/>
    <w:rsid w:val="6F576323"/>
    <w:rsid w:val="6F7D5994"/>
    <w:rsid w:val="6F930500"/>
    <w:rsid w:val="6FCF525F"/>
    <w:rsid w:val="70701D9D"/>
    <w:rsid w:val="71363EFE"/>
    <w:rsid w:val="714B393D"/>
    <w:rsid w:val="71852B25"/>
    <w:rsid w:val="71F331F0"/>
    <w:rsid w:val="7330510B"/>
    <w:rsid w:val="735701FA"/>
    <w:rsid w:val="737A2481"/>
    <w:rsid w:val="73851B15"/>
    <w:rsid w:val="73AA7B94"/>
    <w:rsid w:val="73B15363"/>
    <w:rsid w:val="74065FB9"/>
    <w:rsid w:val="7419499D"/>
    <w:rsid w:val="74221A35"/>
    <w:rsid w:val="743636A9"/>
    <w:rsid w:val="746161D6"/>
    <w:rsid w:val="746260F3"/>
    <w:rsid w:val="74C6366F"/>
    <w:rsid w:val="74E9291A"/>
    <w:rsid w:val="74FE6AC5"/>
    <w:rsid w:val="74FF739C"/>
    <w:rsid w:val="756B49BF"/>
    <w:rsid w:val="757E0919"/>
    <w:rsid w:val="75B26419"/>
    <w:rsid w:val="75F115A9"/>
    <w:rsid w:val="760F506F"/>
    <w:rsid w:val="76233B37"/>
    <w:rsid w:val="76905095"/>
    <w:rsid w:val="76A23C67"/>
    <w:rsid w:val="76D322C0"/>
    <w:rsid w:val="771C6EF0"/>
    <w:rsid w:val="772834BB"/>
    <w:rsid w:val="7740624F"/>
    <w:rsid w:val="779064C1"/>
    <w:rsid w:val="77BA0BD4"/>
    <w:rsid w:val="77C4555D"/>
    <w:rsid w:val="7805347C"/>
    <w:rsid w:val="788574C9"/>
    <w:rsid w:val="791913B1"/>
    <w:rsid w:val="795F2A94"/>
    <w:rsid w:val="795F3DF7"/>
    <w:rsid w:val="79873A76"/>
    <w:rsid w:val="79C010AA"/>
    <w:rsid w:val="79CA13C8"/>
    <w:rsid w:val="79F37041"/>
    <w:rsid w:val="7A990F5C"/>
    <w:rsid w:val="7AA508AC"/>
    <w:rsid w:val="7AE332CD"/>
    <w:rsid w:val="7B3D4BCA"/>
    <w:rsid w:val="7B3F2221"/>
    <w:rsid w:val="7B89213F"/>
    <w:rsid w:val="7BB852D9"/>
    <w:rsid w:val="7BF51026"/>
    <w:rsid w:val="7C07240C"/>
    <w:rsid w:val="7C0B757D"/>
    <w:rsid w:val="7C553129"/>
    <w:rsid w:val="7D103DAB"/>
    <w:rsid w:val="7D256BD7"/>
    <w:rsid w:val="7D2B7F7F"/>
    <w:rsid w:val="7D342A7C"/>
    <w:rsid w:val="7D8A2187"/>
    <w:rsid w:val="7DBB78CF"/>
    <w:rsid w:val="7DFB4B2B"/>
    <w:rsid w:val="7E1F3AF7"/>
    <w:rsid w:val="7E3042B4"/>
    <w:rsid w:val="7E377977"/>
    <w:rsid w:val="7EF606A0"/>
    <w:rsid w:val="7F1A548F"/>
    <w:rsid w:val="7F43722A"/>
    <w:rsid w:val="7F6E087F"/>
    <w:rsid w:val="7F86613C"/>
    <w:rsid w:val="7FEC59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jc w:val="center"/>
      <w:outlineLvl w:val="0"/>
    </w:pPr>
    <w:rPr>
      <w:rFonts w:ascii="Calibri" w:hAnsi="Calibri" w:eastAsia="仿宋_GB2312"/>
      <w:b/>
      <w:bCs/>
      <w:kern w:val="44"/>
      <w:sz w:val="44"/>
      <w:szCs w:val="44"/>
    </w:rPr>
  </w:style>
  <w:style w:type="paragraph" w:styleId="4">
    <w:name w:val="heading 2"/>
    <w:basedOn w:val="1"/>
    <w:next w:val="5"/>
    <w:link w:val="56"/>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2" w:lineRule="auto"/>
      <w:outlineLvl w:val="2"/>
    </w:pPr>
    <w:rPr>
      <w:b/>
      <w:sz w:val="32"/>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widowControl/>
      <w:adjustRightInd w:val="0"/>
      <w:snapToGrid w:val="0"/>
      <w:spacing w:line="480" w:lineRule="atLeast"/>
      <w:ind w:firstLine="567"/>
    </w:pPr>
    <w:rPr>
      <w:rFonts w:hint="eastAsia" w:ascii="宋体"/>
      <w:color w:val="000000"/>
      <w:kern w:val="28"/>
      <w:sz w:val="28"/>
      <w:szCs w:val="2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Indent"/>
    <w:basedOn w:val="1"/>
    <w:qFormat/>
    <w:uiPriority w:val="0"/>
    <w:pPr>
      <w:spacing w:after="120"/>
      <w:ind w:left="420" w:leftChars="200"/>
    </w:pPr>
  </w:style>
  <w:style w:type="paragraph" w:styleId="10">
    <w:name w:val="toc 3"/>
    <w:basedOn w:val="1"/>
    <w:next w:val="1"/>
    <w:semiHidden/>
    <w:qFormat/>
    <w:uiPriority w:val="0"/>
    <w:pPr>
      <w:ind w:left="840" w:leftChars="400"/>
    </w:pPr>
  </w:style>
  <w:style w:type="paragraph" w:styleId="11">
    <w:name w:val="Plain Text"/>
    <w:basedOn w:val="1"/>
    <w:next w:val="12"/>
    <w:link w:val="53"/>
    <w:qFormat/>
    <w:uiPriority w:val="0"/>
    <w:rPr>
      <w:rFonts w:hint="eastAsia" w:ascii="宋体" w:hAnsi="Courier New"/>
      <w:szCs w:val="20"/>
    </w:rPr>
  </w:style>
  <w:style w:type="paragraph" w:styleId="12">
    <w:name w:val="Date"/>
    <w:basedOn w:val="1"/>
    <w:next w:val="1"/>
    <w:qFormat/>
    <w:uiPriority w:val="0"/>
    <w:pPr>
      <w:ind w:left="2500" w:leftChars="2500"/>
    </w:pPr>
    <w:rPr>
      <w:rFonts w:eastAsia="楷体_GB2312"/>
      <w:kern w:val="0"/>
      <w:sz w:val="32"/>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608"/>
      </w:tabs>
      <w:spacing w:line="360" w:lineRule="auto"/>
      <w:jc w:val="left"/>
    </w:pPr>
  </w:style>
  <w:style w:type="paragraph" w:styleId="17">
    <w:name w:val="toc 2"/>
    <w:basedOn w:val="1"/>
    <w:next w:val="1"/>
    <w:semiHidden/>
    <w:qFormat/>
    <w:uiPriority w:val="0"/>
    <w:pPr>
      <w:ind w:left="420" w:leftChars="200"/>
    </w:pPr>
  </w:style>
  <w:style w:type="paragraph" w:styleId="18">
    <w:name w:val="Normal (Web)"/>
    <w:basedOn w:val="1"/>
    <w:qFormat/>
    <w:uiPriority w:val="0"/>
    <w:pPr>
      <w:widowControl/>
      <w:spacing w:before="100" w:beforeAutospacing="1" w:after="100" w:afterAutospacing="1" w:line="315" w:lineRule="atLeast"/>
      <w:jc w:val="left"/>
    </w:pPr>
    <w:rPr>
      <w:rFonts w:ascii="宋体" w:hAnsi="宋体" w:eastAsia="宋体" w:cs="宋体"/>
      <w:color w:val="000000"/>
      <w:kern w:val="0"/>
      <w:sz w:val="24"/>
      <w:szCs w:val="18"/>
    </w:rPr>
  </w:style>
  <w:style w:type="paragraph" w:styleId="19">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0">
    <w:name w:val="annotation subject"/>
    <w:basedOn w:val="8"/>
    <w:next w:val="8"/>
    <w:semiHidden/>
    <w:qFormat/>
    <w:uiPriority w:val="0"/>
    <w:rPr>
      <w:b/>
      <w:bCs/>
    </w:rPr>
  </w:style>
  <w:style w:type="paragraph" w:styleId="21">
    <w:name w:val="Body Text First Indent"/>
    <w:basedOn w:val="2"/>
    <w:qFormat/>
    <w:uiPriority w:val="0"/>
    <w:pPr>
      <w:ind w:firstLine="420" w:firstLineChars="100"/>
    </w:pPr>
  </w:style>
  <w:style w:type="paragraph" w:styleId="22">
    <w:name w:val="Body Text First Indent 2"/>
    <w:basedOn w:val="9"/>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color w:val="F05757"/>
      <w:u w:val="none"/>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Hyperlink"/>
    <w:basedOn w:val="25"/>
    <w:qFormat/>
    <w:uiPriority w:val="0"/>
    <w:rPr>
      <w:color w:val="00007F"/>
      <w:u w:val="single"/>
    </w:rPr>
  </w:style>
  <w:style w:type="character" w:styleId="30">
    <w:name w:val="annotation reference"/>
    <w:basedOn w:val="25"/>
    <w:semiHidden/>
    <w:qFormat/>
    <w:uiPriority w:val="0"/>
    <w:rPr>
      <w:sz w:val="21"/>
      <w:szCs w:val="21"/>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Body Text First Indent 2"/>
    <w:basedOn w:val="3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3">
    <w:name w:val="Body Text Indent"/>
    <w:basedOn w:val="1"/>
    <w:next w:val="1"/>
    <w:qFormat/>
    <w:uiPriority w:val="0"/>
    <w:pPr>
      <w:spacing w:after="120" w:afterLines="0"/>
      <w:ind w:left="420" w:leftChars="200"/>
    </w:pPr>
    <w:rPr>
      <w:color w:val="000000"/>
      <w:sz w:val="21"/>
      <w:szCs w:val="21"/>
    </w:rPr>
  </w:style>
  <w:style w:type="paragraph" w:customStyle="1" w:styleId="34">
    <w:name w:val="Char Char Char1 Char Char Char Char"/>
    <w:basedOn w:val="1"/>
    <w:qFormat/>
    <w:uiPriority w:val="0"/>
    <w:rPr>
      <w:szCs w:val="20"/>
    </w:rPr>
  </w:style>
  <w:style w:type="paragraph" w:customStyle="1" w:styleId="3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Char Char Char Char Char Char Char Char Char Char"/>
    <w:basedOn w:val="1"/>
    <w:qFormat/>
    <w:uiPriority w:val="0"/>
  </w:style>
  <w:style w:type="paragraph" w:customStyle="1" w:styleId="37">
    <w:name w:val="正文文字"/>
    <w:basedOn w:val="1"/>
    <w:qFormat/>
    <w:uiPriority w:val="0"/>
    <w:pPr>
      <w:spacing w:after="119" w:line="351" w:lineRule="atLeast"/>
      <w:ind w:firstLine="419"/>
    </w:pPr>
  </w:style>
  <w:style w:type="paragraph" w:customStyle="1" w:styleId="38">
    <w:name w:val="样式1"/>
    <w:basedOn w:val="4"/>
    <w:qFormat/>
    <w:uiPriority w:val="0"/>
    <w:pPr>
      <w:spacing w:line="415" w:lineRule="auto"/>
      <w:jc w:val="center"/>
    </w:pPr>
    <w:rPr>
      <w:rFonts w:ascii="宋体" w:hAnsi="宋体"/>
      <w:sz w:val="36"/>
      <w:szCs w:val="36"/>
    </w:rPr>
  </w:style>
  <w:style w:type="paragraph" w:customStyle="1" w:styleId="39">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40">
    <w:name w:val="List Paragraph1"/>
    <w:basedOn w:val="1"/>
    <w:link w:val="52"/>
    <w:qFormat/>
    <w:uiPriority w:val="0"/>
    <w:pPr>
      <w:ind w:firstLine="420" w:firstLineChars="200"/>
    </w:pPr>
    <w:rPr>
      <w:rFonts w:ascii="Calibri" w:hAnsi="Calibri"/>
      <w:szCs w:val="22"/>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2">
    <w:name w:val="p17"/>
    <w:basedOn w:val="1"/>
    <w:qFormat/>
    <w:uiPriority w:val="0"/>
    <w:pPr>
      <w:widowControl/>
    </w:pPr>
    <w:rPr>
      <w:rFonts w:ascii="宋体" w:hAnsi="宋体" w:cs="宋体"/>
      <w:kern w:val="0"/>
      <w:szCs w:val="21"/>
    </w:rPr>
  </w:style>
  <w:style w:type="paragraph" w:customStyle="1" w:styleId="43">
    <w:name w:val="正文2"/>
    <w:basedOn w:val="1"/>
    <w:qFormat/>
    <w:uiPriority w:val="0"/>
    <w:pPr>
      <w:spacing w:before="156" w:line="360" w:lineRule="auto"/>
      <w:ind w:firstLine="510" w:firstLineChars="200"/>
    </w:pPr>
    <w:rPr>
      <w:sz w:val="24"/>
      <w:szCs w:val="20"/>
    </w:rPr>
  </w:style>
  <w:style w:type="paragraph" w:customStyle="1" w:styleId="44">
    <w:name w:val="正文文字缩进"/>
    <w:basedOn w:val="1"/>
    <w:qFormat/>
    <w:uiPriority w:val="0"/>
    <w:pPr>
      <w:widowControl/>
      <w:spacing w:line="748" w:lineRule="atLeast"/>
      <w:ind w:left="-521" w:firstLine="527"/>
      <w:textAlignment w:val="baseline"/>
    </w:pPr>
    <w:rPr>
      <w:rFonts w:ascii="宋体"/>
      <w:color w:val="000000"/>
      <w:kern w:val="0"/>
      <w:sz w:val="24"/>
      <w:szCs w:val="20"/>
      <w:u w:val="none" w:color="000000"/>
    </w:rPr>
  </w:style>
  <w:style w:type="paragraph" w:customStyle="1" w:styleId="45">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 Char Char Char Char"/>
    <w:basedOn w:val="7"/>
    <w:next w:val="1"/>
    <w:qFormat/>
    <w:uiPriority w:val="0"/>
  </w:style>
  <w:style w:type="paragraph" w:customStyle="1" w:styleId="48">
    <w:name w:val=" Char2"/>
    <w:basedOn w:val="7"/>
    <w:next w:val="1"/>
    <w:qFormat/>
    <w:uiPriority w:val="0"/>
    <w:rPr>
      <w:rFonts w:ascii="Tahoma" w:hAnsi="Tahoma"/>
      <w:sz w:val="24"/>
    </w:rPr>
  </w:style>
  <w:style w:type="paragraph" w:styleId="49">
    <w:name w:val="List Paragraph"/>
    <w:basedOn w:val="1"/>
    <w:qFormat/>
    <w:uiPriority w:val="34"/>
    <w:pPr>
      <w:ind w:firstLine="420" w:firstLineChars="200"/>
    </w:pPr>
    <w:rPr>
      <w:rFonts w:ascii="Calibri" w:hAnsi="Calibri" w:eastAsia="仿宋_GB2312"/>
      <w:sz w:val="28"/>
      <w:szCs w:val="22"/>
    </w:rPr>
  </w:style>
  <w:style w:type="paragraph" w:customStyle="1" w:styleId="50">
    <w:name w:val="Table Paragraph"/>
    <w:basedOn w:val="1"/>
    <w:qFormat/>
    <w:uiPriority w:val="1"/>
    <w:rPr>
      <w:rFonts w:ascii="宋体" w:hAnsi="宋体" w:cs="宋体"/>
      <w:szCs w:val="20"/>
    </w:rPr>
  </w:style>
  <w:style w:type="paragraph" w:customStyle="1" w:styleId="51">
    <w:name w:val="表格文字"/>
    <w:basedOn w:val="1"/>
    <w:next w:val="2"/>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52">
    <w:name w:val="List Paragraph Char"/>
    <w:basedOn w:val="25"/>
    <w:link w:val="40"/>
    <w:qFormat/>
    <w:uiPriority w:val="0"/>
    <w:rPr>
      <w:rFonts w:ascii="Calibri" w:hAnsi="Calibri" w:eastAsia="宋体"/>
      <w:kern w:val="2"/>
      <w:sz w:val="21"/>
      <w:szCs w:val="22"/>
      <w:lang w:val="en-US" w:eastAsia="zh-CN" w:bidi="ar-SA"/>
    </w:rPr>
  </w:style>
  <w:style w:type="character" w:customStyle="1" w:styleId="53">
    <w:name w:val="纯文本 Char"/>
    <w:basedOn w:val="25"/>
    <w:link w:val="11"/>
    <w:qFormat/>
    <w:uiPriority w:val="0"/>
    <w:rPr>
      <w:rFonts w:ascii="宋体" w:hAnsi="Courier New" w:eastAsia="宋体"/>
      <w:kern w:val="2"/>
      <w:sz w:val="21"/>
      <w:lang w:val="en-US" w:eastAsia="zh-CN" w:bidi="ar-SA"/>
    </w:rPr>
  </w:style>
  <w:style w:type="character" w:customStyle="1" w:styleId="54">
    <w:name w:val="ld-name-active"/>
    <w:basedOn w:val="25"/>
    <w:qFormat/>
    <w:uiPriority w:val="0"/>
    <w:rPr>
      <w:shd w:val="clear" w:color="auto" w:fill="C51010"/>
    </w:rPr>
  </w:style>
  <w:style w:type="character" w:customStyle="1" w:styleId="55">
    <w:name w:val="bsharetext"/>
    <w:basedOn w:val="25"/>
    <w:qFormat/>
    <w:uiPriority w:val="0"/>
  </w:style>
  <w:style w:type="character" w:customStyle="1" w:styleId="56">
    <w:name w:val="标题 2 Char"/>
    <w:basedOn w:val="25"/>
    <w:link w:val="4"/>
    <w:qFormat/>
    <w:uiPriority w:val="0"/>
    <w:rPr>
      <w:rFonts w:ascii="Arial" w:hAnsi="Arial" w:eastAsia="黑体"/>
      <w:b/>
      <w:bCs/>
      <w:kern w:val="2"/>
      <w:sz w:val="32"/>
      <w:szCs w:val="32"/>
      <w:lang w:val="en-US" w:eastAsia="zh-CN" w:bidi="ar-SA"/>
    </w:rPr>
  </w:style>
  <w:style w:type="character" w:customStyle="1" w:styleId="57">
    <w:name w:val="标题 3 Char"/>
    <w:basedOn w:val="25"/>
    <w:qFormat/>
    <w:uiPriority w:val="0"/>
    <w:rPr>
      <w:rFonts w:eastAsia="黑体"/>
      <w:b/>
      <w:sz w:val="28"/>
      <w:lang w:val="en-US" w:eastAsia="zh-CN" w:bidi="ar-SA"/>
    </w:rPr>
  </w:style>
  <w:style w:type="character" w:customStyle="1" w:styleId="58">
    <w:name w:val=" Char Char1"/>
    <w:qFormat/>
    <w:uiPriority w:val="0"/>
    <w:rPr>
      <w:rFonts w:ascii="宋体" w:hAnsi="Courier New" w:eastAsia="宋体"/>
      <w:kern w:val="2"/>
      <w:sz w:val="21"/>
      <w:lang w:val="en-US" w:eastAsia="zh-CN" w:bidi="ar-SA"/>
    </w:rPr>
  </w:style>
  <w:style w:type="character" w:customStyle="1" w:styleId="59">
    <w:name w:val="hover17"/>
    <w:basedOn w:val="25"/>
    <w:qFormat/>
    <w:uiPriority w:val="0"/>
  </w:style>
  <w:style w:type="character" w:customStyle="1" w:styleId="60">
    <w:name w:val="脚注引用_0_0"/>
    <w:semiHidden/>
    <w:qFormat/>
    <w:uiPriority w:val="0"/>
    <w:rPr>
      <w:rFonts w:ascii="Calibri" w:hAnsi="Calibri" w:eastAsia="宋体"/>
      <w:vertAlign w:val="superscript"/>
    </w:rPr>
  </w:style>
  <w:style w:type="character" w:customStyle="1" w:styleId="61">
    <w:name w:val="hover15"/>
    <w:basedOn w:val="25"/>
    <w:qFormat/>
    <w:uiPriority w:val="0"/>
  </w:style>
  <w:style w:type="character" w:customStyle="1" w:styleId="62">
    <w:name w:val="hover16"/>
    <w:basedOn w:val="25"/>
    <w:qFormat/>
    <w:uiPriority w:val="0"/>
  </w:style>
  <w:style w:type="character" w:customStyle="1" w:styleId="63">
    <w:name w:val="hover14"/>
    <w:basedOn w:val="25"/>
    <w:qFormat/>
    <w:uiPriority w:val="0"/>
  </w:style>
  <w:style w:type="character" w:customStyle="1" w:styleId="64">
    <w:name w:val="hover"/>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3924</Words>
  <Characters>22373</Characters>
  <Lines>186</Lines>
  <Paragraphs>52</Paragraphs>
  <TotalTime>19</TotalTime>
  <ScaleCrop>false</ScaleCrop>
  <LinksUpToDate>false</LinksUpToDate>
  <CharactersWithSpaces>26245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2020-06-23T03:50:00Z</dcterms:created>
  <dc:creator>User</dc:creator>
  <cp:lastModifiedBy>Administrator</cp:lastModifiedBy>
  <cp:lastPrinted>2020-07-23T04:15:00Z</cp:lastPrinted>
  <dcterms:modified xsi:type="dcterms:W3CDTF">2020-07-23T08:01:43Z</dcterms:modified>
  <dc:title>为了加强对城市建筑垃圾的清运和管理，保障城市市容和环境卫生，</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