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after="0" w:line="590" w:lineRule="exact"/>
        <w:ind w:left="0" w:leftChars="0"/>
        <w:jc w:val="center"/>
        <w:rPr>
          <w:sz w:val="44"/>
          <w:szCs w:val="44"/>
        </w:rPr>
      </w:pPr>
      <w:r>
        <w:rPr>
          <w:rFonts w:eastAsia="方正小标宋简体"/>
          <w:sz w:val="44"/>
          <w:szCs w:val="44"/>
        </w:rPr>
        <w:t>浙江省国内贸易发展“十四五”规划</w:t>
      </w:r>
    </w:p>
    <w:p>
      <w:pPr>
        <w:spacing w:line="590" w:lineRule="exact"/>
        <w:ind w:firstLine="640" w:firstLineChars="200"/>
        <w:rPr>
          <w:rFonts w:hint="eastAsia" w:hAnsi="仿宋_GB2312"/>
          <w:szCs w:val="32"/>
        </w:rPr>
      </w:pPr>
    </w:p>
    <w:p>
      <w:pPr>
        <w:spacing w:line="590" w:lineRule="exact"/>
        <w:ind w:firstLine="640" w:firstLineChars="200"/>
        <w:rPr>
          <w:szCs w:val="32"/>
        </w:rPr>
      </w:pPr>
      <w:r>
        <w:rPr>
          <w:rFonts w:hAnsi="仿宋_GB2312"/>
          <w:szCs w:val="32"/>
        </w:rPr>
        <w:t>构建以国内大循环为主体、国内国际双循环相互促进的新发展格局，是党中央立足百年未有之大变局，作出的中长期重大战略抉择。国内贸易连通生产与消费，建设现代流通体系对构建新发展格局具有重要意义。我省作为消费大省、流通强省，要积极促消费、拓市场、畅流通，充分发挥商贸流通的辐射、引领、带动作用，为构建新发展格局提供强力支撑。</w:t>
      </w:r>
    </w:p>
    <w:p>
      <w:pPr>
        <w:spacing w:line="590" w:lineRule="exact"/>
        <w:ind w:firstLine="640" w:firstLineChars="200"/>
        <w:rPr>
          <w:szCs w:val="32"/>
        </w:rPr>
      </w:pPr>
      <w:r>
        <w:rPr>
          <w:rFonts w:hAnsi="仿宋_GB2312"/>
          <w:szCs w:val="32"/>
        </w:rPr>
        <w:t>本规划依据《浙江省国民经济和社会发展第十四个五年规划和二</w:t>
      </w:r>
      <w:r>
        <w:rPr>
          <w:rFonts w:hint="eastAsia" w:ascii="仿宋_GB2312" w:hAnsi="仿宋_GB2312"/>
          <w:szCs w:val="32"/>
        </w:rPr>
        <w:t>○</w:t>
      </w:r>
      <w:r>
        <w:rPr>
          <w:rFonts w:hAnsi="仿宋_GB2312"/>
          <w:szCs w:val="32"/>
        </w:rPr>
        <w:t>三五年远景目标纲要》以及国务院、省政府有关文件编制，主要涵盖批发零售业、住宿餐饮业、生活服务业、特殊行业以及新型流通业等。规划期限</w:t>
      </w:r>
      <w:r>
        <w:rPr>
          <w:szCs w:val="32"/>
        </w:rPr>
        <w:t>2021—2025</w:t>
      </w:r>
      <w:r>
        <w:rPr>
          <w:rFonts w:hAnsi="仿宋_GB2312"/>
          <w:szCs w:val="32"/>
        </w:rPr>
        <w:t>年。</w:t>
      </w:r>
    </w:p>
    <w:p>
      <w:pPr>
        <w:spacing w:line="590" w:lineRule="exact"/>
        <w:ind w:firstLine="640" w:firstLineChars="200"/>
        <w:outlineLvl w:val="0"/>
        <w:rPr>
          <w:rFonts w:eastAsia="黑体"/>
          <w:szCs w:val="32"/>
        </w:rPr>
      </w:pPr>
      <w:bookmarkStart w:id="0" w:name="_Toc30769"/>
      <w:bookmarkStart w:id="1" w:name="_Toc16464"/>
      <w:r>
        <w:rPr>
          <w:rFonts w:eastAsia="黑体"/>
          <w:szCs w:val="32"/>
        </w:rPr>
        <w:t>一、现实基础和面临形势</w:t>
      </w:r>
      <w:bookmarkEnd w:id="0"/>
      <w:bookmarkEnd w:id="1"/>
    </w:p>
    <w:p>
      <w:pPr>
        <w:spacing w:line="590" w:lineRule="exact"/>
        <w:ind w:firstLine="640" w:firstLineChars="200"/>
        <w:outlineLvl w:val="1"/>
        <w:rPr>
          <w:rFonts w:eastAsia="楷体_GB2312"/>
          <w:szCs w:val="32"/>
        </w:rPr>
      </w:pPr>
      <w:bookmarkStart w:id="2" w:name="_Toc10806"/>
      <w:bookmarkStart w:id="3" w:name="_Toc13107"/>
      <w:r>
        <w:rPr>
          <w:rFonts w:eastAsia="楷体_GB2312"/>
          <w:szCs w:val="32"/>
        </w:rPr>
        <w:t>（一）现实基础</w:t>
      </w:r>
      <w:bookmarkEnd w:id="2"/>
      <w:bookmarkEnd w:id="3"/>
    </w:p>
    <w:p>
      <w:pPr>
        <w:spacing w:line="590" w:lineRule="exact"/>
        <w:ind w:firstLine="643" w:firstLineChars="200"/>
        <w:outlineLvl w:val="2"/>
        <w:rPr>
          <w:b/>
          <w:bCs/>
          <w:szCs w:val="32"/>
        </w:rPr>
      </w:pPr>
      <w:bookmarkStart w:id="4" w:name="_Toc7502"/>
      <w:bookmarkStart w:id="5" w:name="_Toc32384"/>
      <w:r>
        <w:rPr>
          <w:b/>
          <w:bCs/>
          <w:szCs w:val="32"/>
        </w:rPr>
        <w:t>1.</w:t>
      </w:r>
      <w:r>
        <w:rPr>
          <w:rFonts w:hint="eastAsia"/>
          <w:b/>
          <w:bCs/>
          <w:szCs w:val="32"/>
        </w:rPr>
        <w:t xml:space="preserve"> </w:t>
      </w:r>
      <w:r>
        <w:rPr>
          <w:b/>
          <w:bCs/>
          <w:szCs w:val="32"/>
        </w:rPr>
        <w:t>消费大省地位更加巩固</w:t>
      </w:r>
      <w:bookmarkEnd w:id="4"/>
      <w:bookmarkEnd w:id="5"/>
    </w:p>
    <w:p>
      <w:pPr>
        <w:spacing w:line="590" w:lineRule="exact"/>
        <w:ind w:firstLine="640" w:firstLineChars="200"/>
        <w:rPr>
          <w:rFonts w:eastAsia="宋体"/>
          <w:szCs w:val="32"/>
        </w:rPr>
      </w:pPr>
      <w:r>
        <w:rPr>
          <w:szCs w:val="32"/>
        </w:rPr>
        <w:t>“</w:t>
      </w:r>
      <w:r>
        <w:rPr>
          <w:rFonts w:hAnsi="仿宋_GB2312"/>
          <w:szCs w:val="32"/>
        </w:rPr>
        <w:t>十三五</w:t>
      </w:r>
      <w:r>
        <w:rPr>
          <w:szCs w:val="32"/>
        </w:rPr>
        <w:t>”</w:t>
      </w:r>
      <w:r>
        <w:rPr>
          <w:rFonts w:hAnsi="仿宋_GB2312"/>
          <w:szCs w:val="32"/>
        </w:rPr>
        <w:t>期间，我省消费市场总体规模不断扩大，在全国保持前列，消费主引擎作用日益彰显。</w:t>
      </w:r>
      <w:r>
        <w:rPr>
          <w:szCs w:val="32"/>
        </w:rPr>
        <w:t>2020</w:t>
      </w:r>
      <w:r>
        <w:rPr>
          <w:rFonts w:hAnsi="仿宋_GB2312"/>
          <w:szCs w:val="32"/>
        </w:rPr>
        <w:t>年，全省社会消费品零售总额</w:t>
      </w:r>
      <w:r>
        <w:rPr>
          <w:szCs w:val="32"/>
        </w:rPr>
        <w:t>26630</w:t>
      </w:r>
      <w:r>
        <w:rPr>
          <w:rFonts w:hAnsi="仿宋_GB2312"/>
          <w:szCs w:val="32"/>
        </w:rPr>
        <w:t>亿元，较</w:t>
      </w:r>
      <w:r>
        <w:rPr>
          <w:szCs w:val="32"/>
        </w:rPr>
        <w:t>“</w:t>
      </w:r>
      <w:r>
        <w:rPr>
          <w:rFonts w:hAnsi="仿宋_GB2312"/>
          <w:szCs w:val="32"/>
        </w:rPr>
        <w:t>十二五</w:t>
      </w:r>
      <w:r>
        <w:rPr>
          <w:szCs w:val="32"/>
        </w:rPr>
        <w:t>”</w:t>
      </w:r>
      <w:r>
        <w:rPr>
          <w:rFonts w:hAnsi="仿宋_GB2312"/>
          <w:szCs w:val="32"/>
        </w:rPr>
        <w:t>末增长</w:t>
      </w:r>
      <w:r>
        <w:rPr>
          <w:szCs w:val="32"/>
        </w:rPr>
        <w:t>40.8%</w:t>
      </w:r>
      <w:r>
        <w:rPr>
          <w:rFonts w:hAnsi="仿宋_GB2312"/>
          <w:szCs w:val="32"/>
        </w:rPr>
        <w:t>，持续居全国第四位；居民人均生活消费支出</w:t>
      </w:r>
      <w:r>
        <w:rPr>
          <w:szCs w:val="32"/>
        </w:rPr>
        <w:t>31295</w:t>
      </w:r>
      <w:r>
        <w:rPr>
          <w:rFonts w:hAnsi="仿宋_GB2312"/>
          <w:szCs w:val="32"/>
        </w:rPr>
        <w:t>元，居全国第三、省区第一；最终消费率从</w:t>
      </w:r>
      <w:r>
        <w:rPr>
          <w:szCs w:val="32"/>
        </w:rPr>
        <w:t>2015</w:t>
      </w:r>
      <w:r>
        <w:rPr>
          <w:rFonts w:hAnsi="仿宋_GB2312"/>
          <w:szCs w:val="32"/>
        </w:rPr>
        <w:t>年的</w:t>
      </w:r>
      <w:r>
        <w:rPr>
          <w:szCs w:val="32"/>
        </w:rPr>
        <w:t>48.1%</w:t>
      </w:r>
      <w:r>
        <w:rPr>
          <w:rFonts w:hAnsi="仿宋_GB2312"/>
          <w:szCs w:val="32"/>
        </w:rPr>
        <w:t>上升到</w:t>
      </w:r>
      <w:r>
        <w:rPr>
          <w:szCs w:val="32"/>
        </w:rPr>
        <w:t>2019</w:t>
      </w:r>
      <w:r>
        <w:rPr>
          <w:rFonts w:hAnsi="仿宋_GB2312"/>
          <w:szCs w:val="32"/>
        </w:rPr>
        <w:t>年的</w:t>
      </w:r>
      <w:r>
        <w:rPr>
          <w:szCs w:val="32"/>
        </w:rPr>
        <w:t>50.4%</w:t>
      </w:r>
      <w:r>
        <w:rPr>
          <w:rFonts w:hAnsi="仿宋_GB2312"/>
          <w:szCs w:val="32"/>
        </w:rPr>
        <w:t>，消费贡献率从</w:t>
      </w:r>
      <w:r>
        <w:rPr>
          <w:szCs w:val="32"/>
        </w:rPr>
        <w:t>2015</w:t>
      </w:r>
      <w:r>
        <w:rPr>
          <w:rFonts w:hAnsi="仿宋_GB2312"/>
          <w:szCs w:val="32"/>
        </w:rPr>
        <w:t>年的</w:t>
      </w:r>
      <w:r>
        <w:rPr>
          <w:szCs w:val="32"/>
        </w:rPr>
        <w:t>46.9%</w:t>
      </w:r>
      <w:r>
        <w:rPr>
          <w:rFonts w:hAnsi="仿宋_GB2312"/>
          <w:szCs w:val="32"/>
        </w:rPr>
        <w:t>提高到</w:t>
      </w:r>
      <w:r>
        <w:rPr>
          <w:szCs w:val="32"/>
        </w:rPr>
        <w:t>2019</w:t>
      </w:r>
      <w:r>
        <w:rPr>
          <w:rFonts w:hAnsi="仿宋_GB2312"/>
          <w:szCs w:val="32"/>
        </w:rPr>
        <w:t>年</w:t>
      </w:r>
      <w:r>
        <w:rPr>
          <w:szCs w:val="32"/>
        </w:rPr>
        <w:t>59.5%</w:t>
      </w:r>
      <w:r>
        <w:rPr>
          <w:rFonts w:hAnsi="仿宋_GB2312"/>
          <w:szCs w:val="32"/>
        </w:rPr>
        <w:t>。</w:t>
      </w:r>
      <w:r>
        <w:rPr>
          <w:kern w:val="0"/>
          <w:szCs w:val="32"/>
          <w:lang w:bidi="ar"/>
        </w:rPr>
        <w:t>2019</w:t>
      </w:r>
      <w:r>
        <w:rPr>
          <w:rFonts w:hAnsi="仿宋_GB2312"/>
          <w:kern w:val="0"/>
          <w:szCs w:val="32"/>
          <w:lang w:bidi="ar"/>
        </w:rPr>
        <w:t>年全省批零住餐业增加值</w:t>
      </w:r>
      <w:r>
        <w:rPr>
          <w:kern w:val="0"/>
          <w:szCs w:val="32"/>
          <w:lang w:bidi="ar"/>
        </w:rPr>
        <w:t>8562.4</w:t>
      </w:r>
      <w:r>
        <w:rPr>
          <w:rFonts w:hAnsi="仿宋_GB2312"/>
          <w:kern w:val="0"/>
          <w:szCs w:val="32"/>
          <w:lang w:bidi="ar"/>
        </w:rPr>
        <w:t>亿元，</w:t>
      </w:r>
      <w:r>
        <w:rPr>
          <w:kern w:val="0"/>
          <w:szCs w:val="32"/>
          <w:lang w:bidi="ar"/>
        </w:rPr>
        <w:t>“</w:t>
      </w:r>
      <w:r>
        <w:rPr>
          <w:rFonts w:hAnsi="仿宋_GB2312"/>
          <w:kern w:val="0"/>
          <w:szCs w:val="32"/>
          <w:lang w:bidi="ar"/>
        </w:rPr>
        <w:t>十三五</w:t>
      </w:r>
      <w:r>
        <w:rPr>
          <w:kern w:val="0"/>
          <w:szCs w:val="32"/>
          <w:lang w:bidi="ar"/>
        </w:rPr>
        <w:t>”</w:t>
      </w:r>
      <w:r>
        <w:rPr>
          <w:rFonts w:hAnsi="仿宋_GB2312"/>
          <w:kern w:val="0"/>
          <w:szCs w:val="32"/>
          <w:lang w:bidi="ar"/>
        </w:rPr>
        <w:t>期间年均增长</w:t>
      </w:r>
      <w:r>
        <w:rPr>
          <w:kern w:val="0"/>
          <w:szCs w:val="32"/>
          <w:lang w:bidi="ar"/>
        </w:rPr>
        <w:t>8.8%</w:t>
      </w:r>
      <w:r>
        <w:rPr>
          <w:rFonts w:hAnsi="仿宋_GB2312"/>
          <w:kern w:val="0"/>
          <w:szCs w:val="32"/>
          <w:lang w:bidi="ar"/>
        </w:rPr>
        <w:t>，占全省</w:t>
      </w:r>
      <w:r>
        <w:rPr>
          <w:kern w:val="0"/>
          <w:szCs w:val="32"/>
          <w:lang w:bidi="ar"/>
        </w:rPr>
        <w:t>GDP</w:t>
      </w:r>
      <w:r>
        <w:rPr>
          <w:rFonts w:hAnsi="仿宋_GB2312"/>
          <w:kern w:val="0"/>
          <w:szCs w:val="32"/>
          <w:lang w:bidi="ar"/>
        </w:rPr>
        <w:t>的</w:t>
      </w:r>
      <w:r>
        <w:rPr>
          <w:kern w:val="0"/>
          <w:szCs w:val="32"/>
          <w:lang w:bidi="ar"/>
        </w:rPr>
        <w:t>13.7%</w:t>
      </w:r>
      <w:r>
        <w:rPr>
          <w:rFonts w:hAnsi="仿宋_GB2312"/>
          <w:kern w:val="0"/>
          <w:szCs w:val="32"/>
          <w:lang w:bidi="ar"/>
        </w:rPr>
        <w:t>，占服务业的</w:t>
      </w:r>
      <w:r>
        <w:rPr>
          <w:kern w:val="0"/>
          <w:szCs w:val="32"/>
          <w:lang w:bidi="ar"/>
        </w:rPr>
        <w:t>25.4%</w:t>
      </w:r>
      <w:r>
        <w:rPr>
          <w:rFonts w:hAnsi="仿宋_GB2312"/>
          <w:kern w:val="0"/>
          <w:szCs w:val="32"/>
          <w:lang w:bidi="ar"/>
        </w:rPr>
        <w:t>，是仅次于工业的国民经济第二大产业部门。</w:t>
      </w:r>
      <w:r>
        <w:rPr>
          <w:kern w:val="0"/>
          <w:szCs w:val="32"/>
          <w:lang w:bidi="ar"/>
        </w:rPr>
        <w:t>2019</w:t>
      </w:r>
      <w:r>
        <w:rPr>
          <w:rFonts w:hAnsi="仿宋_GB2312"/>
          <w:kern w:val="0"/>
          <w:szCs w:val="32"/>
          <w:lang w:bidi="ar"/>
        </w:rPr>
        <w:t>年批零住餐业吸纳就业</w:t>
      </w:r>
      <w:r>
        <w:rPr>
          <w:kern w:val="0"/>
          <w:szCs w:val="32"/>
          <w:lang w:bidi="ar"/>
        </w:rPr>
        <w:t>731.8</w:t>
      </w:r>
      <w:r>
        <w:rPr>
          <w:rFonts w:hAnsi="仿宋_GB2312"/>
          <w:kern w:val="0"/>
          <w:szCs w:val="32"/>
          <w:lang w:bidi="ar"/>
        </w:rPr>
        <w:t>万人，占全省就业总数</w:t>
      </w:r>
      <w:r>
        <w:rPr>
          <w:kern w:val="0"/>
          <w:szCs w:val="32"/>
          <w:lang w:bidi="ar"/>
        </w:rPr>
        <w:t>18.9%</w:t>
      </w:r>
      <w:r>
        <w:rPr>
          <w:rFonts w:hAnsi="仿宋_GB2312"/>
          <w:kern w:val="0"/>
          <w:szCs w:val="32"/>
          <w:lang w:bidi="ar"/>
        </w:rPr>
        <w:t>。</w:t>
      </w:r>
      <w:r>
        <w:rPr>
          <w:kern w:val="0"/>
          <w:szCs w:val="32"/>
          <w:lang w:bidi="ar"/>
        </w:rPr>
        <w:t xml:space="preserve"> </w:t>
      </w:r>
    </w:p>
    <w:p>
      <w:pPr>
        <w:spacing w:line="590" w:lineRule="exact"/>
        <w:ind w:firstLine="643" w:firstLineChars="200"/>
        <w:outlineLvl w:val="2"/>
        <w:rPr>
          <w:b/>
          <w:bCs/>
          <w:szCs w:val="32"/>
        </w:rPr>
      </w:pPr>
      <w:bookmarkStart w:id="6" w:name="_Toc30627"/>
      <w:bookmarkStart w:id="7" w:name="_Toc2826"/>
      <w:r>
        <w:rPr>
          <w:b/>
          <w:bCs/>
          <w:szCs w:val="32"/>
        </w:rPr>
        <w:t>2.</w:t>
      </w:r>
      <w:r>
        <w:rPr>
          <w:rFonts w:hint="eastAsia"/>
          <w:b/>
          <w:bCs/>
          <w:szCs w:val="32"/>
        </w:rPr>
        <w:t xml:space="preserve"> </w:t>
      </w:r>
      <w:r>
        <w:rPr>
          <w:b/>
          <w:bCs/>
          <w:szCs w:val="32"/>
        </w:rPr>
        <w:t>现代流通强省基本建成</w:t>
      </w:r>
      <w:bookmarkEnd w:id="6"/>
      <w:bookmarkEnd w:id="7"/>
    </w:p>
    <w:p>
      <w:pPr>
        <w:spacing w:line="590" w:lineRule="exact"/>
        <w:ind w:firstLine="640" w:firstLineChars="200"/>
        <w:rPr>
          <w:szCs w:val="32"/>
        </w:rPr>
      </w:pPr>
      <w:r>
        <w:rPr>
          <w:szCs w:val="32"/>
        </w:rPr>
        <w:t>“十三五”期间，我省现代流通体系建设走在全国前列，品质化、数字化、信息化水平不断提升，带动浙江商品行销全国乃至全球。截至2020年，我省有国家级高品质步行街1条，省级高品质步行街试点13条；夜间经济试点和培育城市共27个；拥有商品实体交易市场3342个，其中年交易额千亿级商品市场2个，百亿级市场34个，十亿级市场253个。2020年，全省限上批发零售业商品销售总额达8.5万亿元，“十三五”期间年均增长15.7%；快递业务量179.5亿件，是2015年的4.7倍。</w:t>
      </w:r>
    </w:p>
    <w:p>
      <w:pPr>
        <w:spacing w:line="590" w:lineRule="exact"/>
        <w:ind w:firstLine="643" w:firstLineChars="200"/>
        <w:outlineLvl w:val="2"/>
        <w:rPr>
          <w:b/>
          <w:bCs/>
          <w:szCs w:val="32"/>
        </w:rPr>
      </w:pPr>
      <w:bookmarkStart w:id="8" w:name="_Toc26214"/>
      <w:bookmarkStart w:id="9" w:name="_Toc1372"/>
      <w:r>
        <w:rPr>
          <w:b/>
          <w:bCs/>
          <w:szCs w:val="32"/>
        </w:rPr>
        <w:t>3.</w:t>
      </w:r>
      <w:r>
        <w:rPr>
          <w:rFonts w:hint="eastAsia"/>
          <w:b/>
          <w:bCs/>
          <w:szCs w:val="32"/>
        </w:rPr>
        <w:t xml:space="preserve"> </w:t>
      </w:r>
      <w:r>
        <w:rPr>
          <w:b/>
          <w:bCs/>
          <w:szCs w:val="32"/>
        </w:rPr>
        <w:t>市场主体实力显著增强</w:t>
      </w:r>
      <w:bookmarkEnd w:id="8"/>
      <w:bookmarkEnd w:id="9"/>
    </w:p>
    <w:p>
      <w:pPr>
        <w:spacing w:line="590" w:lineRule="exact"/>
        <w:ind w:firstLine="640" w:firstLineChars="200"/>
        <w:rPr>
          <w:szCs w:val="32"/>
        </w:rPr>
      </w:pPr>
      <w:r>
        <w:rPr>
          <w:szCs w:val="32"/>
        </w:rPr>
        <w:t>“十三五”期间，我省推动市场主体多元化发展，大中型企业实力较快增长，阿里巴巴、物产中大等已经成为具有世界级影响力的知名企业。2020年，全省重点流通企业总计219家，比2015年增加114家；限额以上批发零售业法人企业19601家，比2015年增加3027家；限额以上住宿餐饮企业数量3053家，比2015年增加222家；2018年，全省有26家企业成为首批国家供应链创新与应用试点，数量居全国前列，且在全国率先开展省级试点培育。</w:t>
      </w:r>
    </w:p>
    <w:p>
      <w:pPr>
        <w:spacing w:line="590" w:lineRule="exact"/>
        <w:ind w:firstLine="643" w:firstLineChars="200"/>
        <w:outlineLvl w:val="2"/>
        <w:rPr>
          <w:b/>
          <w:bCs/>
          <w:szCs w:val="32"/>
        </w:rPr>
      </w:pPr>
      <w:bookmarkStart w:id="10" w:name="_Toc5897"/>
      <w:bookmarkStart w:id="11" w:name="_Toc13509"/>
      <w:r>
        <w:rPr>
          <w:b/>
          <w:bCs/>
          <w:szCs w:val="32"/>
        </w:rPr>
        <w:t>4.</w:t>
      </w:r>
      <w:r>
        <w:rPr>
          <w:rFonts w:hint="eastAsia"/>
          <w:b/>
          <w:bCs/>
          <w:szCs w:val="32"/>
        </w:rPr>
        <w:t xml:space="preserve"> </w:t>
      </w:r>
      <w:r>
        <w:rPr>
          <w:b/>
          <w:bCs/>
          <w:szCs w:val="32"/>
        </w:rPr>
        <w:t>流通模式创新领跑全国</w:t>
      </w:r>
      <w:bookmarkEnd w:id="10"/>
      <w:bookmarkEnd w:id="11"/>
    </w:p>
    <w:p>
      <w:pPr>
        <w:spacing w:line="590" w:lineRule="exact"/>
        <w:ind w:firstLine="640" w:firstLineChars="200"/>
        <w:rPr>
          <w:szCs w:val="32"/>
        </w:rPr>
      </w:pPr>
      <w:r>
        <w:rPr>
          <w:szCs w:val="32"/>
        </w:rPr>
        <w:t>“十三五”期间，我省大力发展数字生活新服务，以电子商务</w:t>
      </w:r>
      <w:r>
        <w:rPr>
          <w:rFonts w:hint="eastAsia"/>
          <w:szCs w:val="32"/>
        </w:rPr>
        <w:t>为</w:t>
      </w:r>
      <w:r>
        <w:rPr>
          <w:szCs w:val="32"/>
        </w:rPr>
        <w:t>代表的数字经济发展迅猛，云计算、大数据、物联网等技术应用广泛，催动线上线下加快融合，“网上菜场”“网上超市”等新业态、新模式、新场景不断涌现，全省建设新型综合性、跨境贸易、行业垂直、农产品、专业市场O2O融合等6大类300多家电商平台，杭州成为全国新零售策源地、数字消费引领地；全省有10个设区市获批跨境电商综试区，覆盖率居全国首位，2020年跨境电商交易额居全国第二位。2020年，全省网络零售额22608.1亿元，是2015年的近3倍，居全国第二位；居民网络消费额达11071.7亿元，是2015年的2.8倍。</w:t>
      </w:r>
    </w:p>
    <w:p>
      <w:pPr>
        <w:spacing w:line="590" w:lineRule="exact"/>
        <w:ind w:firstLine="643" w:firstLineChars="200"/>
        <w:outlineLvl w:val="2"/>
        <w:rPr>
          <w:b/>
          <w:bCs/>
          <w:szCs w:val="32"/>
        </w:rPr>
      </w:pPr>
      <w:bookmarkStart w:id="12" w:name="_Toc20635"/>
      <w:bookmarkStart w:id="13" w:name="_Toc11278"/>
      <w:r>
        <w:rPr>
          <w:b/>
          <w:bCs/>
          <w:szCs w:val="32"/>
        </w:rPr>
        <w:t>5.</w:t>
      </w:r>
      <w:r>
        <w:rPr>
          <w:rFonts w:hint="eastAsia"/>
          <w:b/>
          <w:bCs/>
          <w:szCs w:val="32"/>
        </w:rPr>
        <w:t xml:space="preserve"> </w:t>
      </w:r>
      <w:r>
        <w:rPr>
          <w:b/>
          <w:bCs/>
          <w:szCs w:val="32"/>
        </w:rPr>
        <w:t>城乡市场发展更趋协调</w:t>
      </w:r>
      <w:bookmarkEnd w:id="12"/>
      <w:bookmarkEnd w:id="13"/>
    </w:p>
    <w:p>
      <w:pPr>
        <w:spacing w:line="590" w:lineRule="exact"/>
        <w:ind w:firstLine="640" w:firstLineChars="200"/>
        <w:rPr>
          <w:szCs w:val="32"/>
        </w:rPr>
      </w:pPr>
      <w:r>
        <w:rPr>
          <w:szCs w:val="32"/>
        </w:rPr>
        <w:t>“十三五”期间，我省统筹推进城乡商贸体系建设，大力开展电子商务进农村等工作，并在全国率先开展现代商贸特色镇、商贸发展示范村建设，2020年，全省有电商镇316个、电子商务专业村1970个，数量均居全国第一；累计建成农村电商服务站超1.8万余个，覆盖了全省68.2%以上的行政村；拥有活跃的涉农网店2.2万家；现代商贸特色镇32个、商贸发展示范村112个；全省乡村社会消费品零售总额达到4293亿元，占全部社会消费品零售总额的比重为16.1%。</w:t>
      </w:r>
    </w:p>
    <w:p>
      <w:pPr>
        <w:spacing w:line="590" w:lineRule="exact"/>
        <w:ind w:firstLine="643" w:firstLineChars="200"/>
        <w:outlineLvl w:val="2"/>
        <w:rPr>
          <w:b/>
          <w:bCs/>
          <w:szCs w:val="32"/>
        </w:rPr>
      </w:pPr>
      <w:bookmarkStart w:id="14" w:name="_Toc24359"/>
      <w:bookmarkStart w:id="15" w:name="_Toc12118"/>
      <w:r>
        <w:rPr>
          <w:b/>
          <w:bCs/>
          <w:szCs w:val="32"/>
        </w:rPr>
        <w:t>6.</w:t>
      </w:r>
      <w:r>
        <w:rPr>
          <w:rFonts w:hint="eastAsia"/>
          <w:b/>
          <w:bCs/>
          <w:szCs w:val="32"/>
        </w:rPr>
        <w:t xml:space="preserve"> </w:t>
      </w:r>
      <w:r>
        <w:rPr>
          <w:b/>
          <w:bCs/>
          <w:szCs w:val="32"/>
        </w:rPr>
        <w:t>市场应急保供成效显著</w:t>
      </w:r>
      <w:bookmarkEnd w:id="14"/>
      <w:bookmarkEnd w:id="15"/>
    </w:p>
    <w:p>
      <w:pPr>
        <w:spacing w:line="590" w:lineRule="exact"/>
        <w:ind w:firstLine="640" w:firstLineChars="200"/>
        <w:rPr>
          <w:szCs w:val="32"/>
        </w:rPr>
      </w:pPr>
      <w:r>
        <w:rPr>
          <w:szCs w:val="32"/>
        </w:rPr>
        <w:t>“十三五”期间，我省健全完善了市场运行监测系统，加强对市场的日常运行分析，同时，压实“菜篮子”责任，搭建“11+1+N”应急保供机制，实行全省联保联供，市场保供应急预案逐步完善，</w:t>
      </w:r>
      <w:r>
        <w:rPr>
          <w:spacing w:val="2"/>
          <w:szCs w:val="32"/>
        </w:rPr>
        <w:t>特别是新冠肺炎疫情期间，建立健全了全方位市场运行监测体系、供应链风险排查体系、预警储备体系、应急预案执行体系、防疫保供考核评估体系“五大工作体系”以及生活必需品市场日报监测制度、市场供求情况周报制度、每日市场供应异常情况零报告制度和脱销断档异常情况第一时间报告制度的“四报告”制度，在应对疫情中均发挥了重要作用，有效保障了生活必需品供应。</w:t>
      </w:r>
    </w:p>
    <w:p>
      <w:pPr>
        <w:spacing w:line="590" w:lineRule="exact"/>
        <w:ind w:firstLine="643" w:firstLineChars="200"/>
        <w:outlineLvl w:val="2"/>
        <w:rPr>
          <w:b/>
          <w:bCs/>
          <w:szCs w:val="32"/>
        </w:rPr>
      </w:pPr>
      <w:bookmarkStart w:id="16" w:name="_Toc11041"/>
      <w:bookmarkStart w:id="17" w:name="_Toc31378"/>
      <w:r>
        <w:rPr>
          <w:b/>
          <w:bCs/>
          <w:szCs w:val="32"/>
        </w:rPr>
        <w:t>7.</w:t>
      </w:r>
      <w:r>
        <w:rPr>
          <w:rFonts w:hint="eastAsia"/>
          <w:b/>
          <w:bCs/>
          <w:szCs w:val="32"/>
        </w:rPr>
        <w:t xml:space="preserve"> </w:t>
      </w:r>
      <w:r>
        <w:rPr>
          <w:b/>
          <w:bCs/>
          <w:szCs w:val="32"/>
        </w:rPr>
        <w:t>商贸营商环境不断改善</w:t>
      </w:r>
      <w:bookmarkEnd w:id="16"/>
      <w:bookmarkEnd w:id="17"/>
    </w:p>
    <w:p>
      <w:pPr>
        <w:spacing w:line="590" w:lineRule="exact"/>
        <w:ind w:firstLine="640" w:firstLineChars="200"/>
        <w:rPr>
          <w:szCs w:val="32"/>
        </w:rPr>
      </w:pPr>
      <w:r>
        <w:rPr>
          <w:szCs w:val="32"/>
        </w:rPr>
        <w:t>“</w:t>
      </w:r>
      <w:r>
        <w:rPr>
          <w:rFonts w:hAnsi="仿宋_GB2312"/>
          <w:szCs w:val="32"/>
        </w:rPr>
        <w:t>十三五</w:t>
      </w:r>
      <w:r>
        <w:rPr>
          <w:szCs w:val="32"/>
        </w:rPr>
        <w:t>”</w:t>
      </w:r>
      <w:r>
        <w:rPr>
          <w:rFonts w:hAnsi="仿宋_GB2312"/>
          <w:szCs w:val="32"/>
        </w:rPr>
        <w:t>期间，我省大力推进</w:t>
      </w:r>
      <w:r>
        <w:rPr>
          <w:szCs w:val="32"/>
        </w:rPr>
        <w:t>“</w:t>
      </w:r>
      <w:r>
        <w:rPr>
          <w:rFonts w:hAnsi="仿宋_GB2312"/>
          <w:szCs w:val="32"/>
        </w:rPr>
        <w:t>最多跑一次</w:t>
      </w:r>
      <w:r>
        <w:rPr>
          <w:szCs w:val="32"/>
        </w:rPr>
        <w:t>”</w:t>
      </w:r>
      <w:r>
        <w:rPr>
          <w:rFonts w:hAnsi="仿宋_GB2312"/>
          <w:szCs w:val="32"/>
        </w:rPr>
        <w:t>等改革，商贸流通治理现代化水平持续提升。先后出台《浙江省推动批发零售业改造提升行动方案（</w:t>
      </w:r>
      <w:r>
        <w:rPr>
          <w:szCs w:val="32"/>
        </w:rPr>
        <w:t>2018—2022</w:t>
      </w:r>
      <w:r>
        <w:rPr>
          <w:rFonts w:hAnsi="仿宋_GB2312"/>
          <w:szCs w:val="32"/>
        </w:rPr>
        <w:t>年）》《关于完善消费促进体制机制</w:t>
      </w:r>
      <w:r>
        <w:rPr>
          <w:szCs w:val="32"/>
        </w:rPr>
        <w:t xml:space="preserve"> </w:t>
      </w:r>
      <w:r>
        <w:rPr>
          <w:rFonts w:hAnsi="仿宋_GB2312"/>
          <w:szCs w:val="32"/>
        </w:rPr>
        <w:t>进一步激发居民消费潜力的实施意见》等文件，推动商贸流通业健康高效发展；开展流通标准化建设，</w:t>
      </w:r>
      <w:r>
        <w:rPr>
          <w:szCs w:val="32"/>
        </w:rPr>
        <w:t>27</w:t>
      </w:r>
      <w:r>
        <w:rPr>
          <w:rFonts w:hAnsi="仿宋_GB2312"/>
          <w:szCs w:val="32"/>
        </w:rPr>
        <w:t>项标准列入省地方标准制订计划；建成商务信用公众服务平台，入库企业</w:t>
      </w:r>
      <w:r>
        <w:rPr>
          <w:szCs w:val="32"/>
        </w:rPr>
        <w:t>1000</w:t>
      </w:r>
      <w:r>
        <w:rPr>
          <w:rFonts w:hAnsi="仿宋_GB2312"/>
          <w:szCs w:val="32"/>
        </w:rPr>
        <w:t>多万家；取消石油和成品油批发仓储经营资格审批、下放成品油零售经营管理、拍卖业务许可、报废机动车回收管理等权限；积极推动与商协会脱钩；开展</w:t>
      </w:r>
      <w:r>
        <w:rPr>
          <w:szCs w:val="32"/>
        </w:rPr>
        <w:t>“</w:t>
      </w:r>
      <w:r>
        <w:rPr>
          <w:rFonts w:hAnsi="仿宋_GB2312"/>
          <w:szCs w:val="32"/>
        </w:rPr>
        <w:t>放心消费在浙江</w:t>
      </w:r>
      <w:r>
        <w:rPr>
          <w:szCs w:val="32"/>
        </w:rPr>
        <w:t>”</w:t>
      </w:r>
      <w:r>
        <w:rPr>
          <w:bCs/>
          <w:szCs w:val="32"/>
        </w:rPr>
        <w:t>“</w:t>
      </w:r>
      <w:r>
        <w:rPr>
          <w:rFonts w:hAnsi="仿宋_GB2312"/>
          <w:bCs/>
          <w:szCs w:val="32"/>
        </w:rPr>
        <w:t>满意消费长三角</w:t>
      </w:r>
      <w:r>
        <w:rPr>
          <w:bCs/>
          <w:szCs w:val="32"/>
        </w:rPr>
        <w:t>”</w:t>
      </w:r>
      <w:r>
        <w:rPr>
          <w:rFonts w:hAnsi="仿宋_GB2312"/>
          <w:szCs w:val="32"/>
        </w:rPr>
        <w:t>建设，强化与长三角两省一市的合作，</w:t>
      </w:r>
      <w:r>
        <w:rPr>
          <w:rFonts w:hAnsi="仿宋_GB2312"/>
          <w:bCs/>
          <w:szCs w:val="32"/>
        </w:rPr>
        <w:t>联合开展市场一体化建设。</w:t>
      </w:r>
    </w:p>
    <w:p>
      <w:pPr>
        <w:spacing w:line="590" w:lineRule="exact"/>
        <w:ind w:firstLine="640" w:firstLineChars="200"/>
        <w:rPr>
          <w:szCs w:val="32"/>
        </w:rPr>
      </w:pPr>
      <w:r>
        <w:rPr>
          <w:rFonts w:hAnsi="仿宋_GB2312"/>
          <w:szCs w:val="32"/>
        </w:rPr>
        <w:t>我省国内贸易发展在取得显著成效的同时，也存在一些问题：一是在构建国内大循环为主体的新发展格局下，各地依然存在对消费基础性作用重视不足的问题，促消费的体制机制仍然不够健全，促消费力度不足；二是全省统一大市场的建立仍然存在区域分割、行政分割等障碍，现代流通体系仍然存在堵点、盲点，流通成本过高、效率低下等问题依然突出；三是我省商贸流通企业普遍小而散，具备全国乃至全球影响力的品牌型、龙头型企业数量不多，对浙货拓展内外市场的支撑力偏弱；四是在消费提质升级的大背景下，消费新渠道新模式新场景建设仍有待加强，数字化、智慧化等新技术应用有待深化，数字消费生态有待进一步形成。</w:t>
      </w:r>
    </w:p>
    <w:p>
      <w:pPr>
        <w:spacing w:line="590" w:lineRule="exact"/>
        <w:ind w:firstLine="640" w:firstLineChars="200"/>
        <w:outlineLvl w:val="1"/>
        <w:rPr>
          <w:rFonts w:eastAsia="楷体_GB2312"/>
          <w:szCs w:val="32"/>
        </w:rPr>
      </w:pPr>
      <w:bookmarkStart w:id="18" w:name="_Toc10402"/>
      <w:bookmarkStart w:id="19" w:name="_Toc9147"/>
      <w:r>
        <w:rPr>
          <w:rFonts w:eastAsia="楷体_GB2312"/>
          <w:szCs w:val="32"/>
        </w:rPr>
        <w:t>（二）“十四五”时期面临的形势</w:t>
      </w:r>
      <w:bookmarkEnd w:id="18"/>
      <w:bookmarkEnd w:id="19"/>
    </w:p>
    <w:p>
      <w:pPr>
        <w:spacing w:line="590" w:lineRule="exact"/>
        <w:ind w:firstLine="640" w:firstLineChars="200"/>
        <w:rPr>
          <w:szCs w:val="32"/>
        </w:rPr>
      </w:pPr>
      <w:r>
        <w:rPr>
          <w:rFonts w:hAnsi="仿宋_GB2312"/>
          <w:szCs w:val="32"/>
        </w:rPr>
        <w:t>从国际看，当今世界正经历百年未有之大变局，新冠肺炎疫情全球大流行使这个变局加速变化，国际经济、科技、文化、安全、政治等格局都在发生深刻调整，但总体看，危与机并存，机遇大于挑战。一方面，世界经济增长受地缘政治、贸易摩擦、新冠肺炎疫情等影响持续放缓，经济全球化遭遇逆流，单边主义、保护主义抬头，势必影响我国经济增长步伐；但另一方面，新一轮科技革命推动国际产业分工重塑，全球产业链、供应链、价值链加速区域化、本土化整合，全球供应链体系正在进入</w:t>
      </w:r>
      <w:r>
        <w:rPr>
          <w:szCs w:val="32"/>
        </w:rPr>
        <w:t>“</w:t>
      </w:r>
      <w:r>
        <w:rPr>
          <w:rFonts w:hAnsi="仿宋_GB2312"/>
          <w:szCs w:val="32"/>
        </w:rPr>
        <w:t>以我为主</w:t>
      </w:r>
      <w:r>
        <w:rPr>
          <w:szCs w:val="32"/>
        </w:rPr>
        <w:t>”</w:t>
      </w:r>
      <w:r>
        <w:rPr>
          <w:rFonts w:hAnsi="仿宋_GB2312"/>
          <w:szCs w:val="32"/>
        </w:rPr>
        <w:t>新发展格局，同时，加入</w:t>
      </w:r>
      <w:r>
        <w:rPr>
          <w:szCs w:val="32"/>
        </w:rPr>
        <w:t>RCEP</w:t>
      </w:r>
      <w:r>
        <w:rPr>
          <w:rFonts w:hAnsi="仿宋_GB2312"/>
          <w:szCs w:val="32"/>
        </w:rPr>
        <w:t>等也给我国企业重构供应链、成为供应链核心提供了机遇，为我国与相关国家共同建设</w:t>
      </w:r>
      <w:r>
        <w:rPr>
          <w:szCs w:val="32"/>
        </w:rPr>
        <w:t>“</w:t>
      </w:r>
      <w:r>
        <w:rPr>
          <w:rFonts w:hAnsi="仿宋_GB2312"/>
          <w:szCs w:val="32"/>
        </w:rPr>
        <w:t>一带一路</w:t>
      </w:r>
      <w:r>
        <w:rPr>
          <w:szCs w:val="32"/>
        </w:rPr>
        <w:t>”</w:t>
      </w:r>
      <w:r>
        <w:rPr>
          <w:rFonts w:hAnsi="仿宋_GB2312"/>
          <w:szCs w:val="32"/>
        </w:rPr>
        <w:t>以及中资企业对外投资创造了广阔的发展前景，有利于我国企业加快迈向价值链高端。</w:t>
      </w:r>
    </w:p>
    <w:p>
      <w:pPr>
        <w:spacing w:line="590" w:lineRule="exact"/>
        <w:ind w:firstLine="640" w:firstLineChars="200"/>
        <w:rPr>
          <w:szCs w:val="32"/>
        </w:rPr>
      </w:pPr>
      <w:r>
        <w:rPr>
          <w:rFonts w:hAnsi="仿宋_GB2312"/>
          <w:szCs w:val="32"/>
        </w:rPr>
        <w:t>从国内看，我国已进入高质量发展阶段，社会主要矛盾已经转化为人民日益增长的美好生活需要和不平衡不充分的发展之间的矛盾，随着人民对美好生活的要求不断提高，消费对经济发展的基础性作用进一步彰显，国内大循环将成为国民经济的强大支撑，但同时，经济发展也面临结构性、体制性、周期性问题相互交织所带来的困难和挑战，加上新冠肺炎疫情冲击，扩大内需面临较大压力。在此形势下，要通过深化供给侧结构性改革，进一步完善国内贸易体制机制，统筹推进现代流通体系硬件和软件建设，发展流通新技术新业态新模式，并进一步扩大开放，推动国内国际双循环相互促进、高效畅通，才能更好满足国内需求。</w:t>
      </w:r>
    </w:p>
    <w:p>
      <w:pPr>
        <w:spacing w:line="590" w:lineRule="exact"/>
        <w:ind w:firstLine="640" w:firstLineChars="200"/>
        <w:rPr>
          <w:szCs w:val="32"/>
        </w:rPr>
      </w:pPr>
      <w:r>
        <w:rPr>
          <w:rFonts w:hAnsi="仿宋_GB2312"/>
          <w:szCs w:val="32"/>
        </w:rPr>
        <w:t>从区域看，浙江是长三角一体化和长江经济带两个国家战略的重要交汇点，在推动长三角一体化、促进东西部合作中应有更重要地位、发挥更重大作用。</w:t>
      </w:r>
      <w:r>
        <w:rPr>
          <w:szCs w:val="32"/>
        </w:rPr>
        <w:t>2020</w:t>
      </w:r>
      <w:r>
        <w:rPr>
          <w:rFonts w:hAnsi="仿宋_GB2312"/>
          <w:szCs w:val="32"/>
        </w:rPr>
        <w:t>年</w:t>
      </w:r>
      <w:r>
        <w:rPr>
          <w:szCs w:val="32"/>
        </w:rPr>
        <w:t>8</w:t>
      </w:r>
      <w:r>
        <w:rPr>
          <w:rFonts w:hAnsi="仿宋_GB2312"/>
          <w:szCs w:val="32"/>
        </w:rPr>
        <w:t>月，习近平总书记对长三角提出了率先形成新发展格局、加快打造改革开放新高地的要求，长三角在世界经济格局中的能级将进一步提升，为我省奠定地位、发挥作用创造了条件和机遇。</w:t>
      </w:r>
      <w:r>
        <w:rPr>
          <w:szCs w:val="32"/>
        </w:rPr>
        <w:t>“</w:t>
      </w:r>
      <w:r>
        <w:rPr>
          <w:rFonts w:hAnsi="仿宋_GB2312"/>
          <w:szCs w:val="32"/>
        </w:rPr>
        <w:t>十四五</w:t>
      </w:r>
      <w:r>
        <w:rPr>
          <w:szCs w:val="32"/>
        </w:rPr>
        <w:t>”</w:t>
      </w:r>
      <w:r>
        <w:rPr>
          <w:rFonts w:hAnsi="仿宋_GB2312"/>
          <w:szCs w:val="32"/>
        </w:rPr>
        <w:t>期间，我省要发挥数字经济、大数据、制造业等优势，加快培育新技术新产业新业态新模式，推动经济社会更高质量发展；发挥市场、产业等优势，积极参与长江经济带战略实施，带动西部省份共同发展，更快更好打造国内大循环的战略支点和双循环的战略枢纽。</w:t>
      </w:r>
    </w:p>
    <w:p>
      <w:pPr>
        <w:spacing w:line="590" w:lineRule="exact"/>
        <w:ind w:firstLine="640" w:firstLineChars="200"/>
        <w:rPr>
          <w:szCs w:val="32"/>
        </w:rPr>
      </w:pPr>
      <w:r>
        <w:rPr>
          <w:rFonts w:hAnsi="仿宋_GB2312"/>
          <w:szCs w:val="32"/>
        </w:rPr>
        <w:t>从省内看，习近平总书记对浙江提出了</w:t>
      </w:r>
      <w:r>
        <w:rPr>
          <w:szCs w:val="32"/>
        </w:rPr>
        <w:t>“</w:t>
      </w:r>
      <w:r>
        <w:rPr>
          <w:rFonts w:hAnsi="仿宋_GB2312"/>
          <w:szCs w:val="32"/>
        </w:rPr>
        <w:t>努力成为新时代全面展示中国特色社会主义制度优越性的重要窗口</w:t>
      </w:r>
      <w:r>
        <w:rPr>
          <w:szCs w:val="32"/>
        </w:rPr>
        <w:t>”</w:t>
      </w:r>
      <w:r>
        <w:rPr>
          <w:rFonts w:hAnsi="仿宋_GB2312"/>
          <w:szCs w:val="32"/>
        </w:rPr>
        <w:t>的新目标新定位，同时，</w:t>
      </w:r>
      <w:r>
        <w:rPr>
          <w:szCs w:val="32"/>
        </w:rPr>
        <w:t>“</w:t>
      </w:r>
      <w:r>
        <w:rPr>
          <w:rFonts w:hAnsi="仿宋_GB2312"/>
          <w:szCs w:val="32"/>
        </w:rPr>
        <w:t>十四五</w:t>
      </w:r>
      <w:r>
        <w:rPr>
          <w:szCs w:val="32"/>
        </w:rPr>
        <w:t>”</w:t>
      </w:r>
      <w:r>
        <w:rPr>
          <w:rFonts w:hAnsi="仿宋_GB2312"/>
          <w:szCs w:val="32"/>
        </w:rPr>
        <w:t>期间，我省人均</w:t>
      </w:r>
      <w:r>
        <w:rPr>
          <w:szCs w:val="32"/>
        </w:rPr>
        <w:t>GDP</w:t>
      </w:r>
      <w:r>
        <w:rPr>
          <w:rFonts w:hAnsi="仿宋_GB2312"/>
          <w:szCs w:val="32"/>
        </w:rPr>
        <w:t>从</w:t>
      </w:r>
      <w:r>
        <w:rPr>
          <w:szCs w:val="32"/>
        </w:rPr>
        <w:t>15000</w:t>
      </w:r>
      <w:r>
        <w:rPr>
          <w:rFonts w:hAnsi="仿宋_GB2312"/>
          <w:szCs w:val="32"/>
        </w:rPr>
        <w:t>美元向</w:t>
      </w:r>
      <w:r>
        <w:rPr>
          <w:szCs w:val="32"/>
        </w:rPr>
        <w:t>20000</w:t>
      </w:r>
      <w:r>
        <w:rPr>
          <w:rFonts w:hAnsi="仿宋_GB2312"/>
          <w:szCs w:val="32"/>
        </w:rPr>
        <w:t>美元突破，居民消费呈现多样化、个性化、品质化等多重特征，我省国内贸易行业必须通过数字赋能、创新驱动，借助现代信息技术推动供需两侧共同发力，推动浙货提质、产业升级，进一步提升商贸流通行业的数字化、智慧化水平，满足居民日益增长的美好生活需要，提高我省经济发展质量，争当建设重要窗口的先锋标杆。</w:t>
      </w:r>
    </w:p>
    <w:p>
      <w:pPr>
        <w:spacing w:line="590" w:lineRule="exact"/>
        <w:ind w:firstLine="640" w:firstLineChars="200"/>
        <w:rPr>
          <w:szCs w:val="32"/>
        </w:rPr>
      </w:pPr>
      <w:r>
        <w:rPr>
          <w:rFonts w:hAnsi="仿宋_GB2312"/>
          <w:szCs w:val="32"/>
        </w:rPr>
        <w:t>综合判断，</w:t>
      </w:r>
      <w:r>
        <w:rPr>
          <w:szCs w:val="32"/>
        </w:rPr>
        <w:t>“</w:t>
      </w:r>
      <w:r>
        <w:rPr>
          <w:rFonts w:hAnsi="仿宋_GB2312"/>
          <w:szCs w:val="32"/>
        </w:rPr>
        <w:t>十四五</w:t>
      </w:r>
      <w:r>
        <w:rPr>
          <w:szCs w:val="32"/>
        </w:rPr>
        <w:t>”</w:t>
      </w:r>
      <w:r>
        <w:rPr>
          <w:rFonts w:hAnsi="仿宋_GB2312"/>
          <w:szCs w:val="32"/>
        </w:rPr>
        <w:t>时期，我省发展仍然处于重要战略机遇期，经济稳中向好、长期向好的基本面没有变，但面临的内外部环境将更加严峻，</w:t>
      </w:r>
      <w:r>
        <w:rPr>
          <w:szCs w:val="32"/>
        </w:rPr>
        <w:t>“</w:t>
      </w:r>
      <w:r>
        <w:rPr>
          <w:rFonts w:hAnsi="仿宋_GB2312"/>
          <w:szCs w:val="32"/>
        </w:rPr>
        <w:t>六稳</w:t>
      </w:r>
      <w:r>
        <w:rPr>
          <w:szCs w:val="32"/>
        </w:rPr>
        <w:t>”“</w:t>
      </w:r>
      <w:r>
        <w:rPr>
          <w:rFonts w:hAnsi="仿宋_GB2312"/>
          <w:szCs w:val="32"/>
        </w:rPr>
        <w:t>六保</w:t>
      </w:r>
      <w:r>
        <w:rPr>
          <w:szCs w:val="32"/>
        </w:rPr>
        <w:t>”</w:t>
      </w:r>
      <w:r>
        <w:rPr>
          <w:rFonts w:hAnsi="仿宋_GB2312"/>
          <w:szCs w:val="32"/>
        </w:rPr>
        <w:t>任务更加艰巨，构建国内大循环将成为解决社会主要矛盾的立足点和关键点，商贸流通将迎来重要发展窗口期，促消费、畅流通、拓市场正当其时，同时，多元化的消费升级需求给商贸流通业发展提出了更多要求，而新一代信息技术变革给消费供给端创新带来了巨大机遇，要利用现代信息技术加快推动我省商贸流通业的创新，培育新业态、发展新模式、构建新场景、促进新消费，充分发挥国内贸易对产业链上下游的辐射带动作用，使国内贸易成为双循环协调畅通的核心环节和主要动力，成为推动经济高质量发展的重要引擎。</w:t>
      </w:r>
    </w:p>
    <w:p>
      <w:pPr>
        <w:spacing w:line="590" w:lineRule="exact"/>
        <w:ind w:firstLine="640" w:firstLineChars="200"/>
        <w:outlineLvl w:val="0"/>
        <w:rPr>
          <w:rFonts w:eastAsia="黑体"/>
          <w:szCs w:val="32"/>
        </w:rPr>
      </w:pPr>
      <w:bookmarkStart w:id="20" w:name="_Toc6701"/>
      <w:bookmarkStart w:id="21" w:name="_Toc558"/>
      <w:r>
        <w:rPr>
          <w:rFonts w:eastAsia="黑体"/>
          <w:szCs w:val="32"/>
        </w:rPr>
        <w:t>二、总体思路</w:t>
      </w:r>
      <w:bookmarkEnd w:id="20"/>
      <w:bookmarkEnd w:id="21"/>
    </w:p>
    <w:p>
      <w:pPr>
        <w:spacing w:line="590" w:lineRule="exact"/>
        <w:ind w:firstLine="640" w:firstLineChars="200"/>
        <w:outlineLvl w:val="1"/>
        <w:rPr>
          <w:rFonts w:eastAsia="楷体_GB2312"/>
          <w:szCs w:val="32"/>
        </w:rPr>
      </w:pPr>
      <w:bookmarkStart w:id="22" w:name="_Toc27020"/>
      <w:bookmarkStart w:id="23" w:name="_Toc23622"/>
      <w:r>
        <w:rPr>
          <w:rFonts w:eastAsia="楷体_GB2312"/>
          <w:szCs w:val="32"/>
        </w:rPr>
        <w:t>（一）指导思想</w:t>
      </w:r>
      <w:bookmarkEnd w:id="22"/>
      <w:bookmarkEnd w:id="23"/>
    </w:p>
    <w:p>
      <w:pPr>
        <w:spacing w:line="590" w:lineRule="exact"/>
        <w:ind w:firstLine="640" w:firstLineChars="200"/>
        <w:rPr>
          <w:szCs w:val="32"/>
        </w:rPr>
      </w:pPr>
      <w:r>
        <w:rPr>
          <w:rFonts w:hAnsi="仿宋_GB2312"/>
          <w:szCs w:val="32"/>
        </w:rPr>
        <w:t>坚持以习近平新时代中国特色社会主义思想为指导，深入贯彻党的十九大和十九届二中、三中、四中、五中全会精神，落实党中央、国务院和省委省政府关于扩大消费和商贸流通业创新发展的总体部署，紧紧围绕构建双循环新发展格局，坚持贯彻新发展理念，坚持系统观念，坚持实施扩大内需战略同深化供给侧结构性改革有机结合，聚焦聚力商贸流通高质量、竞争力、现代化，着力开展商贸数字化改革，推动智慧化、协同化、品质化、全球化、绿色化发展，优化新布局、催生新动能、促进新消费、激发新活力、打造新优势、拓展新局面，着力打造具有全球影响力的高品质消费先行省、商业变革示范先行省、现代流通战略枢纽，助力浙江成为新时代全面展示中国特色社会主义制度优越性的重要窗口。</w:t>
      </w:r>
    </w:p>
    <w:p>
      <w:pPr>
        <w:spacing w:line="590" w:lineRule="exact"/>
        <w:ind w:firstLine="640" w:firstLineChars="200"/>
        <w:outlineLvl w:val="1"/>
        <w:rPr>
          <w:rFonts w:eastAsia="楷体_GB2312"/>
          <w:szCs w:val="32"/>
        </w:rPr>
      </w:pPr>
      <w:bookmarkStart w:id="24" w:name="_Toc9206"/>
      <w:bookmarkStart w:id="25" w:name="_Toc10492"/>
      <w:r>
        <w:rPr>
          <w:rFonts w:eastAsia="楷体_GB2312"/>
          <w:szCs w:val="32"/>
        </w:rPr>
        <w:t>（二）战略定位</w:t>
      </w:r>
      <w:bookmarkEnd w:id="24"/>
      <w:bookmarkEnd w:id="25"/>
    </w:p>
    <w:p>
      <w:pPr>
        <w:spacing w:line="590" w:lineRule="exact"/>
        <w:ind w:firstLine="643" w:firstLineChars="200"/>
        <w:outlineLvl w:val="2"/>
        <w:rPr>
          <w:b/>
          <w:bCs/>
          <w:szCs w:val="32"/>
        </w:rPr>
      </w:pPr>
      <w:bookmarkStart w:id="26" w:name="_Toc27754"/>
      <w:bookmarkStart w:id="27" w:name="_Toc20720"/>
      <w:r>
        <w:rPr>
          <w:b/>
          <w:bCs/>
          <w:szCs w:val="32"/>
        </w:rPr>
        <w:t>1.</w:t>
      </w:r>
      <w:bookmarkEnd w:id="26"/>
      <w:r>
        <w:rPr>
          <w:rFonts w:hint="eastAsia"/>
          <w:b/>
          <w:bCs/>
          <w:szCs w:val="32"/>
        </w:rPr>
        <w:t xml:space="preserve"> </w:t>
      </w:r>
      <w:r>
        <w:rPr>
          <w:b/>
          <w:bCs/>
          <w:szCs w:val="32"/>
        </w:rPr>
        <w:t>高品质消费领先省</w:t>
      </w:r>
      <w:bookmarkEnd w:id="27"/>
    </w:p>
    <w:p>
      <w:pPr>
        <w:spacing w:line="590" w:lineRule="exact"/>
        <w:ind w:firstLine="640" w:firstLineChars="200"/>
        <w:rPr>
          <w:szCs w:val="32"/>
        </w:rPr>
      </w:pPr>
      <w:r>
        <w:rPr>
          <w:rFonts w:hAnsi="仿宋_GB2312"/>
          <w:szCs w:val="32"/>
        </w:rPr>
        <w:t>顺应消费提质升级趋势，做好高品质步行街、智慧商圈等消费平台打造；有序发展夜间经济，提升乡村消费、社区商业消费；加强自主消费品牌建设，大力发展优质原创设计品牌，推动老字号焕发新活力；深入推进</w:t>
      </w:r>
      <w:r>
        <w:rPr>
          <w:szCs w:val="32"/>
        </w:rPr>
        <w:t>“</w:t>
      </w:r>
      <w:r>
        <w:rPr>
          <w:rFonts w:hAnsi="仿宋_GB2312"/>
          <w:szCs w:val="32"/>
        </w:rPr>
        <w:t>浙里来消费</w:t>
      </w:r>
      <w:r>
        <w:rPr>
          <w:szCs w:val="32"/>
        </w:rPr>
        <w:t>”</w:t>
      </w:r>
      <w:r>
        <w:rPr>
          <w:rFonts w:hAnsi="仿宋_GB2312"/>
          <w:szCs w:val="32"/>
        </w:rPr>
        <w:t>活动，增强消费影响力；支持商旅文体融合发展，增强消费集聚能力；引进国外消费品牌，扩大优质消费品进口，打造进口商品世界超市；建设免税店、免税购物街区，优化退税流程；进一步集聚长三角、中西部和全球消费资源，吸引外来消费，培育具有全球影响力的国际消费中心城市，打造国内大循环战略支点。</w:t>
      </w:r>
    </w:p>
    <w:p>
      <w:pPr>
        <w:spacing w:line="590" w:lineRule="exact"/>
        <w:ind w:firstLine="643" w:firstLineChars="200"/>
        <w:outlineLvl w:val="2"/>
        <w:rPr>
          <w:b/>
          <w:bCs/>
          <w:szCs w:val="32"/>
        </w:rPr>
      </w:pPr>
      <w:bookmarkStart w:id="28" w:name="_Toc4149"/>
      <w:bookmarkStart w:id="29" w:name="_Toc6523"/>
      <w:r>
        <w:rPr>
          <w:b/>
          <w:bCs/>
          <w:szCs w:val="32"/>
        </w:rPr>
        <w:t>2.</w:t>
      </w:r>
      <w:bookmarkEnd w:id="28"/>
      <w:r>
        <w:rPr>
          <w:rFonts w:hint="eastAsia"/>
          <w:b/>
          <w:bCs/>
          <w:szCs w:val="32"/>
        </w:rPr>
        <w:t xml:space="preserve"> </w:t>
      </w:r>
      <w:r>
        <w:rPr>
          <w:b/>
          <w:bCs/>
          <w:szCs w:val="32"/>
        </w:rPr>
        <w:t>商业变革示范先行省</w:t>
      </w:r>
      <w:bookmarkEnd w:id="29"/>
    </w:p>
    <w:p>
      <w:pPr>
        <w:spacing w:line="590" w:lineRule="exact"/>
        <w:ind w:firstLine="640" w:firstLineChars="200"/>
        <w:rPr>
          <w:szCs w:val="32"/>
        </w:rPr>
      </w:pPr>
      <w:r>
        <w:rPr>
          <w:szCs w:val="32"/>
        </w:rPr>
        <w:t>发挥数字经济优势，依托电商平台以及大数据人才与技术等资源，深入推进5G、AR、人工智能、大数据等在商贸领域的创新应用，推动商贸业态模式变革，输出数字生活新服务业态、模式和标准，打造数字商贸发展样板；搭建供应链协同平台，构建数字化智慧供应链，培育一批现代供应链企业；开展商贸企业数字化转型升级，培育省内品牌流通企业；借助数字技术构建浙货行销体系，提高供给效率和供给广度，进一步推动浙货行销天下；借助先进技术汇聚全国、全球商贸、消费数据，利用大数据分析消费走势更好指导生产研发，推动供需更有效匹配，鼓</w:t>
      </w:r>
      <w:r>
        <w:rPr>
          <w:rFonts w:hAnsi="仿宋"/>
          <w:szCs w:val="32"/>
        </w:rPr>
        <w:t>励</w:t>
      </w:r>
      <w:r>
        <w:rPr>
          <w:szCs w:val="32"/>
        </w:rPr>
        <w:t>“</w:t>
      </w:r>
      <w:r>
        <w:rPr>
          <w:rFonts w:hAnsi="仿宋"/>
          <w:szCs w:val="32"/>
        </w:rPr>
        <w:t>同线同标同质</w:t>
      </w:r>
      <w:r>
        <w:rPr>
          <w:szCs w:val="32"/>
        </w:rPr>
        <w:t>”，提升浙江产品的市场适应性，为全球消费者提供更具品质、更加符合消费需求的商品，打造具有全球影响力的商贸数据中心、商业模式创新中心、数字生活新服务强省。</w:t>
      </w:r>
    </w:p>
    <w:p>
      <w:pPr>
        <w:spacing w:line="590" w:lineRule="exact"/>
        <w:ind w:firstLine="643" w:firstLineChars="200"/>
        <w:outlineLvl w:val="2"/>
        <w:rPr>
          <w:b/>
          <w:bCs/>
          <w:szCs w:val="32"/>
        </w:rPr>
      </w:pPr>
      <w:bookmarkStart w:id="30" w:name="_Toc23120"/>
      <w:bookmarkStart w:id="31" w:name="_Toc25877"/>
      <w:r>
        <w:rPr>
          <w:b/>
          <w:bCs/>
          <w:szCs w:val="32"/>
        </w:rPr>
        <w:t>3.</w:t>
      </w:r>
      <w:r>
        <w:rPr>
          <w:rFonts w:hint="eastAsia"/>
          <w:b/>
          <w:bCs/>
          <w:szCs w:val="32"/>
        </w:rPr>
        <w:t xml:space="preserve"> </w:t>
      </w:r>
      <w:r>
        <w:rPr>
          <w:b/>
          <w:bCs/>
          <w:szCs w:val="32"/>
        </w:rPr>
        <w:t>现代流通战略枢纽</w:t>
      </w:r>
      <w:bookmarkEnd w:id="30"/>
      <w:bookmarkEnd w:id="31"/>
    </w:p>
    <w:p>
      <w:pPr>
        <w:spacing w:line="590" w:lineRule="exact"/>
        <w:ind w:firstLine="640" w:firstLineChars="200"/>
        <w:rPr>
          <w:szCs w:val="32"/>
        </w:rPr>
      </w:pPr>
      <w:r>
        <w:rPr>
          <w:szCs w:val="32"/>
        </w:rPr>
        <w:t>发挥市场大省优势，推动商品市场向供应链综合服务企业转型，支持各类商贸企业构建全球供应链，推动各类资源高效集散；发挥外贸大省优势，充分利用自贸区和小商品城等资源，创新发展跨境电商、市场采购等外贸新业态新模式，辐射带动毗邻区域和全国商品出口，扩大石油、农产品等大宗商品进口；打造全球数字贸易中心，以市场化方式推进世界电子贸易平台全球布局，鼓励电商企业全球布点构建世界级市场平台，从有形市场为主向线上线下市场为主转变，促进内需和外需、进口和出口协调发展；加强长三角区域合作，破除区域分割，率先构建一体化市场体系；以质量、品牌、标准、技术等为重点，推进内外贸一体化发展。着力打造现代流通战略枢纽，形成全球高端要素的引力场，促进国内国际双循环高效畅通。</w:t>
      </w:r>
    </w:p>
    <w:p>
      <w:pPr>
        <w:spacing w:line="590" w:lineRule="exact"/>
        <w:ind w:firstLine="640" w:firstLineChars="200"/>
        <w:outlineLvl w:val="1"/>
        <w:rPr>
          <w:rFonts w:eastAsia="楷体_GB2312"/>
          <w:szCs w:val="32"/>
        </w:rPr>
      </w:pPr>
      <w:bookmarkStart w:id="32" w:name="_Toc8006"/>
      <w:bookmarkStart w:id="33" w:name="_Toc5306"/>
      <w:r>
        <w:rPr>
          <w:rFonts w:eastAsia="楷体_GB2312"/>
          <w:szCs w:val="32"/>
        </w:rPr>
        <w:t>（三）基本原则</w:t>
      </w:r>
      <w:bookmarkEnd w:id="32"/>
      <w:bookmarkEnd w:id="33"/>
    </w:p>
    <w:p>
      <w:pPr>
        <w:spacing w:line="590" w:lineRule="exact"/>
        <w:ind w:firstLine="643" w:firstLineChars="200"/>
        <w:outlineLvl w:val="1"/>
        <w:rPr>
          <w:b/>
          <w:bCs/>
          <w:szCs w:val="32"/>
        </w:rPr>
      </w:pPr>
      <w:bookmarkStart w:id="34" w:name="_Toc12221"/>
      <w:bookmarkStart w:id="35" w:name="_Toc13224"/>
      <w:r>
        <w:rPr>
          <w:b/>
          <w:bCs/>
          <w:szCs w:val="32"/>
        </w:rPr>
        <w:t>1.</w:t>
      </w:r>
      <w:r>
        <w:rPr>
          <w:rFonts w:hint="eastAsia"/>
          <w:b/>
          <w:bCs/>
          <w:szCs w:val="32"/>
        </w:rPr>
        <w:t xml:space="preserve"> </w:t>
      </w:r>
      <w:r>
        <w:rPr>
          <w:b/>
          <w:bCs/>
          <w:szCs w:val="32"/>
        </w:rPr>
        <w:t>深化改革，激发活力</w:t>
      </w:r>
      <w:bookmarkEnd w:id="34"/>
      <w:bookmarkEnd w:id="35"/>
    </w:p>
    <w:p>
      <w:pPr>
        <w:spacing w:line="590" w:lineRule="exact"/>
        <w:ind w:firstLine="640" w:firstLineChars="200"/>
        <w:rPr>
          <w:szCs w:val="32"/>
        </w:rPr>
      </w:pPr>
      <w:bookmarkStart w:id="36" w:name="_Toc673"/>
      <w:bookmarkStart w:id="37" w:name="_Toc1812"/>
      <w:r>
        <w:rPr>
          <w:szCs w:val="32"/>
        </w:rPr>
        <w:t>强化对消费基础性作用的认识，积极有序取消行政性限制消费购买规定。全面深化商贸流通改革，破除国内贸易发展的制度障碍，放宽不利于市场繁荣的管制和区域分割等措施，形成规则健全、统一开放、稳定运行、规范有序、监管有力、畅通高效的商贸流通管理体系和完善的市场化、法治化营商环境，进一步增强市场活力，实现要素价格市场决定、流动自主有序、配置高效公平，推动经济发展质量变革。</w:t>
      </w:r>
      <w:bookmarkEnd w:id="36"/>
      <w:bookmarkEnd w:id="37"/>
    </w:p>
    <w:p>
      <w:pPr>
        <w:spacing w:line="590" w:lineRule="exact"/>
        <w:ind w:firstLine="643" w:firstLineChars="200"/>
        <w:outlineLvl w:val="1"/>
        <w:rPr>
          <w:b/>
          <w:bCs/>
          <w:szCs w:val="32"/>
        </w:rPr>
      </w:pPr>
      <w:bookmarkStart w:id="38" w:name="_Toc8143"/>
      <w:bookmarkStart w:id="39" w:name="_Toc22046"/>
      <w:r>
        <w:rPr>
          <w:b/>
          <w:bCs/>
          <w:szCs w:val="32"/>
        </w:rPr>
        <w:t>2.</w:t>
      </w:r>
      <w:r>
        <w:rPr>
          <w:rFonts w:hint="eastAsia"/>
          <w:b/>
          <w:bCs/>
          <w:szCs w:val="32"/>
        </w:rPr>
        <w:t xml:space="preserve"> </w:t>
      </w:r>
      <w:r>
        <w:rPr>
          <w:b/>
          <w:bCs/>
          <w:szCs w:val="32"/>
        </w:rPr>
        <w:t>数字赋能，创新驱动</w:t>
      </w:r>
      <w:bookmarkEnd w:id="38"/>
      <w:bookmarkEnd w:id="39"/>
    </w:p>
    <w:p>
      <w:pPr>
        <w:spacing w:line="590" w:lineRule="exact"/>
        <w:ind w:firstLine="640" w:firstLineChars="200"/>
        <w:rPr>
          <w:szCs w:val="32"/>
        </w:rPr>
      </w:pPr>
      <w:bookmarkStart w:id="40" w:name="_Toc3932"/>
      <w:bookmarkStart w:id="41" w:name="_Toc6274"/>
      <w:r>
        <w:rPr>
          <w:szCs w:val="32"/>
        </w:rPr>
        <w:t>以促进国内大循环为方向，坚定实施扩大内需战略，突出高质量发展理念，积极推进“互联网+流通”行动，推动我省数字经济与商贸流通深度融合发展，加快国内贸易网络化、数字化、智能化建设，推动互联网、物联网、人工智能等技术在商贸流通领域的广泛应用，不断提升商贸流通发展的产业化、数字化、智慧化水平，着力培育新模式新业态，通过技术创新和模式创新形成智慧商贸新优势。</w:t>
      </w:r>
      <w:bookmarkEnd w:id="40"/>
      <w:bookmarkEnd w:id="41"/>
    </w:p>
    <w:p>
      <w:pPr>
        <w:spacing w:line="590" w:lineRule="exact"/>
        <w:ind w:firstLine="643" w:firstLineChars="200"/>
        <w:outlineLvl w:val="1"/>
        <w:rPr>
          <w:b/>
          <w:bCs/>
          <w:szCs w:val="32"/>
        </w:rPr>
      </w:pPr>
      <w:bookmarkStart w:id="42" w:name="_Toc16366"/>
      <w:bookmarkStart w:id="43" w:name="_Toc18661"/>
      <w:r>
        <w:rPr>
          <w:b/>
          <w:bCs/>
          <w:szCs w:val="32"/>
        </w:rPr>
        <w:t>3.</w:t>
      </w:r>
      <w:r>
        <w:rPr>
          <w:rFonts w:hint="eastAsia"/>
          <w:b/>
          <w:bCs/>
          <w:szCs w:val="32"/>
        </w:rPr>
        <w:t xml:space="preserve"> </w:t>
      </w:r>
      <w:r>
        <w:rPr>
          <w:b/>
          <w:bCs/>
          <w:szCs w:val="32"/>
        </w:rPr>
        <w:t>开放协同，循环畅通</w:t>
      </w:r>
      <w:bookmarkEnd w:id="42"/>
      <w:bookmarkEnd w:id="43"/>
    </w:p>
    <w:p>
      <w:pPr>
        <w:spacing w:line="590" w:lineRule="exact"/>
        <w:ind w:firstLine="640" w:firstLineChars="200"/>
        <w:rPr>
          <w:szCs w:val="32"/>
        </w:rPr>
      </w:pPr>
      <w:bookmarkStart w:id="44" w:name="_Toc19540"/>
      <w:bookmarkStart w:id="45" w:name="_Toc29447"/>
      <w:r>
        <w:rPr>
          <w:szCs w:val="32"/>
        </w:rPr>
        <w:t>抓好重要窗口建设机遇，坚持更高层次的对外开放、区域合作，全面统筹国内国际两个大局，引领内外贸一体化创新发展，以我为主、内外兼修，结合自贸试验区及联动创新区制度创新优势，充分发挥浙江消费大省、外贸大省、电商强省等基础优势，积极延伸产业链、供应链，带动国内、国际协同发展，为构建以国内大循环为主体、国内国际双循环相互促进的新发展格局贡献浙江力量。</w:t>
      </w:r>
      <w:bookmarkEnd w:id="44"/>
      <w:bookmarkEnd w:id="45"/>
    </w:p>
    <w:p>
      <w:pPr>
        <w:spacing w:line="590" w:lineRule="exact"/>
        <w:ind w:firstLine="643" w:firstLineChars="200"/>
        <w:outlineLvl w:val="1"/>
        <w:rPr>
          <w:b/>
          <w:bCs/>
          <w:szCs w:val="32"/>
        </w:rPr>
      </w:pPr>
      <w:bookmarkStart w:id="46" w:name="_Toc2220"/>
      <w:bookmarkStart w:id="47" w:name="_Toc15934"/>
      <w:r>
        <w:rPr>
          <w:b/>
          <w:bCs/>
          <w:szCs w:val="32"/>
        </w:rPr>
        <w:t>4.</w:t>
      </w:r>
      <w:r>
        <w:rPr>
          <w:rFonts w:hint="eastAsia"/>
          <w:b/>
          <w:bCs/>
          <w:szCs w:val="32"/>
        </w:rPr>
        <w:t xml:space="preserve"> </w:t>
      </w:r>
      <w:r>
        <w:rPr>
          <w:b/>
          <w:bCs/>
          <w:szCs w:val="32"/>
        </w:rPr>
        <w:t>民生普惠，和谐共享</w:t>
      </w:r>
      <w:bookmarkEnd w:id="46"/>
      <w:bookmarkEnd w:id="47"/>
    </w:p>
    <w:p>
      <w:pPr>
        <w:spacing w:line="590" w:lineRule="exact"/>
        <w:ind w:firstLine="640" w:firstLineChars="200"/>
        <w:rPr>
          <w:szCs w:val="32"/>
        </w:rPr>
      </w:pPr>
      <w:bookmarkStart w:id="48" w:name="_Toc16363"/>
      <w:bookmarkStart w:id="49" w:name="_Toc22087"/>
      <w:r>
        <w:rPr>
          <w:szCs w:val="32"/>
        </w:rPr>
        <w:t>坚持把增进人民福祉、共享发展成果作为发展的出发点和落脚点，优化商贸设施布局，推进国内贸易与产业、城市、新型城镇化、乡村等协同发展，形成若干区域性、全国性商贸强市，打造一批便民未来社区商业中心、商贸特色镇村，构建功能完善、结构合理、特色鲜明、高效便捷的现代商贸流通网络、农产品流通网络，促进城乡商贸均衡发展，更好满足人民群众日益增长的美好生活需要。</w:t>
      </w:r>
      <w:bookmarkEnd w:id="48"/>
      <w:bookmarkEnd w:id="49"/>
    </w:p>
    <w:p>
      <w:pPr>
        <w:spacing w:line="590" w:lineRule="exact"/>
        <w:ind w:firstLine="643" w:firstLineChars="200"/>
        <w:outlineLvl w:val="1"/>
        <w:rPr>
          <w:b/>
          <w:bCs/>
          <w:szCs w:val="32"/>
        </w:rPr>
      </w:pPr>
      <w:bookmarkStart w:id="50" w:name="_Toc27532"/>
      <w:bookmarkStart w:id="51" w:name="_Toc19758"/>
      <w:r>
        <w:rPr>
          <w:b/>
          <w:bCs/>
          <w:szCs w:val="32"/>
        </w:rPr>
        <w:t>5.</w:t>
      </w:r>
      <w:r>
        <w:rPr>
          <w:rFonts w:hint="eastAsia"/>
          <w:b/>
          <w:bCs/>
          <w:szCs w:val="32"/>
        </w:rPr>
        <w:t xml:space="preserve"> </w:t>
      </w:r>
      <w:r>
        <w:rPr>
          <w:b/>
          <w:bCs/>
          <w:szCs w:val="32"/>
        </w:rPr>
        <w:t>绿色低碳，生态环保</w:t>
      </w:r>
      <w:bookmarkEnd w:id="50"/>
      <w:bookmarkEnd w:id="51"/>
    </w:p>
    <w:p>
      <w:pPr>
        <w:spacing w:line="590" w:lineRule="exact"/>
        <w:ind w:firstLine="640" w:firstLineChars="200"/>
        <w:rPr>
          <w:szCs w:val="32"/>
        </w:rPr>
      </w:pPr>
      <w:bookmarkStart w:id="52" w:name="_Toc24973"/>
      <w:bookmarkStart w:id="53" w:name="_Toc29772"/>
      <w:r>
        <w:rPr>
          <w:szCs w:val="32"/>
        </w:rPr>
        <w:t>正确处理发展内贸、拉动消费与保护环境之间的关系，倡导可持续的生产方式和消费方式，推行绿色包装和绿色物流，推行绿色供应链管理，以生态促发展，推动产业绿色化和绿色产业化。加快推进再生资源回收与垃圾清运处理网络体系融合，促进商贸流通网络与逆向物流体系，通过促进绿色消费，提升产业绿色化水平，实现经济建设与生态建设同步推进。</w:t>
      </w:r>
      <w:bookmarkEnd w:id="52"/>
      <w:bookmarkEnd w:id="53"/>
    </w:p>
    <w:p>
      <w:pPr>
        <w:spacing w:line="590" w:lineRule="exact"/>
        <w:ind w:firstLine="640" w:firstLineChars="200"/>
        <w:outlineLvl w:val="1"/>
        <w:rPr>
          <w:rFonts w:eastAsia="楷体_GB2312"/>
          <w:szCs w:val="32"/>
        </w:rPr>
      </w:pPr>
      <w:bookmarkStart w:id="54" w:name="_Toc7761"/>
      <w:bookmarkStart w:id="55" w:name="_Toc5462"/>
      <w:r>
        <w:rPr>
          <w:rFonts w:eastAsia="楷体_GB2312"/>
          <w:szCs w:val="32"/>
        </w:rPr>
        <w:t>（四）发展目标</w:t>
      </w:r>
      <w:bookmarkEnd w:id="54"/>
      <w:bookmarkEnd w:id="55"/>
    </w:p>
    <w:p>
      <w:pPr>
        <w:spacing w:line="590" w:lineRule="exact"/>
        <w:ind w:firstLine="640" w:firstLineChars="200"/>
        <w:rPr>
          <w:szCs w:val="32"/>
        </w:rPr>
      </w:pPr>
      <w:r>
        <w:rPr>
          <w:szCs w:val="32"/>
        </w:rPr>
        <w:t>“十四五”时期，要充分发挥市场在资源配置中的决定性作用，更好发挥政府引导作用，大力构建基础设施完善、数字智能融合、产业生态丰富、市场秩序安全、城乡发展协调、区域协同共进、内外循环畅通的现代流通体系，进一步强化浙江在构建双循环格局中的战略枢纽地位，为形成更加强大的国内市场、提升国家竞争力提供强劲支撑。</w:t>
      </w:r>
    </w:p>
    <w:p>
      <w:pPr>
        <w:spacing w:line="590" w:lineRule="exact"/>
        <w:ind w:firstLine="643" w:firstLineChars="200"/>
        <w:rPr>
          <w:szCs w:val="32"/>
        </w:rPr>
      </w:pPr>
      <w:r>
        <w:rPr>
          <w:b/>
          <w:bCs/>
          <w:szCs w:val="32"/>
        </w:rPr>
        <w:t>1.</w:t>
      </w:r>
      <w:r>
        <w:rPr>
          <w:rFonts w:hint="eastAsia"/>
          <w:b/>
          <w:bCs/>
          <w:szCs w:val="32"/>
        </w:rPr>
        <w:t xml:space="preserve"> </w:t>
      </w:r>
      <w:r>
        <w:rPr>
          <w:b/>
          <w:bCs/>
          <w:szCs w:val="32"/>
        </w:rPr>
        <w:t>高品质消费领先省基本建成</w:t>
      </w:r>
      <w:r>
        <w:rPr>
          <w:szCs w:val="32"/>
        </w:rPr>
        <w:t>。到2025年，全省社会消费品零售总额达到3.5万亿元，网络零售额达3.2万亿元，总量继续居发达省市前列；最终消费率达到53%左右，消费对经济增长的贡献率保持在50%以上。对全球消费资源的集聚能力显著提升，对全球消费者的吸引力显著增强，杭州、宁波成为具有较强影响力的国际消费中心城市。</w:t>
      </w:r>
    </w:p>
    <w:p>
      <w:pPr>
        <w:spacing w:line="590" w:lineRule="exact"/>
        <w:ind w:firstLine="643" w:firstLineChars="200"/>
        <w:rPr>
          <w:szCs w:val="32"/>
        </w:rPr>
      </w:pPr>
      <w:r>
        <w:rPr>
          <w:b/>
          <w:bCs/>
          <w:szCs w:val="32"/>
        </w:rPr>
        <w:t>2.</w:t>
      </w:r>
      <w:r>
        <w:rPr>
          <w:rFonts w:hint="eastAsia"/>
          <w:b/>
          <w:bCs/>
          <w:szCs w:val="32"/>
        </w:rPr>
        <w:t xml:space="preserve"> </w:t>
      </w:r>
      <w:r>
        <w:rPr>
          <w:b/>
          <w:bCs/>
          <w:szCs w:val="32"/>
        </w:rPr>
        <w:t>新业态新模式发展全国领先</w:t>
      </w:r>
      <w:r>
        <w:rPr>
          <w:szCs w:val="32"/>
        </w:rPr>
        <w:t>。到2025年，“互联网+流通”取得更大成效，物联网、云计算、5G网络等先进技术应用场景不断扩展，流通体系全面提升，数字化生活服务全面普及，商贸流通信息化、标准化、集约化、智慧化水平大幅提升，新模式、新业态、新场景不断创新，数字生活新服务消费占全部消费的比重显著提升，我省成为全国智慧商贸发展标杆、数字生活新服务强省。</w:t>
      </w:r>
    </w:p>
    <w:p>
      <w:pPr>
        <w:spacing w:line="590" w:lineRule="exact"/>
        <w:ind w:firstLine="643" w:firstLineChars="200"/>
        <w:rPr>
          <w:szCs w:val="32"/>
        </w:rPr>
      </w:pPr>
      <w:r>
        <w:rPr>
          <w:b/>
          <w:bCs/>
          <w:szCs w:val="32"/>
        </w:rPr>
        <w:t>3.</w:t>
      </w:r>
      <w:r>
        <w:rPr>
          <w:rFonts w:hint="eastAsia"/>
          <w:b/>
          <w:bCs/>
          <w:szCs w:val="32"/>
        </w:rPr>
        <w:t xml:space="preserve"> </w:t>
      </w:r>
      <w:r>
        <w:rPr>
          <w:b/>
          <w:bCs/>
          <w:szCs w:val="32"/>
        </w:rPr>
        <w:t>现代流通战略枢纽地位提升</w:t>
      </w:r>
      <w:r>
        <w:rPr>
          <w:szCs w:val="32"/>
        </w:rPr>
        <w:t>。到2025年，基本建成现代流通体系，浙江成为全球性的消费数据集聚中心、商贸资源配置中心、全球高端要素引力场，在构建国内大循环、畅通国内国际双循环中发挥战略枢纽作用，对全国各省市的影响和带动作用进一步增强；杭州、宁波—舟山、义乌等成为全球性的新型贸易中心、资源集散中心。</w:t>
      </w:r>
    </w:p>
    <w:p>
      <w:pPr>
        <w:spacing w:line="590" w:lineRule="exact"/>
        <w:ind w:firstLine="643" w:firstLineChars="200"/>
        <w:rPr>
          <w:szCs w:val="32"/>
        </w:rPr>
      </w:pPr>
      <w:r>
        <w:rPr>
          <w:b/>
          <w:bCs/>
          <w:szCs w:val="32"/>
        </w:rPr>
        <w:t>4.</w:t>
      </w:r>
      <w:r>
        <w:rPr>
          <w:rFonts w:hint="eastAsia"/>
          <w:b/>
          <w:bCs/>
          <w:szCs w:val="32"/>
        </w:rPr>
        <w:t xml:space="preserve"> </w:t>
      </w:r>
      <w:r>
        <w:rPr>
          <w:b/>
          <w:bCs/>
          <w:szCs w:val="32"/>
        </w:rPr>
        <w:t>市场主体活力显著增强</w:t>
      </w:r>
      <w:r>
        <w:rPr>
          <w:szCs w:val="32"/>
        </w:rPr>
        <w:t>。到2025年，依法管理、权责明确、监管有力、协调开放的流通管理机制基本形成，法治化营商环境不断优化；培育一批具有国际影响力的电商平台、供应链综合服务企业、新型商贸流通企业，创新发展一批中小特色商贸企业，建成一批示范性智慧商圈、高品质步行街区。</w:t>
      </w:r>
    </w:p>
    <w:p>
      <w:pPr>
        <w:spacing w:line="590" w:lineRule="exact"/>
        <w:ind w:firstLine="643" w:firstLineChars="200"/>
        <w:rPr>
          <w:rFonts w:eastAsia="黑体"/>
          <w:szCs w:val="32"/>
        </w:rPr>
      </w:pPr>
      <w:r>
        <w:rPr>
          <w:b/>
          <w:bCs/>
          <w:szCs w:val="32"/>
        </w:rPr>
        <w:t>5.</w:t>
      </w:r>
      <w:r>
        <w:rPr>
          <w:rFonts w:hint="eastAsia"/>
          <w:b/>
          <w:bCs/>
          <w:szCs w:val="32"/>
        </w:rPr>
        <w:t xml:space="preserve"> </w:t>
      </w:r>
      <w:r>
        <w:rPr>
          <w:b/>
          <w:bCs/>
          <w:szCs w:val="32"/>
        </w:rPr>
        <w:t>市场治理水平明显提高</w:t>
      </w:r>
      <w:r>
        <w:rPr>
          <w:szCs w:val="32"/>
        </w:rPr>
        <w:t>。到2025年，全省协调统一的市场应急保供体系运行良好，市场调控、应急保供工作的预见性、精准性和有效性不断增强，市场供应稳定有序。消费者权益保护走在全国前列，放心消费环境持续改善。</w:t>
      </w:r>
      <w:bookmarkStart w:id="56" w:name="_Toc14760"/>
    </w:p>
    <w:p>
      <w:pPr>
        <w:spacing w:line="590" w:lineRule="exact"/>
        <w:ind w:firstLine="640" w:firstLineChars="200"/>
        <w:outlineLvl w:val="0"/>
        <w:rPr>
          <w:rFonts w:eastAsia="黑体"/>
          <w:szCs w:val="32"/>
        </w:rPr>
      </w:pPr>
      <w:bookmarkStart w:id="57" w:name="_Toc22600"/>
      <w:r>
        <w:rPr>
          <w:rFonts w:eastAsia="黑体"/>
          <w:szCs w:val="32"/>
        </w:rPr>
        <w:t>三、主要任务</w:t>
      </w:r>
      <w:bookmarkEnd w:id="56"/>
      <w:bookmarkEnd w:id="57"/>
    </w:p>
    <w:p>
      <w:pPr>
        <w:spacing w:line="590" w:lineRule="exact"/>
        <w:ind w:firstLine="640" w:firstLineChars="200"/>
        <w:outlineLvl w:val="1"/>
        <w:rPr>
          <w:rFonts w:eastAsia="楷体_GB2312"/>
          <w:szCs w:val="32"/>
        </w:rPr>
      </w:pPr>
      <w:bookmarkStart w:id="58" w:name="_Toc26592"/>
      <w:bookmarkStart w:id="59" w:name="_Toc10468"/>
      <w:r>
        <w:rPr>
          <w:rFonts w:eastAsia="楷体_GB2312"/>
          <w:szCs w:val="32"/>
        </w:rPr>
        <w:t>（一）增强内贸发展活力，优化协调共进新布局</w:t>
      </w:r>
      <w:bookmarkEnd w:id="58"/>
      <w:bookmarkEnd w:id="59"/>
      <w:r>
        <w:rPr>
          <w:rFonts w:eastAsia="楷体_GB2312"/>
          <w:szCs w:val="32"/>
        </w:rPr>
        <w:t xml:space="preserve"> </w:t>
      </w:r>
    </w:p>
    <w:p>
      <w:pPr>
        <w:spacing w:line="590" w:lineRule="exact"/>
        <w:ind w:firstLine="643" w:firstLineChars="200"/>
        <w:outlineLvl w:val="2"/>
        <w:rPr>
          <w:b/>
          <w:bCs/>
          <w:szCs w:val="32"/>
        </w:rPr>
      </w:pPr>
      <w:bookmarkStart w:id="60" w:name="_Toc28603"/>
      <w:bookmarkStart w:id="61" w:name="_Toc12056"/>
      <w:r>
        <w:rPr>
          <w:b/>
          <w:bCs/>
          <w:szCs w:val="32"/>
        </w:rPr>
        <w:t>1.</w:t>
      </w:r>
      <w:r>
        <w:rPr>
          <w:rFonts w:hint="eastAsia"/>
          <w:b/>
          <w:bCs/>
          <w:szCs w:val="32"/>
        </w:rPr>
        <w:t xml:space="preserve"> </w:t>
      </w:r>
      <w:r>
        <w:rPr>
          <w:b/>
          <w:bCs/>
          <w:szCs w:val="32"/>
        </w:rPr>
        <w:t>提升中心城市集聚辐射功能</w:t>
      </w:r>
      <w:bookmarkEnd w:id="60"/>
      <w:bookmarkEnd w:id="61"/>
    </w:p>
    <w:p>
      <w:pPr>
        <w:spacing w:line="590" w:lineRule="exact"/>
        <w:ind w:firstLine="640" w:firstLineChars="200"/>
        <w:rPr>
          <w:szCs w:val="32"/>
        </w:rPr>
      </w:pPr>
      <w:r>
        <w:rPr>
          <w:szCs w:val="32"/>
        </w:rPr>
        <w:t>中心城市要依托交通区位、特色产业、自然资源、人才技术等优势，发挥龙头带动作用，着力打造若干辐射带动能力强、资源整合有优势的消费中心、资源集散中心。支持杭州大力发展数字新消费，打响“新消费</w:t>
      </w:r>
      <w:r>
        <w:rPr>
          <w:rFonts w:hint="eastAsia"/>
          <w:szCs w:val="32"/>
        </w:rPr>
        <w:t>·</w:t>
      </w:r>
      <w:r>
        <w:rPr>
          <w:szCs w:val="32"/>
        </w:rPr>
        <w:t>醉杭州”品牌，打造全球智慧消费体验中心、国际消费中心城市和新型消费城市；支持宁波发挥国际化港口优势，积极创建国际消费中心城市、现代港航枢纽城市；支持温州建设东南沿海区域商贸中心城市、温馨消费之城；支持嘉兴加快推进国际化品质江南水乡文化名城、区域性商贸中心建设，增强对上海、江苏等的商贸、物流支撑；支持金华以义乌小商品集散为主要依托，打造新型贸易中心；支持湖州、衢州依托毗邻省界区位优势，加强区域联动，打造省际商贸中心城市，增强对周边省市的辐射；支持舟山打造商旅文融合消费示范之城、新型贸易中心、大宗商品集散中心；支持绍兴、台州、丽水等打造区域性商贸中心。</w:t>
      </w:r>
    </w:p>
    <w:tbl>
      <w:tblPr>
        <w:tblStyle w:val="11"/>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57"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pacing w:before="120" w:beforeLines="50" w:after="240" w:afterLines="100" w:line="360" w:lineRule="exact"/>
              <w:jc w:val="center"/>
              <w:rPr>
                <w:rFonts w:eastAsia="黑体"/>
                <w:bCs/>
                <w:sz w:val="28"/>
                <w:szCs w:val="28"/>
              </w:rPr>
            </w:pPr>
            <w:r>
              <w:rPr>
                <w:rFonts w:hAnsi="黑体" w:eastAsia="黑体"/>
                <w:bCs/>
                <w:sz w:val="28"/>
                <w:szCs w:val="28"/>
              </w:rPr>
              <w:t>专栏</w:t>
            </w:r>
            <w:r>
              <w:rPr>
                <w:rFonts w:eastAsia="黑体"/>
                <w:bCs/>
                <w:sz w:val="28"/>
                <w:szCs w:val="28"/>
              </w:rPr>
              <w:t xml:space="preserve">1  </w:t>
            </w:r>
            <w:r>
              <w:rPr>
                <w:rFonts w:hAnsi="黑体" w:eastAsia="黑体"/>
                <w:bCs/>
                <w:sz w:val="28"/>
                <w:szCs w:val="28"/>
              </w:rPr>
              <w:t>中心城市发展定位</w:t>
            </w:r>
          </w:p>
          <w:p>
            <w:pPr>
              <w:spacing w:line="360" w:lineRule="exact"/>
              <w:ind w:firstLine="480" w:firstLineChars="200"/>
              <w:rPr>
                <w:sz w:val="24"/>
              </w:rPr>
            </w:pPr>
            <w:r>
              <w:rPr>
                <w:rFonts w:hint="eastAsia" w:ascii="楷体_GB2312" w:eastAsia="楷体_GB2312"/>
                <w:sz w:val="24"/>
              </w:rPr>
              <w:t>杭州：</w:t>
            </w:r>
            <w:r>
              <w:rPr>
                <w:sz w:val="24"/>
              </w:rPr>
              <w:t>依托数字经济先发优势，大力发展新型消费，实施消费集聚区创建、消费供给提质、消费模式创新、消费融合联动、消费环境优化、消费名片推广、消费市场开放、消费支撑强化等行动，打响“新消费</w:t>
            </w:r>
            <w:r>
              <w:rPr>
                <w:rFonts w:hint="eastAsia"/>
                <w:sz w:val="24"/>
              </w:rPr>
              <w:t>·</w:t>
            </w:r>
            <w:r>
              <w:rPr>
                <w:sz w:val="24"/>
              </w:rPr>
              <w:t>醉杭州”品牌，畅通国内国际双循环，把杭州打造成“最智慧、最时尚、最人文、最便利”的全球智慧消费体验中心、时尚消费资源集聚地、知名休闲目的地，建成立足国内、面向亚洲、辐射全球的国际消费中心城市。</w:t>
            </w:r>
          </w:p>
          <w:p>
            <w:pPr>
              <w:spacing w:line="360" w:lineRule="exact"/>
              <w:ind w:firstLine="480" w:firstLineChars="200"/>
              <w:rPr>
                <w:sz w:val="24"/>
              </w:rPr>
            </w:pPr>
            <w:r>
              <w:rPr>
                <w:rFonts w:ascii="楷体_GB2312" w:eastAsia="楷体_GB2312"/>
                <w:sz w:val="24"/>
              </w:rPr>
              <w:t>宁波：</w:t>
            </w:r>
            <w:r>
              <w:rPr>
                <w:sz w:val="24"/>
              </w:rPr>
              <w:t>立足区位、交通和商贸重镇的综合优势，争创国家级国际消费城市建设培育试点，引进国际知名购物中心、高端特色主题商场、国际一线品牌体验店等新型高端业态，支持国内外知名品牌设立全球性、全国性和区域性的品牌首店、旗舰店，培育全球时尚新品首发地，着力建设国际消费中心城市。</w:t>
            </w:r>
          </w:p>
          <w:p>
            <w:pPr>
              <w:spacing w:line="360" w:lineRule="exact"/>
              <w:ind w:firstLine="480" w:firstLineChars="200"/>
              <w:rPr>
                <w:sz w:val="24"/>
              </w:rPr>
            </w:pPr>
            <w:r>
              <w:rPr>
                <w:rFonts w:ascii="楷体_GB2312" w:eastAsia="楷体_GB2312"/>
                <w:sz w:val="24"/>
              </w:rPr>
              <w:t>温州：</w:t>
            </w:r>
            <w:r>
              <w:rPr>
                <w:sz w:val="24"/>
              </w:rPr>
              <w:t>建设东南沿海区域商贸中心城市，打造区域性消费目的地、时尚消费引领地、内外贸融合示范地，向“国际时尚之都、温馨消费之城”迈进。</w:t>
            </w:r>
          </w:p>
          <w:p>
            <w:pPr>
              <w:spacing w:line="360" w:lineRule="exact"/>
              <w:ind w:firstLine="480" w:firstLineChars="200"/>
              <w:rPr>
                <w:sz w:val="24"/>
              </w:rPr>
            </w:pPr>
            <w:r>
              <w:rPr>
                <w:rFonts w:ascii="楷体_GB2312" w:eastAsia="楷体_GB2312"/>
                <w:sz w:val="24"/>
              </w:rPr>
              <w:t>嘉兴：</w:t>
            </w:r>
            <w:r>
              <w:rPr>
                <w:sz w:val="24"/>
              </w:rPr>
              <w:t>建设国际化品质江南水乡文化名城。深入贯彻全面融入长三角一体化发展首位战略，实现城市功能明显提升、城市活力明显增强、城乡环境明显改善，使嘉兴成为长三角都市圈中的新标杆。</w:t>
            </w:r>
          </w:p>
          <w:p>
            <w:pPr>
              <w:spacing w:line="360" w:lineRule="exact"/>
              <w:ind w:firstLine="480" w:firstLineChars="200"/>
              <w:rPr>
                <w:sz w:val="24"/>
              </w:rPr>
            </w:pPr>
            <w:r>
              <w:rPr>
                <w:rFonts w:ascii="楷体_GB2312" w:eastAsia="楷体_GB2312"/>
                <w:sz w:val="24"/>
              </w:rPr>
              <w:t>湖州：</w:t>
            </w:r>
            <w:r>
              <w:rPr>
                <w:sz w:val="24"/>
              </w:rPr>
              <w:t>打造立足浙北辐射长三角的区域现代商贸流通中心。全面打响“在湖州看见美丽中国”城市品牌，不断提升城市品位；推动嘉湖发展一体化，积极借势长三角一体化战略效应，加快内外贸一体化发展。大力发展集装箱河海联运、铁公水联运，建好全国内河水运转型发展示范区，推动港口、产业、城市联动发展，加快打造长三角区域物流枢纽中心，争创国家骨干冷链物流基地。</w:t>
            </w:r>
          </w:p>
          <w:p>
            <w:pPr>
              <w:spacing w:line="360" w:lineRule="exact"/>
              <w:ind w:firstLine="480" w:firstLineChars="200"/>
              <w:rPr>
                <w:sz w:val="24"/>
              </w:rPr>
            </w:pPr>
            <w:r>
              <w:rPr>
                <w:rFonts w:ascii="楷体_GB2312" w:eastAsia="楷体_GB2312"/>
                <w:sz w:val="24"/>
              </w:rPr>
              <w:t>绍兴：</w:t>
            </w:r>
            <w:r>
              <w:rPr>
                <w:sz w:val="24"/>
              </w:rPr>
              <w:t>以高水平贸易现代化为方向，建设“双循环”重要节点城市，打造高能级新型贸易示范区、高水平国际合作样板区、高质量外商投资集聚区、高品质现代消费体验区。</w:t>
            </w:r>
          </w:p>
          <w:p>
            <w:pPr>
              <w:spacing w:line="380" w:lineRule="exact"/>
              <w:ind w:firstLine="480" w:firstLineChars="200"/>
              <w:rPr>
                <w:sz w:val="24"/>
              </w:rPr>
            </w:pPr>
            <w:r>
              <w:rPr>
                <w:rFonts w:ascii="楷体_GB2312" w:eastAsia="楷体_GB2312"/>
                <w:sz w:val="24"/>
              </w:rPr>
              <w:t>金华：</w:t>
            </w:r>
            <w:r>
              <w:rPr>
                <w:sz w:val="24"/>
              </w:rPr>
              <w:t>围绕大众贸易自由化便利化，实施空间区域、管理体制和开发模式、规划布局、资源要素配置、政策等五大创新，着力在发展进口出口转口、探索数字贸易发展、推动高端制造发展、扩大“一带一路”开放合作、跨境贸易金融发展、提升都市核心区能级、区域合作发展以及打造一流营商环境方面实现重大突破，建设新型贸易中心。</w:t>
            </w:r>
          </w:p>
          <w:p>
            <w:pPr>
              <w:spacing w:line="380" w:lineRule="exact"/>
              <w:ind w:firstLine="480" w:firstLineChars="200"/>
              <w:rPr>
                <w:sz w:val="24"/>
              </w:rPr>
            </w:pPr>
            <w:r>
              <w:rPr>
                <w:rFonts w:ascii="楷体_GB2312" w:eastAsia="楷体_GB2312"/>
                <w:sz w:val="24"/>
              </w:rPr>
              <w:t>衢州：</w:t>
            </w:r>
            <w:r>
              <w:rPr>
                <w:sz w:val="24"/>
              </w:rPr>
              <w:t>围绕“四省边际中心城市”建设目标，全力打造商贸物流“桥头堡”，打造以航空物流为核心、公铁空水“四位一体”的多式联运枢纽港，形成“聚浙西、通四省、联全国”的区域物流集散中心、省际商贸中心。</w:t>
            </w:r>
          </w:p>
          <w:p>
            <w:pPr>
              <w:spacing w:line="380" w:lineRule="exact"/>
              <w:ind w:firstLine="480" w:firstLineChars="200"/>
              <w:rPr>
                <w:sz w:val="24"/>
              </w:rPr>
            </w:pPr>
            <w:r>
              <w:rPr>
                <w:rFonts w:ascii="楷体_GB2312" w:eastAsia="楷体_GB2312"/>
                <w:sz w:val="24"/>
              </w:rPr>
              <w:t>舟山：</w:t>
            </w:r>
            <w:r>
              <w:rPr>
                <w:sz w:val="24"/>
              </w:rPr>
              <w:t>推动商贸流通智慧化、数字化、国际化建设，提升优质资源配置能力，形成具有较强国际影响力和辐射带动作用的区域性消费中心、新型贸易中心、大宗商品集散中心，着力建设推动双循环畅通的关键枢纽。</w:t>
            </w:r>
          </w:p>
          <w:p>
            <w:pPr>
              <w:spacing w:line="380" w:lineRule="exact"/>
              <w:ind w:firstLine="480" w:firstLineChars="200"/>
              <w:rPr>
                <w:sz w:val="24"/>
              </w:rPr>
            </w:pPr>
            <w:r>
              <w:rPr>
                <w:rFonts w:ascii="楷体_GB2312" w:eastAsia="楷体_GB2312"/>
                <w:sz w:val="24"/>
              </w:rPr>
              <w:t>台州：</w:t>
            </w:r>
            <w:r>
              <w:rPr>
                <w:sz w:val="24"/>
              </w:rPr>
              <w:t>完善消费、物流等商贸基础设施建设，推动商品市场等转型升级，提升智慧化、数字化水平，着力打造浙东南商贸中心城市。</w:t>
            </w:r>
          </w:p>
          <w:p>
            <w:pPr>
              <w:spacing w:line="380" w:lineRule="exact"/>
              <w:ind w:firstLine="480" w:firstLineChars="200"/>
              <w:rPr>
                <w:sz w:val="24"/>
              </w:rPr>
            </w:pPr>
            <w:r>
              <w:rPr>
                <w:rFonts w:ascii="楷体_GB2312" w:eastAsia="楷体_GB2312"/>
                <w:sz w:val="24"/>
              </w:rPr>
              <w:t>丽水：</w:t>
            </w:r>
            <w:r>
              <w:rPr>
                <w:sz w:val="24"/>
              </w:rPr>
              <w:t>发挥自然资源和生态优势，推动商旅融合发展，打造浙西南消费中心城市、商旅融合示范中心、特色商业集散中心。</w:t>
            </w:r>
          </w:p>
        </w:tc>
      </w:tr>
    </w:tbl>
    <w:p>
      <w:pPr>
        <w:spacing w:line="590" w:lineRule="exact"/>
        <w:ind w:firstLine="643" w:firstLineChars="200"/>
        <w:outlineLvl w:val="2"/>
        <w:rPr>
          <w:b/>
          <w:bCs/>
          <w:szCs w:val="32"/>
        </w:rPr>
      </w:pPr>
      <w:bookmarkStart w:id="62" w:name="_Toc13427"/>
      <w:bookmarkStart w:id="63" w:name="_Toc6576"/>
      <w:r>
        <w:rPr>
          <w:b/>
          <w:bCs/>
          <w:szCs w:val="32"/>
        </w:rPr>
        <w:t>2.</w:t>
      </w:r>
      <w:r>
        <w:rPr>
          <w:rFonts w:hint="eastAsia"/>
          <w:b/>
          <w:bCs/>
          <w:szCs w:val="32"/>
        </w:rPr>
        <w:t xml:space="preserve"> </w:t>
      </w:r>
      <w:r>
        <w:rPr>
          <w:b/>
          <w:bCs/>
          <w:szCs w:val="32"/>
        </w:rPr>
        <w:t>推动区域商贸联动发展</w:t>
      </w:r>
      <w:bookmarkEnd w:id="62"/>
      <w:bookmarkEnd w:id="63"/>
    </w:p>
    <w:p>
      <w:pPr>
        <w:spacing w:line="590" w:lineRule="exact"/>
        <w:ind w:firstLine="640" w:firstLineChars="200"/>
        <w:rPr>
          <w:szCs w:val="32"/>
        </w:rPr>
      </w:pPr>
      <w:r>
        <w:rPr>
          <w:szCs w:val="32"/>
        </w:rPr>
        <w:t>结合大湾区大花园大通道大都市区建设，进一步推动基础设施共建共享、产业融合联通，发挥各城市比较优势，强化分工合作、联动发展，提升全省商贸发展整体水平和效率。推动义甬舟开放大通道西延至衢州，辐射周边省份。以自贸区与联动创新区的协同发展为契机，促进杭州与宁波、舟山紧密合作，共同打造具有全球影响力的国际消费产业带，促进杭州都市圈与宁波都市圈的紧密对接和一体化发展。支持温州、丽水、义乌等利用现有资源，扩大优质消费品进口，共同打造以国际化、时尚化为特色的金义温丽进口商品产业带。进一步深化唐诗之路黄金旅游带、浙西南生态旅游带等旅游产业带建设，强化沿线城市合作，促进商旅文融合发展。推进交通基础设施补短板项目建设，构建陆海空多元立体、无缝对接、安全便捷、绿色智能的现代交通运输网</w:t>
      </w:r>
      <w:r>
        <w:rPr>
          <w:spacing w:val="4"/>
          <w:szCs w:val="32"/>
        </w:rPr>
        <w:t>络，促进城市间的链接，打造市域一小时都市圈，提高资源运转效率。支持各城市发挥资源和产业优势，带动周边地市优化综合承载能力和服务功能，打造相关产业的配套功能拓展区和非核心功能疏解承载地，形成省级联动和跨界区域一体化发展的浙江经验。</w:t>
      </w:r>
    </w:p>
    <w:p>
      <w:pPr>
        <w:spacing w:line="590" w:lineRule="exact"/>
        <w:ind w:firstLine="643" w:firstLineChars="200"/>
        <w:outlineLvl w:val="2"/>
        <w:rPr>
          <w:b/>
          <w:bCs/>
          <w:szCs w:val="32"/>
        </w:rPr>
      </w:pPr>
      <w:bookmarkStart w:id="64" w:name="_Toc4319"/>
      <w:bookmarkStart w:id="65" w:name="_Toc14205"/>
      <w:r>
        <w:rPr>
          <w:b/>
          <w:bCs/>
          <w:szCs w:val="32"/>
        </w:rPr>
        <w:t>3.</w:t>
      </w:r>
      <w:r>
        <w:rPr>
          <w:rFonts w:hint="eastAsia"/>
          <w:b/>
          <w:bCs/>
          <w:szCs w:val="32"/>
        </w:rPr>
        <w:t xml:space="preserve"> </w:t>
      </w:r>
      <w:r>
        <w:rPr>
          <w:b/>
          <w:bCs/>
          <w:szCs w:val="32"/>
        </w:rPr>
        <w:t>完善城乡商贸节点建设</w:t>
      </w:r>
      <w:bookmarkEnd w:id="64"/>
      <w:bookmarkEnd w:id="65"/>
    </w:p>
    <w:p>
      <w:pPr>
        <w:spacing w:line="590" w:lineRule="exact"/>
        <w:ind w:firstLine="640" w:firstLineChars="200"/>
        <w:rPr>
          <w:szCs w:val="32"/>
        </w:rPr>
      </w:pPr>
      <w:r>
        <w:rPr>
          <w:szCs w:val="32"/>
        </w:rPr>
        <w:t>加快覆盖城乡的公路、信息、物流等基础设施建设，形成联通中心城市、县城、中心镇、中心村的基础设施网络，提高城乡基础设施互联互通和便捷高效水平。支持各县（市、区）依托区位、产业、资源等优势，积极承接中心城市资源溢出，打造以物流配送、商旅融合、消费集聚、货品集散等为特色的商贸强县（市、区），建设新型融合商贸网络节点，增强对镇村的辐射带动作用。鼓励有条件的县（市、区）进一步改造提升步行街、规划建设商业综合体，集聚县域消费，推进消费提质扩容。聚焦乡村商贸振兴，支持有条件的乡镇发挥历史文化、资源环境、地理区位等优势，打造一批以一条商贸特色街、一个商贸综合体、一张覆盖周边乡村的物流配送网等为基础的现代商贸特色镇，推动乡村商贸提质增效。</w:t>
      </w:r>
    </w:p>
    <w:p>
      <w:pPr>
        <w:spacing w:line="590" w:lineRule="exact"/>
        <w:ind w:firstLine="640" w:firstLineChars="200"/>
        <w:outlineLvl w:val="1"/>
        <w:rPr>
          <w:rFonts w:eastAsia="楷体_GB2312"/>
          <w:szCs w:val="32"/>
        </w:rPr>
      </w:pPr>
      <w:bookmarkStart w:id="66" w:name="_Toc1479"/>
      <w:bookmarkStart w:id="67" w:name="_Toc32142"/>
      <w:r>
        <w:rPr>
          <w:rFonts w:eastAsia="楷体_GB2312"/>
          <w:szCs w:val="32"/>
        </w:rPr>
        <w:t>（二）夯实商贸发展基础，催生现代流通新动能</w:t>
      </w:r>
      <w:bookmarkEnd w:id="66"/>
      <w:bookmarkEnd w:id="67"/>
    </w:p>
    <w:p>
      <w:pPr>
        <w:spacing w:line="590" w:lineRule="exact"/>
        <w:ind w:firstLine="643" w:firstLineChars="200"/>
        <w:outlineLvl w:val="2"/>
        <w:rPr>
          <w:b/>
          <w:bCs/>
          <w:szCs w:val="32"/>
        </w:rPr>
      </w:pPr>
      <w:bookmarkStart w:id="68" w:name="_Toc8840"/>
      <w:bookmarkStart w:id="69" w:name="_Toc27802"/>
      <w:r>
        <w:rPr>
          <w:b/>
          <w:bCs/>
          <w:szCs w:val="32"/>
        </w:rPr>
        <w:t>1.</w:t>
      </w:r>
      <w:r>
        <w:rPr>
          <w:rFonts w:hint="eastAsia"/>
          <w:b/>
          <w:bCs/>
          <w:szCs w:val="32"/>
        </w:rPr>
        <w:t xml:space="preserve"> </w:t>
      </w:r>
      <w:r>
        <w:rPr>
          <w:b/>
          <w:bCs/>
          <w:szCs w:val="32"/>
        </w:rPr>
        <w:t>高水平建设商贸新基建</w:t>
      </w:r>
      <w:bookmarkEnd w:id="68"/>
      <w:bookmarkEnd w:id="69"/>
    </w:p>
    <w:p>
      <w:pPr>
        <w:spacing w:line="590" w:lineRule="exact"/>
        <w:ind w:firstLine="640" w:firstLineChars="200"/>
        <w:rPr>
          <w:szCs w:val="32"/>
        </w:rPr>
      </w:pPr>
      <w:r>
        <w:rPr>
          <w:szCs w:val="32"/>
        </w:rPr>
        <w:t>做好全省商业网点、物流中心等商贸基础设施规划建设，引导行业适度集中，优化商贸设施布局，提升规划刚性。探索实施大型商业网点听证制度，科学合理规划商贸综合体。加强区域合作，推进基础设施互联互通。加快5G基站建设，推动基础电信企业投资建网，大力推进5G网络共建共享，率先实现5G网络全覆盖。布局数据中心、工业互联网、物联网等新型基础设施，优先覆盖核心商圈、重点产业园区、重要交通枢纽、主要应用场景等，推动商贸设施数字化改造提升。加快车联网、</w:t>
      </w:r>
      <w:r>
        <w:rPr>
          <w:rFonts w:hAnsi="Calibri"/>
          <w:szCs w:val="32"/>
        </w:rPr>
        <w:t>新能源</w:t>
      </w:r>
      <w:r>
        <w:rPr>
          <w:szCs w:val="32"/>
        </w:rPr>
        <w:t>汽车充电桩等新型基础设施建设。推进快递服务站、多功能智能快件箱（信报箱）、无人售货机、智能垃圾回收机等终端设施建设和资源共享。</w:t>
      </w:r>
    </w:p>
    <w:p>
      <w:pPr>
        <w:spacing w:line="590" w:lineRule="exact"/>
        <w:ind w:firstLine="643" w:firstLineChars="200"/>
        <w:outlineLvl w:val="2"/>
        <w:rPr>
          <w:b/>
          <w:bCs/>
          <w:szCs w:val="32"/>
        </w:rPr>
      </w:pPr>
      <w:bookmarkStart w:id="70" w:name="_Toc31062"/>
      <w:bookmarkStart w:id="71" w:name="_Toc3929"/>
      <w:r>
        <w:rPr>
          <w:b/>
          <w:bCs/>
          <w:szCs w:val="32"/>
        </w:rPr>
        <w:t>2.</w:t>
      </w:r>
      <w:r>
        <w:rPr>
          <w:rFonts w:hint="eastAsia"/>
          <w:b/>
          <w:bCs/>
          <w:szCs w:val="32"/>
        </w:rPr>
        <w:t xml:space="preserve"> </w:t>
      </w:r>
      <w:r>
        <w:rPr>
          <w:b/>
          <w:bCs/>
          <w:szCs w:val="32"/>
        </w:rPr>
        <w:t>建设高品质步行街</w:t>
      </w:r>
      <w:bookmarkEnd w:id="70"/>
      <w:bookmarkEnd w:id="71"/>
    </w:p>
    <w:p>
      <w:pPr>
        <w:spacing w:line="590" w:lineRule="exact"/>
        <w:ind w:firstLine="640" w:firstLineChars="200"/>
        <w:rPr>
          <w:szCs w:val="32"/>
        </w:rPr>
      </w:pPr>
      <w:bookmarkStart w:id="72" w:name="_Toc18340"/>
      <w:bookmarkStart w:id="73" w:name="_Toc25070"/>
      <w:r>
        <w:rPr>
          <w:rFonts w:hAnsi="Calibri"/>
          <w:szCs w:val="32"/>
        </w:rPr>
        <w:t>深入推进全省高品质步行街试点培育，支持符合条件的步行街争创国家级高品质步行街，创建一批历史有根、文化有脉、商业有魂、经营有道、品牌有名、数字引领的高品质步行街，打造成为促进消费升级的有效平台、展示城市形象的靓丽名片、享誉国际影响的商业地标。推进步行街改造提升，强化步行街与周边商业、旅游、商务、文化、体育、交通等资源融合发展，推动步行街从平面化向立体化、由单一化向多元化、从低端化向品质化转变。支持名品名店名街联动，引入具有丰富经验和品牌资源的商业运营主体，引进国内外知名品牌。注重对街区的数字化改造升级，着力打造智慧街区。支持有条件的村、镇打造或改造提升步行街。</w:t>
      </w:r>
      <w:bookmarkEnd w:id="72"/>
      <w:bookmarkEnd w:id="73"/>
    </w:p>
    <w:p>
      <w:pPr>
        <w:spacing w:line="590" w:lineRule="exact"/>
        <w:ind w:firstLine="643" w:firstLineChars="200"/>
        <w:outlineLvl w:val="2"/>
        <w:rPr>
          <w:b/>
          <w:bCs/>
          <w:szCs w:val="32"/>
        </w:rPr>
      </w:pPr>
      <w:bookmarkStart w:id="74" w:name="_Toc27109"/>
      <w:r>
        <w:rPr>
          <w:b/>
          <w:bCs/>
          <w:szCs w:val="32"/>
        </w:rPr>
        <w:t>3.</w:t>
      </w:r>
      <w:r>
        <w:rPr>
          <w:rFonts w:hint="eastAsia"/>
          <w:b/>
          <w:bCs/>
          <w:szCs w:val="32"/>
        </w:rPr>
        <w:t xml:space="preserve"> </w:t>
      </w:r>
      <w:r>
        <w:rPr>
          <w:b/>
          <w:bCs/>
          <w:szCs w:val="32"/>
        </w:rPr>
        <w:t>构建现代供应链体系</w:t>
      </w:r>
      <w:bookmarkEnd w:id="74"/>
    </w:p>
    <w:p>
      <w:pPr>
        <w:spacing w:line="590" w:lineRule="exact"/>
        <w:ind w:firstLine="640" w:firstLineChars="200"/>
        <w:rPr>
          <w:szCs w:val="32"/>
        </w:rPr>
      </w:pPr>
      <w:r>
        <w:rPr>
          <w:rFonts w:hAnsi="Calibri"/>
          <w:szCs w:val="32"/>
        </w:rPr>
        <w:t>做好全国、全省供应链创新与应用试点建设等工作，培育一批供应链示范企业。鼓励优势产业、龙头企业内部供应链对外服务，向现代供应链企业转型发展。支持供应链核心企业加大对上下游参与者的整合力度，带动提升供应链应用水平。支持产业集群通过龙头带动、组建联盟、搭建智慧平台、引入供应链专业服务企业等形式构建现代供应链体系。构建生产与消费深度融合的供应链，推动各类企业搭建供应链平台，提高创意设计、个性化定制、快速响应能力，促进供需有效对接，</w:t>
      </w:r>
      <w:r>
        <w:rPr>
          <w:szCs w:val="32"/>
        </w:rPr>
        <w:t>服务消费升级。推动供应链服务企业、物流企业嵌入采购、生产、物流、销售全环节，打通产业上下游，提供招商、运营、数据平台等一体化、全渠道分</w:t>
      </w:r>
      <w:r>
        <w:rPr>
          <w:rFonts w:hAnsi="Calibri"/>
          <w:szCs w:val="32"/>
        </w:rPr>
        <w:t>销与供应链服务。开展农商互联农产品供应链建设，提升农产品流</w:t>
      </w:r>
      <w:r>
        <w:rPr>
          <w:szCs w:val="32"/>
        </w:rPr>
        <w:t>通现代化水平。建立健全关键产业、民生行业的供应链安全评估制度，支持供应链核心企业开展固链、强链、补链、备链，构建“以我为主”的全球供应链体系，保障供应链安全。</w:t>
      </w:r>
    </w:p>
    <w:p>
      <w:pPr>
        <w:spacing w:line="590" w:lineRule="exact"/>
        <w:ind w:firstLine="643" w:firstLineChars="200"/>
        <w:outlineLvl w:val="2"/>
        <w:rPr>
          <w:b/>
          <w:bCs/>
          <w:szCs w:val="32"/>
        </w:rPr>
      </w:pPr>
      <w:bookmarkStart w:id="75" w:name="_Toc32737"/>
      <w:bookmarkStart w:id="76" w:name="_Toc6802"/>
      <w:bookmarkStart w:id="77" w:name="_Toc17550"/>
      <w:r>
        <w:rPr>
          <w:b/>
          <w:bCs/>
          <w:szCs w:val="32"/>
        </w:rPr>
        <w:t>4.</w:t>
      </w:r>
      <w:r>
        <w:rPr>
          <w:rFonts w:hint="eastAsia"/>
          <w:b/>
          <w:bCs/>
          <w:szCs w:val="32"/>
        </w:rPr>
        <w:t xml:space="preserve"> </w:t>
      </w:r>
      <w:r>
        <w:rPr>
          <w:b/>
          <w:bCs/>
          <w:szCs w:val="32"/>
        </w:rPr>
        <w:t>大力发展未来社区商业</w:t>
      </w:r>
      <w:bookmarkEnd w:id="75"/>
      <w:bookmarkEnd w:id="76"/>
    </w:p>
    <w:p>
      <w:pPr>
        <w:spacing w:line="590" w:lineRule="exact"/>
        <w:ind w:firstLine="640" w:firstLineChars="200"/>
        <w:rPr>
          <w:szCs w:val="32"/>
          <w:lang w:bidi="ar"/>
        </w:rPr>
      </w:pPr>
      <w:r>
        <w:rPr>
          <w:rFonts w:hAnsi="仿宋_GB2312"/>
          <w:szCs w:val="32"/>
        </w:rPr>
        <w:t>落实未来社区理念，营造有烟火味、人情味的社区商业氛围。</w:t>
      </w:r>
      <w:r>
        <w:rPr>
          <w:szCs w:val="32"/>
        </w:rPr>
        <w:t>完善社区便民消费设施，加快规划建设便民生活服务圈、城市社区邻里中心等综合性服务网点，推进城乡“5分钟便利店+10分钟农贸市场+15分钟超市”生活服务圈打造。开展社区商业试点，打造一批规划科学、布局合理的新型社区商业示范项目，新建和改造一批社区数字生活服务中心。采取底商联营、第三方主体统一经营等方式，加强对社区商业设施整合力度。完善家政、早餐、菜店、社区食堂等业态，推动便民社区商业品牌化、连锁化发展。支持各类社区小店发展，丰富教育、养老、文体、娱乐等服务，满足多样化、多层次</w:t>
      </w:r>
      <w:r>
        <w:rPr>
          <w:rFonts w:hAnsi="Calibri"/>
          <w:szCs w:val="32"/>
          <w:lang w:bidi="ar"/>
        </w:rPr>
        <w:t>需求。鼓励各类新兴业态和模式进社区，鼓励</w:t>
      </w:r>
      <w:r>
        <w:rPr>
          <w:szCs w:val="32"/>
        </w:rPr>
        <w:t>加强线上线下商品、服务的整合，发展社交电商、直播电商等新兴业态，提升社区商业智慧化水平。加快社区物流配送网点建设，推进智能快件箱等终端设施共建共享。</w:t>
      </w:r>
    </w:p>
    <w:p>
      <w:pPr>
        <w:spacing w:line="590" w:lineRule="exact"/>
        <w:ind w:firstLine="643" w:firstLineChars="200"/>
        <w:outlineLvl w:val="2"/>
        <w:rPr>
          <w:b/>
          <w:bCs/>
          <w:szCs w:val="32"/>
        </w:rPr>
      </w:pPr>
      <w:bookmarkStart w:id="78" w:name="_Toc19034"/>
      <w:bookmarkStart w:id="79" w:name="_Toc28042"/>
      <w:r>
        <w:rPr>
          <w:b/>
          <w:bCs/>
          <w:szCs w:val="32"/>
        </w:rPr>
        <w:t>5.</w:t>
      </w:r>
      <w:r>
        <w:rPr>
          <w:rFonts w:hint="eastAsia"/>
          <w:b/>
          <w:bCs/>
          <w:szCs w:val="32"/>
        </w:rPr>
        <w:t xml:space="preserve"> </w:t>
      </w:r>
      <w:r>
        <w:rPr>
          <w:b/>
          <w:bCs/>
          <w:szCs w:val="32"/>
        </w:rPr>
        <w:t>推动农村商贸提质升级</w:t>
      </w:r>
      <w:bookmarkEnd w:id="78"/>
      <w:bookmarkEnd w:id="79"/>
    </w:p>
    <w:p>
      <w:pPr>
        <w:spacing w:line="590" w:lineRule="exact"/>
        <w:ind w:firstLine="640" w:firstLineChars="200"/>
        <w:rPr>
          <w:szCs w:val="32"/>
        </w:rPr>
      </w:pPr>
      <w:r>
        <w:rPr>
          <w:szCs w:val="32"/>
        </w:rPr>
        <w:t>加强农村商贸基础设施建设，合理规划农产品批发市场、产地加工中心等，支持有条件的乡村建设集休闲、娱乐、购物、餐饮等为一体的村民中心、商贸综合服务体。支持各类商贸企业向农村地区发展营销网点和延伸服务网络，鼓励新零售、跨境电商等企业在村镇开设体验店。深入实施电子商务进万村行动，开展“村播计划”，发展直播带货、社群电商等新模式，推动电商与乡村旅游、休闲农业等多产业融合。加强农产品产销对接，推广农超对接、农批对接、农校对接以及农产品展销中心、直销店等产销衔接方式，探索农产品网上大宗交易模式和生鲜农产品网上直销，支持发展订单农业，拓宽农产品上行渠道。加快县乡村三级物流网络和中心站点建设，支持农村便利店开展寄递、充值等综合服务，提升便民服务能力。</w:t>
      </w:r>
    </w:p>
    <w:p>
      <w:pPr>
        <w:spacing w:line="590" w:lineRule="exact"/>
        <w:ind w:firstLine="643" w:firstLineChars="200"/>
        <w:outlineLvl w:val="2"/>
        <w:rPr>
          <w:b/>
          <w:bCs/>
          <w:szCs w:val="32"/>
        </w:rPr>
      </w:pPr>
      <w:bookmarkStart w:id="80" w:name="_Toc5081"/>
      <w:bookmarkStart w:id="81" w:name="_Toc11910"/>
      <w:r>
        <w:rPr>
          <w:b/>
          <w:bCs/>
          <w:szCs w:val="32"/>
        </w:rPr>
        <w:t>6.</w:t>
      </w:r>
      <w:r>
        <w:rPr>
          <w:rFonts w:hint="eastAsia"/>
          <w:b/>
          <w:bCs/>
          <w:szCs w:val="32"/>
        </w:rPr>
        <w:t xml:space="preserve"> </w:t>
      </w:r>
      <w:r>
        <w:rPr>
          <w:b/>
          <w:bCs/>
          <w:szCs w:val="32"/>
        </w:rPr>
        <w:t>加快商品市场转型升级</w:t>
      </w:r>
      <w:bookmarkEnd w:id="80"/>
      <w:bookmarkEnd w:id="81"/>
    </w:p>
    <w:p>
      <w:pPr>
        <w:spacing w:line="590" w:lineRule="exact"/>
        <w:ind w:firstLine="640" w:firstLineChars="200"/>
        <w:rPr>
          <w:szCs w:val="32"/>
        </w:rPr>
      </w:pPr>
      <w:r>
        <w:rPr>
          <w:szCs w:val="32"/>
        </w:rPr>
        <w:t>对商品市场场地、场景及上下游进行数字化集成改造，通过核心业务在线化、数据化、集成化和智能化，推动服装、农副产品等商品市场借助“互联网+”加快转型升级，建成新型“智慧市场”，提升资源整合能力。建立市场在线服务平台，引导商户入驻，完善电子结算管理系统，优化统一采购、统一分销等渠道，推动市场与经营户、采购商、供应商及各种渠道的深度融合发展。增强商品市场供应链服务能力，完善展览、展销、新品发布、仓储、物流等功能，加大产品和品牌推介力度，提升商品市场影响力。推动有条件的商品市场转型商业综合体、品牌孵化基地等。鼓励商品市场“走出去”，拓展全国和全球网点布局。</w:t>
      </w:r>
    </w:p>
    <w:p>
      <w:pPr>
        <w:spacing w:line="590" w:lineRule="exact"/>
        <w:ind w:firstLine="640" w:firstLineChars="200"/>
        <w:outlineLvl w:val="1"/>
        <w:rPr>
          <w:rFonts w:eastAsia="楷体_GB2312"/>
          <w:szCs w:val="32"/>
        </w:rPr>
      </w:pPr>
      <w:bookmarkStart w:id="82" w:name="_Toc6327"/>
      <w:r>
        <w:rPr>
          <w:rFonts w:eastAsia="楷体_GB2312"/>
          <w:szCs w:val="32"/>
        </w:rPr>
        <w:t>（三）挖掘扩大内需潜力，促进提质扩容新消费</w:t>
      </w:r>
      <w:bookmarkEnd w:id="77"/>
      <w:bookmarkEnd w:id="82"/>
    </w:p>
    <w:p>
      <w:pPr>
        <w:spacing w:line="590" w:lineRule="exact"/>
        <w:ind w:firstLine="643" w:firstLineChars="200"/>
        <w:outlineLvl w:val="2"/>
        <w:rPr>
          <w:b/>
          <w:bCs/>
          <w:szCs w:val="32"/>
        </w:rPr>
      </w:pPr>
      <w:bookmarkStart w:id="83" w:name="_Toc25192"/>
      <w:bookmarkStart w:id="84" w:name="_Toc23843"/>
      <w:r>
        <w:rPr>
          <w:b/>
          <w:bCs/>
          <w:szCs w:val="32"/>
        </w:rPr>
        <w:t>1.</w:t>
      </w:r>
      <w:r>
        <w:rPr>
          <w:rFonts w:hint="eastAsia"/>
          <w:b/>
          <w:bCs/>
          <w:szCs w:val="32"/>
        </w:rPr>
        <w:t xml:space="preserve"> </w:t>
      </w:r>
      <w:r>
        <w:rPr>
          <w:b/>
          <w:bCs/>
          <w:szCs w:val="32"/>
        </w:rPr>
        <w:t>提升做强热点消费</w:t>
      </w:r>
      <w:bookmarkEnd w:id="83"/>
    </w:p>
    <w:p>
      <w:pPr>
        <w:spacing w:line="590" w:lineRule="exact"/>
        <w:ind w:firstLine="640" w:firstLineChars="200"/>
        <w:rPr>
          <w:szCs w:val="32"/>
        </w:rPr>
      </w:pPr>
      <w:r>
        <w:rPr>
          <w:szCs w:val="32"/>
        </w:rPr>
        <w:t>开展汽车下乡、以旧换新等，鼓励杭州调整限号政策；加强汽车流通+互联网、汽车消费金融等模式创新；完善新能源汽车充换电网络设施；促进二手车便利交易，活跃二手车市场；发展汽车后市场，探索有条件放开汽车改装。研究深化家电、家居建材等以旧换新、下乡等政策。拓展信息消费新产品、新内容、新模式，推动数字娱乐、数字传媒、数字出版、网络文学等行业发展，开发超高清视频终端、虚拟现实、增强现实等信息消费产品。发展体育、健身等消费，新建、改造一批体育场馆和体育服务综合体，鼓励各类体育设施开放运营，支持开展各类体育活动，引进、举办一批国际赛事，办好2022年杭州亚运会、亚残运会等，支持宁波、绍兴、金华打造国家体育消费试点城市。发展健康养老消费，借助“互联网+医疗健康”，完善居家养老服务体系，开发适合老年人的健康产品和服务项目。拓展文化娱乐消费，支持有条件的乡村、社区配套建设各类影院、书店、图书馆等。鼓励金融机构创新金融产品和服务，完善消费金融体系，有序发展消费信贷。</w:t>
      </w:r>
    </w:p>
    <w:p>
      <w:pPr>
        <w:spacing w:line="590" w:lineRule="exact"/>
        <w:ind w:firstLine="643" w:firstLineChars="200"/>
        <w:outlineLvl w:val="2"/>
        <w:rPr>
          <w:b/>
          <w:bCs/>
          <w:szCs w:val="32"/>
        </w:rPr>
      </w:pPr>
      <w:bookmarkStart w:id="85" w:name="_Toc32100"/>
      <w:r>
        <w:rPr>
          <w:b/>
          <w:bCs/>
          <w:szCs w:val="32"/>
        </w:rPr>
        <w:t>2.</w:t>
      </w:r>
      <w:r>
        <w:rPr>
          <w:rFonts w:hint="eastAsia"/>
          <w:b/>
          <w:bCs/>
          <w:szCs w:val="32"/>
        </w:rPr>
        <w:t xml:space="preserve"> </w:t>
      </w:r>
      <w:r>
        <w:rPr>
          <w:b/>
          <w:bCs/>
          <w:szCs w:val="32"/>
        </w:rPr>
        <w:t>扩大优质消费供给</w:t>
      </w:r>
      <w:bookmarkEnd w:id="84"/>
      <w:bookmarkEnd w:id="85"/>
    </w:p>
    <w:p>
      <w:pPr>
        <w:spacing w:line="590" w:lineRule="exact"/>
        <w:ind w:firstLine="640" w:firstLineChars="200"/>
        <w:rPr>
          <w:szCs w:val="32"/>
          <w:shd w:val="clear" w:color="auto" w:fill="FFFFFF"/>
        </w:rPr>
      </w:pPr>
      <w:r>
        <w:rPr>
          <w:rFonts w:hAnsi="Calibri"/>
          <w:szCs w:val="32"/>
          <w:shd w:val="clear" w:color="auto" w:fill="FFFFFF"/>
        </w:rPr>
        <w:t>发展</w:t>
      </w:r>
      <w:r>
        <w:rPr>
          <w:szCs w:val="32"/>
          <w:shd w:val="clear" w:color="auto" w:fill="FFFFFF"/>
        </w:rPr>
        <w:t>“</w:t>
      </w:r>
      <w:r>
        <w:rPr>
          <w:rFonts w:hAnsi="Calibri"/>
          <w:szCs w:val="32"/>
          <w:shd w:val="clear" w:color="auto" w:fill="FFFFFF"/>
        </w:rPr>
        <w:t>首发经济</w:t>
      </w:r>
      <w:r>
        <w:rPr>
          <w:szCs w:val="32"/>
          <w:shd w:val="clear" w:color="auto" w:fill="FFFFFF"/>
        </w:rPr>
        <w:t>”</w:t>
      </w:r>
      <w:r>
        <w:rPr>
          <w:rFonts w:hAnsi="Calibri"/>
          <w:szCs w:val="32"/>
          <w:shd w:val="clear" w:color="auto" w:fill="FFFFFF"/>
        </w:rPr>
        <w:t>和</w:t>
      </w:r>
      <w:r>
        <w:rPr>
          <w:szCs w:val="32"/>
          <w:shd w:val="clear" w:color="auto" w:fill="FFFFFF"/>
        </w:rPr>
        <w:t>“</w:t>
      </w:r>
      <w:r>
        <w:rPr>
          <w:rFonts w:hAnsi="Calibri"/>
          <w:szCs w:val="32"/>
          <w:shd w:val="clear" w:color="auto" w:fill="FFFFFF"/>
        </w:rPr>
        <w:t>首店经济</w:t>
      </w:r>
      <w:r>
        <w:rPr>
          <w:szCs w:val="32"/>
          <w:shd w:val="clear" w:color="auto" w:fill="FFFFFF"/>
        </w:rPr>
        <w:t>”</w:t>
      </w:r>
      <w:r>
        <w:rPr>
          <w:rFonts w:hAnsi="Calibri"/>
          <w:szCs w:val="32"/>
          <w:shd w:val="clear" w:color="auto" w:fill="FFFFFF"/>
        </w:rPr>
        <w:t>，</w:t>
      </w:r>
      <w:r>
        <w:rPr>
          <w:bCs/>
          <w:szCs w:val="32"/>
        </w:rPr>
        <w:t>支持国内外知名品牌在浙设立首店、旗舰店、体验店。扶持一批原创自主品牌，推动优质原创设计品牌在重点商圈等地集聚发展。</w:t>
      </w:r>
      <w:r>
        <w:rPr>
          <w:rFonts w:hAnsi="Calibri"/>
          <w:szCs w:val="32"/>
        </w:rPr>
        <w:t>加强老字号挖掘保护，</w:t>
      </w:r>
      <w:r>
        <w:rPr>
          <w:rFonts w:hAnsi="Calibri"/>
          <w:szCs w:val="32"/>
          <w:shd w:val="clear" w:color="auto" w:fill="FFFFFF"/>
          <w:lang w:bidi="ar"/>
        </w:rPr>
        <w:t>开展</w:t>
      </w:r>
      <w:r>
        <w:rPr>
          <w:szCs w:val="32"/>
          <w:shd w:val="clear" w:color="auto" w:fill="FFFFFF"/>
          <w:lang w:bidi="ar"/>
        </w:rPr>
        <w:t>“</w:t>
      </w:r>
      <w:r>
        <w:rPr>
          <w:rFonts w:hAnsi="Calibri"/>
          <w:szCs w:val="32"/>
          <w:shd w:val="clear" w:color="auto" w:fill="FFFFFF"/>
          <w:lang w:bidi="ar"/>
        </w:rPr>
        <w:t>浙江老字号</w:t>
      </w:r>
      <w:r>
        <w:rPr>
          <w:szCs w:val="32"/>
          <w:shd w:val="clear" w:color="auto" w:fill="FFFFFF"/>
          <w:lang w:bidi="ar"/>
        </w:rPr>
        <w:t>”</w:t>
      </w:r>
      <w:r>
        <w:rPr>
          <w:rFonts w:hAnsi="Calibri"/>
          <w:szCs w:val="32"/>
          <w:shd w:val="clear" w:color="auto" w:fill="FFFFFF"/>
          <w:lang w:bidi="ar"/>
        </w:rPr>
        <w:t>认定，</w:t>
      </w:r>
      <w:r>
        <w:rPr>
          <w:rFonts w:hAnsi="Calibri"/>
          <w:kern w:val="0"/>
          <w:szCs w:val="32"/>
        </w:rPr>
        <w:t>推动老字号企业进高铁、进街区、进景区、进免税店，</w:t>
      </w:r>
      <w:r>
        <w:rPr>
          <w:szCs w:val="32"/>
        </w:rPr>
        <w:t>支持老字号改革创新，培育若干以老字号为核心的商贸功能区。</w:t>
      </w:r>
      <w:r>
        <w:rPr>
          <w:rFonts w:hAnsi="Calibri"/>
          <w:szCs w:val="32"/>
          <w:shd w:val="clear" w:color="auto" w:fill="FFFFFF"/>
        </w:rPr>
        <w:t>加强产品和服务的标准</w:t>
      </w:r>
      <w:r>
        <w:rPr>
          <w:bCs/>
          <w:szCs w:val="32"/>
        </w:rPr>
        <w:t>制定工作，完善服务业地方标准体系。以“高标准+严认证”打造“品字标”，构建完</w:t>
      </w:r>
      <w:r>
        <w:rPr>
          <w:rFonts w:hAnsi="Calibri"/>
          <w:szCs w:val="32"/>
          <w:shd w:val="clear" w:color="auto" w:fill="FFFFFF"/>
        </w:rPr>
        <w:t>善传统产业</w:t>
      </w:r>
      <w:r>
        <w:rPr>
          <w:szCs w:val="32"/>
          <w:shd w:val="clear" w:color="auto" w:fill="FFFFFF"/>
        </w:rPr>
        <w:t>“</w:t>
      </w:r>
      <w:r>
        <w:rPr>
          <w:rFonts w:hAnsi="Calibri"/>
          <w:szCs w:val="32"/>
          <w:shd w:val="clear" w:color="auto" w:fill="FFFFFF"/>
        </w:rPr>
        <w:t>浙江制造</w:t>
      </w:r>
      <w:r>
        <w:rPr>
          <w:szCs w:val="32"/>
          <w:shd w:val="clear" w:color="auto" w:fill="FFFFFF"/>
        </w:rPr>
        <w:t>”</w:t>
      </w:r>
      <w:r>
        <w:rPr>
          <w:rFonts w:hAnsi="Calibri"/>
          <w:szCs w:val="32"/>
          <w:shd w:val="clear" w:color="auto" w:fill="FFFFFF"/>
        </w:rPr>
        <w:t>标准框架，逐步将老字号纳入</w:t>
      </w:r>
      <w:r>
        <w:rPr>
          <w:szCs w:val="32"/>
          <w:shd w:val="clear" w:color="auto" w:fill="FFFFFF"/>
        </w:rPr>
        <w:t>“</w:t>
      </w:r>
      <w:r>
        <w:rPr>
          <w:rFonts w:hAnsi="Calibri"/>
          <w:szCs w:val="32"/>
          <w:shd w:val="clear" w:color="auto" w:fill="FFFFFF"/>
        </w:rPr>
        <w:t>品字标浙江制造</w:t>
      </w:r>
      <w:r>
        <w:rPr>
          <w:szCs w:val="32"/>
          <w:shd w:val="clear" w:color="auto" w:fill="FFFFFF"/>
        </w:rPr>
        <w:t>”</w:t>
      </w:r>
      <w:r>
        <w:rPr>
          <w:rFonts w:hAnsi="Calibri"/>
          <w:szCs w:val="32"/>
          <w:shd w:val="clear" w:color="auto" w:fill="FFFFFF"/>
        </w:rPr>
        <w:t>。</w:t>
      </w:r>
    </w:p>
    <w:p>
      <w:pPr>
        <w:spacing w:line="590" w:lineRule="exact"/>
        <w:ind w:firstLine="643" w:firstLineChars="200"/>
        <w:outlineLvl w:val="2"/>
        <w:rPr>
          <w:b/>
          <w:bCs/>
          <w:szCs w:val="32"/>
        </w:rPr>
      </w:pPr>
      <w:bookmarkStart w:id="86" w:name="_Toc20730"/>
      <w:bookmarkStart w:id="87" w:name="_Toc376"/>
      <w:r>
        <w:rPr>
          <w:b/>
          <w:bCs/>
          <w:szCs w:val="32"/>
        </w:rPr>
        <w:t>3.</w:t>
      </w:r>
      <w:r>
        <w:rPr>
          <w:rFonts w:hint="eastAsia"/>
          <w:b/>
          <w:bCs/>
          <w:szCs w:val="32"/>
        </w:rPr>
        <w:t xml:space="preserve"> </w:t>
      </w:r>
      <w:r>
        <w:rPr>
          <w:b/>
          <w:bCs/>
          <w:szCs w:val="32"/>
        </w:rPr>
        <w:t>有序发展夜间经济</w:t>
      </w:r>
      <w:bookmarkEnd w:id="86"/>
      <w:bookmarkEnd w:id="87"/>
    </w:p>
    <w:p>
      <w:pPr>
        <w:spacing w:line="590" w:lineRule="exact"/>
        <w:ind w:firstLine="640" w:firstLineChars="200"/>
        <w:rPr>
          <w:szCs w:val="32"/>
        </w:rPr>
      </w:pPr>
      <w:r>
        <w:rPr>
          <w:szCs w:val="32"/>
        </w:rPr>
        <w:t>深入开展夜间经济城市试点建设，形成一批餐饮集聚型、文化和旅游型、百姓生活型等夜间经济集聚区，打造一批夜间经济地标，培育一批夜间经济网红打卡点。鼓励主要商圈、特色商业街、步行街等，适当延长营业时间，开设深夜营业专区等。探索24小时无人商店、无人货柜等新模式，支持有条件的街区开办夜市。鼓励开展夜游活动，推出夜间休闲娱乐项目和夜游精品线路，支持在夜间举办商业演出、时尚展览、新品首发、夜购折扣等活动。鼓励图书馆、博物馆、美术馆等文化场所适当延长夜间营业时间，组织形式多样的文化体验活动。引导开设夜间文化、艺术讲座、论坛等文教活动。延长体育场馆等夜间开放时间，积极组织全民夜跑、健身夜骑等大众化体育活动。完善商贸综合体、商业街区等周边灯光照明，加强城市街道建设规划，优化人行步道，增加夜间停车位，方便居民夜间消费。</w:t>
      </w:r>
    </w:p>
    <w:p>
      <w:pPr>
        <w:spacing w:line="590" w:lineRule="exact"/>
        <w:ind w:firstLine="643" w:firstLineChars="200"/>
        <w:outlineLvl w:val="2"/>
        <w:rPr>
          <w:b/>
          <w:bCs/>
          <w:szCs w:val="32"/>
        </w:rPr>
      </w:pPr>
      <w:bookmarkStart w:id="88" w:name="_Toc32404"/>
      <w:r>
        <w:rPr>
          <w:b/>
          <w:bCs/>
          <w:szCs w:val="32"/>
        </w:rPr>
        <w:t>4.</w:t>
      </w:r>
      <w:r>
        <w:rPr>
          <w:rFonts w:hint="eastAsia"/>
          <w:b/>
          <w:bCs/>
          <w:szCs w:val="32"/>
        </w:rPr>
        <w:t xml:space="preserve"> </w:t>
      </w:r>
      <w:r>
        <w:rPr>
          <w:b/>
          <w:bCs/>
          <w:szCs w:val="32"/>
        </w:rPr>
        <w:t>大力发展体验经济</w:t>
      </w:r>
      <w:bookmarkEnd w:id="88"/>
    </w:p>
    <w:p>
      <w:pPr>
        <w:spacing w:line="590" w:lineRule="exact"/>
        <w:ind w:firstLine="640" w:firstLineChars="200"/>
        <w:rPr>
          <w:szCs w:val="32"/>
        </w:rPr>
      </w:pPr>
      <w:r>
        <w:rPr>
          <w:szCs w:val="32"/>
        </w:rPr>
        <w:t>引导各类商业综合体、商业街区等加强基础设施改造和数字化升级，以更符合消费习惯、更便利消费、更适合体验式业态运营。支持利用现有商业设施改造发展消费体验中心，合理布局购物、餐饮、休闲、娱乐、文化、培训、体育、保健等体验式消费业态，鼓励实体店开展融合多种消费业态和模式的场景创新，增强实体店体验式、全程式服务能力。支持餐饮、特色小店、商场、老字号、书店等打造沉浸式、体验式消费场景，培育网红打卡新地标。充分利用开放性公共空间，开设节假日步行街、周末大集、休闲文体专区等。鼓励开展亲子、社群、休闲、手工、种植等各类体验式消费创新，提升消费者参与度。围绕提升消费体验，开展线上线下融合创新，发展“线下体验、线上下单、网订店取、退换一体”等。</w:t>
      </w:r>
    </w:p>
    <w:p>
      <w:pPr>
        <w:spacing w:line="590" w:lineRule="exact"/>
        <w:ind w:firstLine="643" w:firstLineChars="200"/>
        <w:outlineLvl w:val="2"/>
        <w:rPr>
          <w:b/>
          <w:bCs/>
          <w:szCs w:val="32"/>
        </w:rPr>
      </w:pPr>
      <w:bookmarkStart w:id="89" w:name="_Toc4580"/>
      <w:r>
        <w:rPr>
          <w:b/>
          <w:bCs/>
          <w:szCs w:val="32"/>
        </w:rPr>
        <w:t>5.</w:t>
      </w:r>
      <w:r>
        <w:rPr>
          <w:rFonts w:hint="eastAsia"/>
          <w:b/>
          <w:bCs/>
          <w:szCs w:val="32"/>
        </w:rPr>
        <w:t xml:space="preserve"> </w:t>
      </w:r>
      <w:r>
        <w:rPr>
          <w:b/>
          <w:bCs/>
          <w:szCs w:val="32"/>
        </w:rPr>
        <w:t>推动商旅文体融合发展</w:t>
      </w:r>
      <w:bookmarkEnd w:id="89"/>
    </w:p>
    <w:p>
      <w:pPr>
        <w:spacing w:line="590" w:lineRule="exact"/>
        <w:ind w:firstLine="640" w:firstLineChars="200"/>
        <w:rPr>
          <w:szCs w:val="32"/>
        </w:rPr>
      </w:pPr>
      <w:r>
        <w:rPr>
          <w:rFonts w:hAnsi="仿宋_GB2312"/>
          <w:szCs w:val="32"/>
        </w:rPr>
        <w:t>加快国家文化和旅游消费试点示范城市建设工作。</w:t>
      </w:r>
      <w:r>
        <w:rPr>
          <w:szCs w:val="32"/>
        </w:rPr>
        <w:t>依托商业中心区、城市休闲功能区、历史文化街区、旅游景区等地域空间，串联剧场影院、文博场馆、园林庭院、名人故居等文旅场所，建设一批布局合理、功能完善、特色鲜明、带动力强的商文旅融合消费集聚区，推动一批文化旅游街区创建省级高品质步行街。推动演艺、非物质文化遗产和文物资源等与旅游产业融合，重点培育文化创意、红色旅游、影视演艺、动漫游戏、遗址探秘、工业展陈、农事体验、商务会展、运动休闲、康体养生等“文化和旅游+”新业态。鼓励建设汇集文创商店、特色书店、小剧场、文化娱乐场所、体育健身场所等多种业态的消费集聚地。深化落实带薪休假制度，探索试行周末2.5天弹性作息，引导外出旅游休闲消费。</w:t>
      </w:r>
    </w:p>
    <w:p>
      <w:pPr>
        <w:spacing w:line="590" w:lineRule="exact"/>
        <w:ind w:firstLine="643" w:firstLineChars="200"/>
        <w:outlineLvl w:val="2"/>
        <w:rPr>
          <w:b/>
          <w:bCs/>
          <w:szCs w:val="32"/>
        </w:rPr>
      </w:pPr>
      <w:bookmarkStart w:id="90" w:name="_Toc16912"/>
      <w:bookmarkStart w:id="91" w:name="_Toc1021"/>
      <w:r>
        <w:rPr>
          <w:b/>
          <w:bCs/>
          <w:szCs w:val="32"/>
        </w:rPr>
        <w:t>6.</w:t>
      </w:r>
      <w:r>
        <w:rPr>
          <w:rFonts w:hint="eastAsia"/>
          <w:b/>
          <w:bCs/>
          <w:szCs w:val="32"/>
        </w:rPr>
        <w:t xml:space="preserve"> </w:t>
      </w:r>
      <w:r>
        <w:rPr>
          <w:b/>
          <w:bCs/>
          <w:szCs w:val="32"/>
        </w:rPr>
        <w:t>打响“浙里来消费”品牌</w:t>
      </w:r>
      <w:bookmarkEnd w:id="90"/>
      <w:bookmarkEnd w:id="91"/>
    </w:p>
    <w:p>
      <w:pPr>
        <w:spacing w:line="590" w:lineRule="exact"/>
        <w:ind w:firstLine="640" w:firstLineChars="200"/>
        <w:rPr>
          <w:szCs w:val="32"/>
        </w:rPr>
      </w:pPr>
      <w:r>
        <w:rPr>
          <w:szCs w:val="32"/>
        </w:rPr>
        <w:t>聚焦云上消费、让利消费、美食消费、街区消费、健康消费、国潮消费、夜间消费、联动消费、出行消费、节庆消费</w:t>
      </w:r>
      <w:r>
        <w:rPr>
          <w:rFonts w:hAnsi="仿宋"/>
          <w:szCs w:val="32"/>
        </w:rPr>
        <w:t>等热</w:t>
      </w:r>
      <w:r>
        <w:rPr>
          <w:szCs w:val="32"/>
        </w:rPr>
        <w:t>点消费领域，鼓励重点商圈、特色商街、商贸企业、品牌企业等开展联动营销活动，形成省级部门协同、省市县联动、各行各业并举、重点企业支撑、线上线下融合的消费促进新格局。组织办好各年度全国消费月暨浙江金秋购物节，鼓励举办消费嘉年华活动，支持各地结合消费节点，开展各类主题促销活动。鼓励各地联合知</w:t>
      </w:r>
      <w:r>
        <w:rPr>
          <w:spacing w:val="2"/>
          <w:szCs w:val="32"/>
        </w:rPr>
        <w:t>名电子商务平台开展网上促销活</w:t>
      </w:r>
      <w:r>
        <w:rPr>
          <w:rFonts w:hAnsi="仿宋"/>
          <w:spacing w:val="2"/>
          <w:szCs w:val="32"/>
        </w:rPr>
        <w:t>动，提升</w:t>
      </w:r>
      <w:r>
        <w:rPr>
          <w:spacing w:val="2"/>
          <w:szCs w:val="32"/>
        </w:rPr>
        <w:t>“</w:t>
      </w:r>
      <w:r>
        <w:rPr>
          <w:rFonts w:hAnsi="仿宋"/>
          <w:spacing w:val="2"/>
          <w:szCs w:val="32"/>
        </w:rPr>
        <w:t>浙里来消费</w:t>
      </w:r>
      <w:r>
        <w:rPr>
          <w:spacing w:val="2"/>
          <w:szCs w:val="32"/>
        </w:rPr>
        <w:t>”</w:t>
      </w:r>
      <w:r>
        <w:rPr>
          <w:rFonts w:hAnsi="仿宋"/>
          <w:spacing w:val="2"/>
          <w:szCs w:val="32"/>
        </w:rPr>
        <w:t>市场活力。支持杭州办好</w:t>
      </w:r>
      <w:r>
        <w:rPr>
          <w:spacing w:val="2"/>
          <w:szCs w:val="32"/>
        </w:rPr>
        <w:t>“</w:t>
      </w:r>
      <w:r>
        <w:rPr>
          <w:rFonts w:hAnsi="仿宋"/>
          <w:spacing w:val="2"/>
          <w:szCs w:val="32"/>
        </w:rPr>
        <w:t>双十一</w:t>
      </w:r>
      <w:r>
        <w:rPr>
          <w:spacing w:val="2"/>
          <w:szCs w:val="32"/>
        </w:rPr>
        <w:t>”</w:t>
      </w:r>
      <w:r>
        <w:rPr>
          <w:rFonts w:hAnsi="仿宋"/>
          <w:spacing w:val="2"/>
          <w:szCs w:val="32"/>
        </w:rPr>
        <w:t>全球线上线下购物大狂欢，打造国际消费目的地。持续开展</w:t>
      </w:r>
      <w:r>
        <w:rPr>
          <w:spacing w:val="2"/>
          <w:szCs w:val="32"/>
        </w:rPr>
        <w:t>“</w:t>
      </w:r>
      <w:r>
        <w:rPr>
          <w:rFonts w:hAnsi="仿宋"/>
          <w:spacing w:val="2"/>
          <w:szCs w:val="32"/>
        </w:rPr>
        <w:t>浙里来消费</w:t>
      </w:r>
      <w:r>
        <w:rPr>
          <w:spacing w:val="2"/>
          <w:szCs w:val="32"/>
        </w:rPr>
        <w:t>”</w:t>
      </w:r>
      <w:r>
        <w:rPr>
          <w:rFonts w:hAnsi="仿宋"/>
          <w:spacing w:val="2"/>
          <w:szCs w:val="32"/>
        </w:rPr>
        <w:t>系列公益宣传，组织编制浙江消费地图和年度居民消费发展报告等，扩大</w:t>
      </w:r>
      <w:r>
        <w:rPr>
          <w:spacing w:val="2"/>
          <w:szCs w:val="32"/>
        </w:rPr>
        <w:t>“</w:t>
      </w:r>
      <w:r>
        <w:rPr>
          <w:rFonts w:hAnsi="仿宋"/>
          <w:spacing w:val="2"/>
          <w:szCs w:val="32"/>
        </w:rPr>
        <w:t>浙里来消费</w:t>
      </w:r>
      <w:r>
        <w:rPr>
          <w:spacing w:val="2"/>
          <w:szCs w:val="32"/>
        </w:rPr>
        <w:t>”</w:t>
      </w:r>
      <w:r>
        <w:rPr>
          <w:rFonts w:hAnsi="仿宋"/>
          <w:spacing w:val="2"/>
          <w:szCs w:val="32"/>
        </w:rPr>
        <w:t>影响力。</w:t>
      </w:r>
    </w:p>
    <w:p>
      <w:pPr>
        <w:spacing w:line="590" w:lineRule="exact"/>
        <w:ind w:firstLine="640" w:firstLineChars="200"/>
        <w:outlineLvl w:val="1"/>
        <w:rPr>
          <w:rFonts w:eastAsia="楷体_GB2312"/>
          <w:szCs w:val="32"/>
        </w:rPr>
      </w:pPr>
      <w:bookmarkStart w:id="92" w:name="_Toc32635"/>
      <w:bookmarkStart w:id="93" w:name="_Toc1477"/>
      <w:r>
        <w:rPr>
          <w:rFonts w:eastAsia="楷体_GB2312"/>
          <w:szCs w:val="32"/>
        </w:rPr>
        <w:t>（四）推动市场主体升级，激发商贸繁荣新活力</w:t>
      </w:r>
      <w:bookmarkEnd w:id="92"/>
      <w:bookmarkEnd w:id="93"/>
      <w:r>
        <w:rPr>
          <w:rFonts w:eastAsia="楷体_GB2312"/>
          <w:szCs w:val="32"/>
        </w:rPr>
        <w:t xml:space="preserve"> </w:t>
      </w:r>
    </w:p>
    <w:p>
      <w:pPr>
        <w:spacing w:line="590" w:lineRule="exact"/>
        <w:ind w:firstLine="643" w:firstLineChars="200"/>
        <w:outlineLvl w:val="2"/>
        <w:rPr>
          <w:b/>
          <w:bCs/>
          <w:szCs w:val="32"/>
        </w:rPr>
      </w:pPr>
      <w:bookmarkStart w:id="94" w:name="_Toc9121"/>
      <w:bookmarkStart w:id="95" w:name="_Toc7113"/>
      <w:r>
        <w:rPr>
          <w:b/>
          <w:bCs/>
          <w:szCs w:val="32"/>
        </w:rPr>
        <w:t>1.</w:t>
      </w:r>
      <w:r>
        <w:rPr>
          <w:rFonts w:hint="eastAsia"/>
          <w:b/>
          <w:bCs/>
          <w:szCs w:val="32"/>
        </w:rPr>
        <w:t xml:space="preserve"> </w:t>
      </w:r>
      <w:r>
        <w:rPr>
          <w:b/>
          <w:bCs/>
          <w:szCs w:val="32"/>
        </w:rPr>
        <w:t>支持商贸企业做大做强</w:t>
      </w:r>
      <w:bookmarkEnd w:id="94"/>
      <w:bookmarkEnd w:id="95"/>
    </w:p>
    <w:p>
      <w:pPr>
        <w:spacing w:line="590" w:lineRule="exact"/>
        <w:ind w:firstLine="640" w:firstLineChars="200"/>
        <w:rPr>
          <w:szCs w:val="32"/>
        </w:rPr>
      </w:pPr>
      <w:r>
        <w:rPr>
          <w:szCs w:val="32"/>
        </w:rPr>
        <w:t>培育省内大型商贸流通企业，打造细分行业的领军企业，重点培育供应链集成服务商、品质生活方式提供商、品牌连锁企业等。支持企业通过跨界多业融合、先进技术运用、管理方式创新，提升综合竞争力，成为全国乃至全球商贸旗舰企业。支持商贸企业、平台企业等拓展跨行业、跨地区、跨国经营，利用参股控股、联合兼并、合资合作等方式进行强强联合，整合各类资源，共建线上线下、产业融合、内外一体的供应链生态圈。加强商贸品牌培育，引导企业加大对企业品牌、产品品牌的建设力度，提升商贸品牌知名度、美誉度。支持企业加快数字化升级，开展线上线下一体化经营，打通退换货通道。</w:t>
      </w:r>
    </w:p>
    <w:p>
      <w:pPr>
        <w:spacing w:line="590" w:lineRule="exact"/>
        <w:ind w:firstLine="643" w:firstLineChars="200"/>
        <w:outlineLvl w:val="2"/>
        <w:rPr>
          <w:b/>
          <w:bCs/>
          <w:szCs w:val="32"/>
        </w:rPr>
      </w:pPr>
      <w:bookmarkStart w:id="96" w:name="_Toc17057"/>
      <w:bookmarkStart w:id="97" w:name="_Toc7715"/>
      <w:r>
        <w:rPr>
          <w:b/>
          <w:bCs/>
          <w:szCs w:val="32"/>
        </w:rPr>
        <w:t>2.</w:t>
      </w:r>
      <w:r>
        <w:rPr>
          <w:rFonts w:hint="eastAsia"/>
          <w:b/>
          <w:bCs/>
          <w:szCs w:val="32"/>
        </w:rPr>
        <w:t xml:space="preserve"> </w:t>
      </w:r>
      <w:r>
        <w:rPr>
          <w:b/>
          <w:bCs/>
          <w:szCs w:val="32"/>
        </w:rPr>
        <w:t>支持中小企业特色发展</w:t>
      </w:r>
      <w:bookmarkEnd w:id="96"/>
      <w:bookmarkEnd w:id="97"/>
    </w:p>
    <w:p>
      <w:pPr>
        <w:spacing w:line="590" w:lineRule="exact"/>
        <w:ind w:firstLine="640" w:firstLineChars="200"/>
        <w:rPr>
          <w:szCs w:val="32"/>
        </w:rPr>
      </w:pPr>
      <w:r>
        <w:rPr>
          <w:rFonts w:hAnsi="仿宋"/>
          <w:szCs w:val="32"/>
        </w:rPr>
        <w:t>加强中小商贸企业培育，推动个体工商户转小微企业、小微企业升</w:t>
      </w:r>
      <w:r>
        <w:rPr>
          <w:szCs w:val="32"/>
        </w:rPr>
        <w:t>“</w:t>
      </w:r>
      <w:r>
        <w:rPr>
          <w:rFonts w:hAnsi="仿宋"/>
          <w:szCs w:val="32"/>
        </w:rPr>
        <w:t>限上</w:t>
      </w:r>
      <w:r>
        <w:rPr>
          <w:szCs w:val="32"/>
        </w:rPr>
        <w:t>”</w:t>
      </w:r>
      <w:r>
        <w:rPr>
          <w:rFonts w:hAnsi="仿宋"/>
          <w:szCs w:val="32"/>
        </w:rPr>
        <w:t>。鼓励中小商贸企业在业态、产品、服务、技术、装修、体验等方面加强创新，以时尚、潮流、品牌、文化为特色吸引客户。大力发展小店经济，鼓励各类小店</w:t>
      </w:r>
      <w:r>
        <w:rPr>
          <w:szCs w:val="32"/>
        </w:rPr>
        <w:t>“</w:t>
      </w:r>
      <w:r>
        <w:rPr>
          <w:rFonts w:hAnsi="仿宋"/>
          <w:szCs w:val="32"/>
        </w:rPr>
        <w:t>一店多能</w:t>
      </w:r>
      <w:r>
        <w:rPr>
          <w:szCs w:val="32"/>
        </w:rPr>
        <w:t>”</w:t>
      </w:r>
      <w:r>
        <w:rPr>
          <w:rFonts w:hAnsi="仿宋"/>
          <w:szCs w:val="32"/>
        </w:rPr>
        <w:t>，特色化、便民化、标准化、连锁化、数字化经营，以延长营业时间、拓展品类项目、人性化管理等方式为消费者提供便利化、多样化服务。发挥各级中小商贸流通企业公共服务网络平台的功能作用，为中小企业提供融资、市场开拓、科技应用和管理咨询等服务。支持大型商贸企业、电商平台、物流企业、品牌商等将中小企业纳入自身供应链，为中小企业发展赋能。支持建设孵化基地、创客空间等，鼓励围绕大数据、云平台、物联网等开展创业创新。</w:t>
      </w:r>
    </w:p>
    <w:p>
      <w:pPr>
        <w:spacing w:line="590" w:lineRule="exact"/>
        <w:ind w:firstLine="643" w:firstLineChars="200"/>
        <w:outlineLvl w:val="2"/>
        <w:rPr>
          <w:b/>
          <w:bCs/>
          <w:szCs w:val="32"/>
        </w:rPr>
      </w:pPr>
      <w:bookmarkStart w:id="98" w:name="_Toc14670"/>
      <w:bookmarkStart w:id="99" w:name="_Toc3713"/>
      <w:r>
        <w:rPr>
          <w:b/>
          <w:bCs/>
          <w:szCs w:val="32"/>
        </w:rPr>
        <w:t>3.</w:t>
      </w:r>
      <w:r>
        <w:rPr>
          <w:rFonts w:hint="eastAsia"/>
          <w:b/>
          <w:bCs/>
          <w:szCs w:val="32"/>
        </w:rPr>
        <w:t xml:space="preserve"> </w:t>
      </w:r>
      <w:r>
        <w:rPr>
          <w:b/>
          <w:bCs/>
          <w:szCs w:val="32"/>
        </w:rPr>
        <w:t>支持住餐行业转型升级</w:t>
      </w:r>
      <w:bookmarkEnd w:id="98"/>
      <w:bookmarkEnd w:id="99"/>
    </w:p>
    <w:p>
      <w:pPr>
        <w:spacing w:line="590" w:lineRule="exact"/>
        <w:ind w:firstLine="640" w:firstLineChars="200"/>
        <w:rPr>
          <w:szCs w:val="32"/>
        </w:rPr>
      </w:pPr>
      <w:r>
        <w:rPr>
          <w:szCs w:val="32"/>
        </w:rPr>
        <w:t>鼓励住宿餐饮模式创新，大力发展特色、大众住宿餐饮，培育一批品牌连锁龙头企业，支持有条件的地区建设度假村、高星级酒店，满足消费升级需求。支持快餐早餐、休闲小吃等发展，鼓励建设深夜食堂、老年食堂、美食街区等。推动住餐业与文娱旅游业融合发展，纵深推进“诗画浙江·百县千碗”工程，实施“美食消费品浙里”等行动，支持各类渔家乐、农家乐发展。</w:t>
      </w:r>
      <w:r>
        <w:rPr>
          <w:bCs/>
          <w:szCs w:val="32"/>
        </w:rPr>
        <w:t>每年举办浙江省餐饮美食博览会和厨师节，支持餐饮企业参加全国各地餐饮美食博览会，鼓励各地举办美食节等活动。</w:t>
      </w:r>
      <w:r>
        <w:rPr>
          <w:szCs w:val="32"/>
        </w:rPr>
        <w:t>加快住宿餐饮企业数字化改造，引导住宿餐饮企业积极拓展线上业务，建设“网上餐厅”“网上宾馆”。倡导住宿餐饮绿色消费，鼓励企业自觉将厉行节约纳入消费全过程，减少餐厨垃圾，减少一次性用品使用。</w:t>
      </w:r>
    </w:p>
    <w:p>
      <w:pPr>
        <w:spacing w:line="590" w:lineRule="exact"/>
        <w:ind w:firstLine="643" w:firstLineChars="200"/>
        <w:outlineLvl w:val="2"/>
        <w:rPr>
          <w:b/>
          <w:bCs/>
          <w:szCs w:val="32"/>
        </w:rPr>
      </w:pPr>
      <w:bookmarkStart w:id="100" w:name="_Toc29418"/>
      <w:bookmarkStart w:id="101" w:name="_Toc29886"/>
      <w:r>
        <w:rPr>
          <w:b/>
          <w:bCs/>
          <w:szCs w:val="32"/>
        </w:rPr>
        <w:t>4.</w:t>
      </w:r>
      <w:r>
        <w:rPr>
          <w:rFonts w:hint="eastAsia"/>
          <w:b/>
          <w:bCs/>
          <w:szCs w:val="32"/>
        </w:rPr>
        <w:t xml:space="preserve"> </w:t>
      </w:r>
      <w:r>
        <w:rPr>
          <w:b/>
          <w:bCs/>
          <w:szCs w:val="32"/>
        </w:rPr>
        <w:t>促进家政行业规范发展</w:t>
      </w:r>
      <w:bookmarkEnd w:id="100"/>
      <w:bookmarkEnd w:id="101"/>
    </w:p>
    <w:p>
      <w:pPr>
        <w:spacing w:line="590" w:lineRule="exact"/>
        <w:ind w:firstLine="640" w:firstLineChars="200"/>
        <w:rPr>
          <w:bCs/>
          <w:szCs w:val="32"/>
        </w:rPr>
      </w:pPr>
      <w:r>
        <w:rPr>
          <w:bCs/>
          <w:szCs w:val="32"/>
        </w:rPr>
        <w:t>落实国家、省家政服务业提质扩容要求，发挥“领跑者”重点行动推进城市和家政扶贫城市牵引作用。充分利用省大数据平台，积极整合各部门数据资源，建设应用“浙家政”信用信息平台，全量归集全省家政企业、从业人员相关信息，探索建立家政企业、从业人员、消费者三方评价互动系统，并接入“浙里办”平台等赋能端口，为消费者查询家政企业和从业人员相关信息提供便捷服务。大力发展网上家政、社区家政、智慧家政，促进家政行业线上线下融合发展。加强家政龙头企业和特色品牌培育。定期举办浙江家政节，串联技能大赛、金牌家政和最美家政评比、品牌企业发布等内容。积极把浙江的优秀家政企业、先进服务理念、品牌优势项目推向长三角。加强各类家政服务规范和标准建设，加大家政行业新风尚的宣传，提高对家政从业人员的关注关心力度。推动出台《浙江省家政服务条例》，完善家政服务标准体系，提升家政从业人员素质，推广应用家政“安心码”、家政服务合同示范文本等相关内容。</w:t>
      </w:r>
    </w:p>
    <w:p>
      <w:pPr>
        <w:spacing w:line="590" w:lineRule="exact"/>
        <w:ind w:firstLine="643" w:firstLineChars="200"/>
        <w:outlineLvl w:val="2"/>
        <w:rPr>
          <w:b/>
          <w:bCs/>
          <w:szCs w:val="32"/>
        </w:rPr>
      </w:pPr>
      <w:bookmarkStart w:id="102" w:name="_Toc7142"/>
      <w:bookmarkStart w:id="103" w:name="_Toc25392"/>
      <w:r>
        <w:rPr>
          <w:b/>
          <w:bCs/>
          <w:szCs w:val="32"/>
        </w:rPr>
        <w:t>5.</w:t>
      </w:r>
      <w:r>
        <w:rPr>
          <w:rFonts w:hint="eastAsia"/>
          <w:b/>
          <w:bCs/>
          <w:szCs w:val="32"/>
        </w:rPr>
        <w:t xml:space="preserve"> </w:t>
      </w:r>
      <w:r>
        <w:rPr>
          <w:b/>
          <w:bCs/>
          <w:szCs w:val="32"/>
        </w:rPr>
        <w:t>支持特殊行业有序发展</w:t>
      </w:r>
      <w:bookmarkEnd w:id="102"/>
      <w:bookmarkEnd w:id="103"/>
    </w:p>
    <w:p>
      <w:pPr>
        <w:spacing w:line="590" w:lineRule="exact"/>
        <w:ind w:firstLine="640" w:firstLineChars="200"/>
        <w:rPr>
          <w:szCs w:val="32"/>
        </w:rPr>
      </w:pPr>
      <w:r>
        <w:rPr>
          <w:szCs w:val="32"/>
        </w:rPr>
        <w:t>建立完善单用途商业预付卡多部门联动监管机制，加强事前事中事后全过程监管，有效规范发卡销售行为，加强政策宣传，加大监督力度。支持报废车企业改造提升，鼓励报废机动车回收拆解市场化、专业化、集约化发展，推动完善报废机动车回收利用体系，提高回收利用效率和服务水平。加强诚信建设，培育拍卖企业品牌，优化拍卖服务，推动拍卖行业规范发展。优化特殊行业管理服务，开展“双随机、一公开”检查，按时依规办结受理许可、备案及变更事项、企业咨询、信息公开、投诉核查等工作。</w:t>
      </w:r>
    </w:p>
    <w:p>
      <w:pPr>
        <w:spacing w:line="590" w:lineRule="exact"/>
        <w:ind w:firstLine="640" w:firstLineChars="200"/>
        <w:outlineLvl w:val="1"/>
        <w:rPr>
          <w:rFonts w:eastAsia="楷体_GB2312"/>
          <w:szCs w:val="32"/>
        </w:rPr>
      </w:pPr>
      <w:bookmarkStart w:id="104" w:name="_Toc4995"/>
      <w:bookmarkStart w:id="105" w:name="_Toc16321"/>
      <w:r>
        <w:rPr>
          <w:rFonts w:eastAsia="楷体_GB2312"/>
          <w:szCs w:val="32"/>
        </w:rPr>
        <w:t>（五）强化数字创新赋能，发展数字生活新服务</w:t>
      </w:r>
      <w:bookmarkEnd w:id="104"/>
      <w:bookmarkEnd w:id="105"/>
    </w:p>
    <w:p>
      <w:pPr>
        <w:spacing w:line="590" w:lineRule="exact"/>
        <w:ind w:firstLine="643" w:firstLineChars="200"/>
        <w:outlineLvl w:val="2"/>
        <w:rPr>
          <w:b/>
          <w:bCs/>
          <w:szCs w:val="32"/>
        </w:rPr>
      </w:pPr>
      <w:bookmarkStart w:id="106" w:name="_Toc21458"/>
      <w:bookmarkStart w:id="107" w:name="_Toc13666"/>
      <w:r>
        <w:rPr>
          <w:b/>
          <w:bCs/>
          <w:szCs w:val="32"/>
        </w:rPr>
        <w:t>1.</w:t>
      </w:r>
      <w:r>
        <w:rPr>
          <w:rFonts w:hint="eastAsia"/>
          <w:b/>
          <w:bCs/>
          <w:szCs w:val="32"/>
        </w:rPr>
        <w:t xml:space="preserve"> </w:t>
      </w:r>
      <w:r>
        <w:rPr>
          <w:b/>
          <w:bCs/>
          <w:szCs w:val="32"/>
        </w:rPr>
        <w:t>建设新型智慧商圈</w:t>
      </w:r>
      <w:bookmarkEnd w:id="106"/>
      <w:bookmarkEnd w:id="107"/>
    </w:p>
    <w:p>
      <w:pPr>
        <w:spacing w:line="590" w:lineRule="exact"/>
        <w:ind w:firstLine="640" w:firstLineChars="200"/>
        <w:rPr>
          <w:szCs w:val="32"/>
        </w:rPr>
      </w:pPr>
      <w:r>
        <w:rPr>
          <w:szCs w:val="32"/>
        </w:rPr>
        <w:t>聚焦服务便利化、智慧化、人性化、特色化，推动新型智慧商圈建设，深度运用数字技术改造提升一批智慧商店、智慧商业综合体，推进智慧商务、智慧设施、智慧服务、智慧营销、智慧环境、智慧管理等场景应用创新，实现政府公共服务和商圈等场所消费服务有机融合，打造一批智慧化高品质消费集聚平台。鼓励商圈内各商家积极引入新技术、新模式，搭建消费新场景，提升消费者体验感、参与感。支持商圈运营管理方搭建商圈运营管理平台，支持搭建链接多街区、多商圈的智慧化服务平台，推动街区、商圈各类资源共享，便利消费。</w:t>
      </w:r>
    </w:p>
    <w:p>
      <w:pPr>
        <w:spacing w:line="590" w:lineRule="exact"/>
        <w:ind w:firstLine="643" w:firstLineChars="200"/>
        <w:outlineLvl w:val="2"/>
        <w:rPr>
          <w:b/>
          <w:bCs/>
          <w:szCs w:val="32"/>
        </w:rPr>
      </w:pPr>
      <w:bookmarkStart w:id="108" w:name="_Toc17536"/>
      <w:bookmarkStart w:id="109" w:name="_Toc1491"/>
      <w:r>
        <w:rPr>
          <w:b/>
          <w:bCs/>
          <w:szCs w:val="32"/>
        </w:rPr>
        <w:t>2.</w:t>
      </w:r>
      <w:r>
        <w:rPr>
          <w:rFonts w:hint="eastAsia"/>
          <w:b/>
          <w:bCs/>
          <w:szCs w:val="32"/>
        </w:rPr>
        <w:t xml:space="preserve"> </w:t>
      </w:r>
      <w:r>
        <w:rPr>
          <w:b/>
          <w:bCs/>
          <w:szCs w:val="32"/>
        </w:rPr>
        <w:t>打造数字生活新生态</w:t>
      </w:r>
      <w:bookmarkEnd w:id="108"/>
      <w:bookmarkEnd w:id="109"/>
    </w:p>
    <w:p>
      <w:pPr>
        <w:spacing w:line="590" w:lineRule="exact"/>
        <w:ind w:firstLine="640" w:firstLineChars="200"/>
        <w:rPr>
          <w:szCs w:val="32"/>
        </w:rPr>
      </w:pPr>
      <w:r>
        <w:rPr>
          <w:rFonts w:hAnsi="仿宋"/>
          <w:szCs w:val="32"/>
        </w:rPr>
        <w:t>推动</w:t>
      </w:r>
      <w:r>
        <w:rPr>
          <w:szCs w:val="32"/>
        </w:rPr>
        <w:t>“</w:t>
      </w:r>
      <w:r>
        <w:rPr>
          <w:rFonts w:hAnsi="仿宋"/>
          <w:szCs w:val="32"/>
        </w:rPr>
        <w:t>云上浙江</w:t>
      </w:r>
      <w:r>
        <w:rPr>
          <w:szCs w:val="32"/>
        </w:rPr>
        <w:t>”</w:t>
      </w:r>
      <w:r>
        <w:rPr>
          <w:rFonts w:hAnsi="仿宋"/>
          <w:szCs w:val="32"/>
        </w:rPr>
        <w:t>建设，深入实施</w:t>
      </w:r>
      <w:r>
        <w:rPr>
          <w:szCs w:val="32"/>
        </w:rPr>
        <w:t>“</w:t>
      </w:r>
      <w:r>
        <w:rPr>
          <w:rFonts w:hAnsi="仿宋"/>
          <w:szCs w:val="32"/>
        </w:rPr>
        <w:t>商贸企业上云</w:t>
      </w:r>
      <w:r>
        <w:rPr>
          <w:szCs w:val="32"/>
        </w:rPr>
        <w:t>”</w:t>
      </w:r>
      <w:r>
        <w:rPr>
          <w:rFonts w:hAnsi="仿宋"/>
          <w:szCs w:val="32"/>
        </w:rPr>
        <w:t>行动，形成生活服务业数字化产业链生态。支持搭建</w:t>
      </w:r>
      <w:r>
        <w:rPr>
          <w:szCs w:val="32"/>
        </w:rPr>
        <w:t>“</w:t>
      </w:r>
      <w:r>
        <w:rPr>
          <w:rFonts w:hAnsi="仿宋"/>
          <w:szCs w:val="32"/>
        </w:rPr>
        <w:t>互联网</w:t>
      </w:r>
      <w:r>
        <w:rPr>
          <w:szCs w:val="32"/>
        </w:rPr>
        <w:t>+</w:t>
      </w:r>
      <w:r>
        <w:rPr>
          <w:rFonts w:hAnsi="仿宋"/>
          <w:szCs w:val="32"/>
        </w:rPr>
        <w:t>服务</w:t>
      </w:r>
      <w:r>
        <w:rPr>
          <w:szCs w:val="32"/>
        </w:rPr>
        <w:t>”</w:t>
      </w:r>
      <w:r>
        <w:rPr>
          <w:rFonts w:hAnsi="仿宋"/>
          <w:szCs w:val="32"/>
        </w:rPr>
        <w:t>、电子商务公共服务平台，加快生活服务在线对接、线上线下深度融合，带动生活服务行业的全面数字化，构建</w:t>
      </w:r>
      <w:r>
        <w:rPr>
          <w:szCs w:val="32"/>
        </w:rPr>
        <w:t>“</w:t>
      </w:r>
      <w:r>
        <w:rPr>
          <w:rFonts w:hAnsi="仿宋"/>
          <w:szCs w:val="32"/>
        </w:rPr>
        <w:t>互联网</w:t>
      </w:r>
      <w:r>
        <w:rPr>
          <w:szCs w:val="32"/>
        </w:rPr>
        <w:t>+”</w:t>
      </w:r>
      <w:r>
        <w:rPr>
          <w:rFonts w:hAnsi="仿宋"/>
          <w:szCs w:val="32"/>
        </w:rPr>
        <w:t>新消费生态体系。大力支持线上教育、线上医疗、线上娱乐、线上旅游等新兴线上平台快速发展，支持企业加大线上服务产品开发，促进线上线下深度融合。进一步支持依托互联网的外卖配送、网约车、即时递送、住宿共享等新业态发展。加强商户上线的培训和对接，加强职业技能培训，提高生活服务从业人员的数字化技能，提升生活服务企业数字化转型能力。</w:t>
      </w:r>
    </w:p>
    <w:p>
      <w:pPr>
        <w:spacing w:line="590" w:lineRule="exact"/>
        <w:ind w:firstLine="643" w:firstLineChars="200"/>
        <w:outlineLvl w:val="2"/>
        <w:rPr>
          <w:b/>
          <w:bCs/>
          <w:szCs w:val="32"/>
        </w:rPr>
      </w:pPr>
      <w:bookmarkStart w:id="110" w:name="_Toc16839"/>
      <w:bookmarkStart w:id="111" w:name="_Toc11585"/>
      <w:r>
        <w:rPr>
          <w:b/>
          <w:bCs/>
          <w:szCs w:val="32"/>
        </w:rPr>
        <w:t>3.</w:t>
      </w:r>
      <w:r>
        <w:rPr>
          <w:rFonts w:hint="eastAsia"/>
          <w:b/>
          <w:bCs/>
          <w:szCs w:val="32"/>
        </w:rPr>
        <w:t xml:space="preserve"> </w:t>
      </w:r>
      <w:r>
        <w:rPr>
          <w:b/>
          <w:bCs/>
          <w:szCs w:val="32"/>
        </w:rPr>
        <w:t>拓展数字消费新场景</w:t>
      </w:r>
      <w:bookmarkEnd w:id="110"/>
      <w:bookmarkEnd w:id="111"/>
    </w:p>
    <w:p>
      <w:pPr>
        <w:spacing w:line="590" w:lineRule="exact"/>
        <w:ind w:firstLine="640" w:firstLineChars="200"/>
        <w:rPr>
          <w:szCs w:val="32"/>
        </w:rPr>
      </w:pPr>
      <w:r>
        <w:rPr>
          <w:szCs w:val="32"/>
        </w:rPr>
        <w:t>推进数字生活新服务重点平台培育，支持各类电商平台、智慧供应链平台发展，鼓励平台企业向线下延伸拓展，加快传统线下业态数字化改造和转型升级。鼓励传统商贸企业开展数字化、智慧化升级，运用互联网、大数据、人工智能等数字技术，全面改造业务流程</w:t>
      </w:r>
      <w:r>
        <w:rPr>
          <w:rFonts w:hAnsi="仿宋"/>
          <w:szCs w:val="32"/>
        </w:rPr>
        <w:t>，</w:t>
      </w:r>
      <w:r>
        <w:rPr>
          <w:szCs w:val="32"/>
        </w:rPr>
        <w:t>推动线上与线下、商品与服务的深度融合发展。鼓励商贸流通企业通过网络直播、VR在线、网上点单、物流配送等方式拓展业务。鼓励直播电商、网红经济等新业态新模式发展，带动相关产业共同提升</w:t>
      </w:r>
      <w:r>
        <w:rPr>
          <w:bCs/>
          <w:kern w:val="0"/>
          <w:szCs w:val="32"/>
        </w:rPr>
        <w:t>。</w:t>
      </w:r>
      <w:r>
        <w:rPr>
          <w:szCs w:val="32"/>
        </w:rPr>
        <w:t>聚焦公共服务数字化，通过数字市民中心、数字生活城市等形式，提供线上线下全域数字化的服务体验。</w:t>
      </w:r>
      <w:r>
        <w:rPr>
          <w:bCs/>
          <w:kern w:val="0"/>
          <w:szCs w:val="32"/>
        </w:rPr>
        <w:t>加快研发可穿戴设备、移动智能终端、智能家居、智能教学助手、智能学伴、医疗电子、医疗机器人等智能化产品。</w:t>
      </w:r>
    </w:p>
    <w:p>
      <w:pPr>
        <w:spacing w:line="590" w:lineRule="exact"/>
        <w:ind w:firstLine="643" w:firstLineChars="200"/>
        <w:outlineLvl w:val="2"/>
        <w:rPr>
          <w:b/>
          <w:bCs/>
          <w:szCs w:val="32"/>
        </w:rPr>
      </w:pPr>
      <w:bookmarkStart w:id="112" w:name="_Toc22465"/>
      <w:bookmarkStart w:id="113" w:name="_Toc15948"/>
      <w:r>
        <w:rPr>
          <w:b/>
          <w:bCs/>
          <w:szCs w:val="32"/>
        </w:rPr>
        <w:t>4.</w:t>
      </w:r>
      <w:r>
        <w:rPr>
          <w:rFonts w:hint="eastAsia"/>
          <w:b/>
          <w:bCs/>
          <w:szCs w:val="32"/>
        </w:rPr>
        <w:t xml:space="preserve"> </w:t>
      </w:r>
      <w:r>
        <w:rPr>
          <w:b/>
          <w:bCs/>
          <w:szCs w:val="32"/>
        </w:rPr>
        <w:t>开展商贸大数据服务</w:t>
      </w:r>
      <w:bookmarkEnd w:id="112"/>
      <w:bookmarkEnd w:id="113"/>
    </w:p>
    <w:p>
      <w:pPr>
        <w:spacing w:line="590" w:lineRule="exact"/>
        <w:ind w:firstLine="640" w:firstLineChars="200"/>
        <w:rPr>
          <w:bCs/>
          <w:kern w:val="0"/>
          <w:szCs w:val="32"/>
        </w:rPr>
      </w:pPr>
      <w:r>
        <w:rPr>
          <w:bCs/>
          <w:kern w:val="0"/>
          <w:szCs w:val="32"/>
        </w:rPr>
        <w:t>构建商贸大数据平台，加强消费品、工业品等交易信息和数据的汇集。推进大数据、云计算、人工智能、区块链等技术与商贸融合发展，加快区块链等技术在商品溯源、跨境汇款、供应链金融和电子票据等领域应用。紧扣商贸大数据的采集、加工、存储、分析、服务和云平台建设运营，拓展物联、数联、智联数字化应用场景。鼓励政府部门、平台、企业间商贸数据资源共享，探索数据流通规则制度，有效破除数据壁垒和“孤岛”，打通传输应用堵点。加强商贸大数据挖掘分析，利用大数据依法有序开展消费金融、供应链金融、小额贷款、精准营销等业务。开展大数据技术支撑和服务输出，巩固浙江作为全国商贸数据集散中心的定位，为其他省市提供大数据服务、发展咨询，提升我省在全国、全球的影响力。</w:t>
      </w:r>
    </w:p>
    <w:p>
      <w:pPr>
        <w:spacing w:line="590" w:lineRule="exact"/>
        <w:ind w:firstLine="643" w:firstLineChars="200"/>
        <w:outlineLvl w:val="2"/>
        <w:rPr>
          <w:b/>
          <w:bCs/>
          <w:szCs w:val="32"/>
        </w:rPr>
      </w:pPr>
      <w:bookmarkStart w:id="114" w:name="_Toc30256"/>
      <w:bookmarkStart w:id="115" w:name="_Toc834"/>
      <w:r>
        <w:rPr>
          <w:b/>
          <w:bCs/>
          <w:szCs w:val="32"/>
        </w:rPr>
        <w:t>5.</w:t>
      </w:r>
      <w:r>
        <w:rPr>
          <w:rFonts w:hint="eastAsia"/>
          <w:b/>
          <w:bCs/>
          <w:szCs w:val="32"/>
        </w:rPr>
        <w:t xml:space="preserve"> </w:t>
      </w:r>
      <w:r>
        <w:rPr>
          <w:b/>
          <w:bCs/>
          <w:szCs w:val="32"/>
        </w:rPr>
        <w:t>大力发展智慧物流</w:t>
      </w:r>
      <w:bookmarkEnd w:id="114"/>
      <w:bookmarkEnd w:id="115"/>
    </w:p>
    <w:p>
      <w:pPr>
        <w:spacing w:line="590" w:lineRule="exact"/>
        <w:ind w:firstLine="640" w:firstLineChars="200"/>
        <w:rPr>
          <w:szCs w:val="32"/>
        </w:rPr>
      </w:pPr>
      <w:r>
        <w:rPr>
          <w:rFonts w:hAnsi="仿宋"/>
          <w:szCs w:val="32"/>
        </w:rPr>
        <w:t>强化物流智慧化建设，推进设施联通、标准联接、信息联网、企业联盟、多式联运。</w:t>
      </w:r>
      <w:r>
        <w:rPr>
          <w:rFonts w:hAnsi="仿宋_GB2312"/>
          <w:szCs w:val="32"/>
        </w:rPr>
        <w:t>鼓励企业、行业、区域构建智慧物流平台，推动平台间实现信息共享和互联互通，提升物流资源利用效率。</w:t>
      </w:r>
      <w:r>
        <w:rPr>
          <w:szCs w:val="32"/>
        </w:rPr>
        <w:t>加快推广物联网、互联网、云计算、全球定位系统、移动通信、地理信息系统、电子标签等技术在物流配送中的应用，支持企业利用先进信息技术提高仓储、采购、运输、订单等环节的科学管理水平。支持物流企业应用智能化物流装备，鼓励有条件的物流枢纽建设全自动化码头、智能化仓储等现代物流设施，打通物流信息链，实现物流信息全程可追踪。</w:t>
      </w:r>
    </w:p>
    <w:p>
      <w:pPr>
        <w:spacing w:line="590" w:lineRule="exact"/>
        <w:ind w:firstLine="643" w:firstLineChars="200"/>
        <w:outlineLvl w:val="2"/>
        <w:rPr>
          <w:b/>
          <w:bCs/>
          <w:szCs w:val="32"/>
        </w:rPr>
      </w:pPr>
      <w:bookmarkStart w:id="116" w:name="_Toc6052"/>
      <w:bookmarkStart w:id="117" w:name="_Toc26280"/>
      <w:r>
        <w:rPr>
          <w:b/>
          <w:bCs/>
          <w:szCs w:val="32"/>
        </w:rPr>
        <w:t>6.</w:t>
      </w:r>
      <w:r>
        <w:rPr>
          <w:rFonts w:hint="eastAsia"/>
          <w:b/>
          <w:bCs/>
          <w:szCs w:val="32"/>
        </w:rPr>
        <w:t xml:space="preserve"> </w:t>
      </w:r>
      <w:r>
        <w:rPr>
          <w:b/>
          <w:bCs/>
          <w:szCs w:val="32"/>
        </w:rPr>
        <w:t>推进绿色流通体系建设</w:t>
      </w:r>
      <w:bookmarkEnd w:id="116"/>
      <w:bookmarkEnd w:id="117"/>
    </w:p>
    <w:p>
      <w:pPr>
        <w:spacing w:line="590" w:lineRule="exact"/>
        <w:ind w:firstLine="640" w:firstLineChars="200"/>
        <w:rPr>
          <w:szCs w:val="32"/>
        </w:rPr>
      </w:pPr>
      <w:r>
        <w:rPr>
          <w:szCs w:val="32"/>
        </w:rPr>
        <w:t>实施绿色商场创建工程，开展绿色管理、实施绿色服务、引导绿色消费。</w:t>
      </w:r>
      <w:r>
        <w:rPr>
          <w:rFonts w:hAnsi="仿宋_GB2312"/>
          <w:szCs w:val="32"/>
        </w:rPr>
        <w:t>推行产品全生命周期绿色管理和碳足迹评价，开展绿色供应链建设示范，引导和推动绿色产品标准、认证、标识体系贯彻实施，探索推进产品</w:t>
      </w:r>
      <w:r>
        <w:rPr>
          <w:szCs w:val="32"/>
        </w:rPr>
        <w:t>“</w:t>
      </w:r>
      <w:r>
        <w:rPr>
          <w:rFonts w:hAnsi="仿宋_GB2312"/>
          <w:szCs w:val="32"/>
        </w:rPr>
        <w:t>碳标签</w:t>
      </w:r>
      <w:r>
        <w:rPr>
          <w:szCs w:val="32"/>
        </w:rPr>
        <w:t>”</w:t>
      </w:r>
      <w:r>
        <w:rPr>
          <w:rFonts w:hAnsi="仿宋_GB2312"/>
          <w:szCs w:val="32"/>
        </w:rPr>
        <w:t>制度</w:t>
      </w:r>
      <w:r>
        <w:rPr>
          <w:szCs w:val="32"/>
        </w:rPr>
        <w:t>。健全二手商品流通网络，鼓励借助互联网等发展“收旧售新”“以旧换新”“二手置换”等。完善再生资源回收网络，将分拣中心、回收站点纳入民生公益设施建设，引导规模回收企业到社区、行政村设立回收站点。鼓励回收模式创新应用，推广“互联网+再生资源回收”模式，鼓励建立基于供应链的废旧资源回收利用平台。</w:t>
      </w:r>
    </w:p>
    <w:p>
      <w:pPr>
        <w:spacing w:line="590" w:lineRule="exact"/>
        <w:ind w:firstLine="640" w:firstLineChars="200"/>
        <w:outlineLvl w:val="1"/>
        <w:rPr>
          <w:rFonts w:eastAsia="楷体_GB2312"/>
          <w:szCs w:val="32"/>
        </w:rPr>
      </w:pPr>
      <w:bookmarkStart w:id="118" w:name="_Toc14397"/>
      <w:bookmarkStart w:id="119" w:name="_Toc329"/>
      <w:r>
        <w:rPr>
          <w:rFonts w:hAnsi="楷体" w:eastAsia="楷体_GB2312"/>
          <w:szCs w:val="32"/>
        </w:rPr>
        <w:t>（六）落实开放发展理念，拓展内外融合新局面</w:t>
      </w:r>
      <w:bookmarkEnd w:id="118"/>
      <w:bookmarkEnd w:id="119"/>
    </w:p>
    <w:p>
      <w:pPr>
        <w:spacing w:line="590" w:lineRule="exact"/>
        <w:ind w:firstLine="643" w:firstLineChars="200"/>
        <w:outlineLvl w:val="2"/>
        <w:rPr>
          <w:b/>
          <w:bCs/>
          <w:szCs w:val="32"/>
        </w:rPr>
      </w:pPr>
      <w:bookmarkStart w:id="120" w:name="_Toc5606"/>
      <w:bookmarkStart w:id="121" w:name="_Toc4089"/>
      <w:r>
        <w:rPr>
          <w:b/>
          <w:bCs/>
          <w:szCs w:val="32"/>
        </w:rPr>
        <w:t>1.</w:t>
      </w:r>
      <w:r>
        <w:rPr>
          <w:rFonts w:hint="eastAsia"/>
          <w:b/>
          <w:bCs/>
          <w:szCs w:val="32"/>
        </w:rPr>
        <w:t xml:space="preserve"> </w:t>
      </w:r>
      <w:r>
        <w:rPr>
          <w:b/>
          <w:bCs/>
          <w:szCs w:val="32"/>
        </w:rPr>
        <w:t>推进内外贸一体化建设</w:t>
      </w:r>
      <w:bookmarkEnd w:id="120"/>
      <w:bookmarkEnd w:id="121"/>
    </w:p>
    <w:p>
      <w:pPr>
        <w:spacing w:line="590" w:lineRule="exact"/>
        <w:ind w:firstLine="640" w:firstLineChars="200"/>
        <w:rPr>
          <w:szCs w:val="32"/>
        </w:rPr>
      </w:pPr>
      <w:r>
        <w:rPr>
          <w:szCs w:val="32"/>
        </w:rPr>
        <w:t>引导商贸流通企业“走出去”，通过新建、并购、参股、增资等方式，建立海外站、境外分销中心、展示中心、物流中心、公共海外仓等营销网络和物流服务网络。鼓励商贸企业加强与境外企业、消费品产地、专业协会等合作，构建牢固的全球供应链。支持省内领军企业、龙头企业开展跨境并购，增强国际供应链控制权。探索构建全开放式的进出口供应链平台，集成交易支付、金融服务、物流跟踪、智能仓储、产品溯源、线上通关等功能，形成一站式交易服务，吸引全球制造商、品牌商、采购商、物流商入驻，促成精准对接。</w:t>
      </w:r>
    </w:p>
    <w:p>
      <w:pPr>
        <w:spacing w:line="590" w:lineRule="exact"/>
        <w:ind w:firstLine="643" w:firstLineChars="200"/>
        <w:outlineLvl w:val="2"/>
        <w:rPr>
          <w:b/>
          <w:bCs/>
          <w:szCs w:val="32"/>
        </w:rPr>
      </w:pPr>
      <w:bookmarkStart w:id="122" w:name="_Toc29823"/>
      <w:bookmarkStart w:id="123" w:name="_Toc8218"/>
      <w:r>
        <w:rPr>
          <w:b/>
          <w:bCs/>
          <w:szCs w:val="32"/>
        </w:rPr>
        <w:t>2.</w:t>
      </w:r>
      <w:r>
        <w:rPr>
          <w:rFonts w:hint="eastAsia"/>
          <w:b/>
          <w:bCs/>
          <w:szCs w:val="32"/>
        </w:rPr>
        <w:t xml:space="preserve"> </w:t>
      </w:r>
      <w:r>
        <w:rPr>
          <w:b/>
          <w:bCs/>
          <w:szCs w:val="32"/>
        </w:rPr>
        <w:t>共建长三角</w:t>
      </w:r>
      <w:bookmarkEnd w:id="122"/>
      <w:r>
        <w:rPr>
          <w:b/>
          <w:bCs/>
          <w:szCs w:val="32"/>
        </w:rPr>
        <w:t>一体化大市场</w:t>
      </w:r>
      <w:bookmarkEnd w:id="123"/>
    </w:p>
    <w:p>
      <w:pPr>
        <w:spacing w:line="590" w:lineRule="exact"/>
        <w:ind w:firstLine="640" w:firstLineChars="200"/>
        <w:rPr>
          <w:szCs w:val="32"/>
        </w:rPr>
      </w:pPr>
      <w:r>
        <w:rPr>
          <w:szCs w:val="32"/>
        </w:rPr>
        <w:t>以长三角一体化战略为统领，与两省一市加强衔接，统筹规划流通基础设施布局，共建省际物流等产业合作园区，深化互联网平台与制造业集群等对接，推动跨地域跨行业商品市场互联互通、资源共享，构建长三角统一大市场。大力推进大湾区大花园大通道大都市</w:t>
      </w:r>
      <w:r>
        <w:rPr>
          <w:rFonts w:hint="eastAsia"/>
          <w:szCs w:val="32"/>
        </w:rPr>
        <w:t>区</w:t>
      </w:r>
      <w:r>
        <w:rPr>
          <w:szCs w:val="32"/>
        </w:rPr>
        <w:t>建设，不断扩充“一小时城市圈”，通过产业集群对接、产业园区共建、智库合作研究、人力资源交流等多种方式，与长三角其他省市在电子商务、旅游住餐、高品质消费等领域开展体系共建与市场共享。充分发挥我省在流通领域大数据平台优势，加强与两省一市的数据共享，深化大数据服务。</w:t>
      </w:r>
    </w:p>
    <w:p>
      <w:pPr>
        <w:spacing w:line="590" w:lineRule="exact"/>
        <w:ind w:firstLine="643" w:firstLineChars="200"/>
        <w:outlineLvl w:val="2"/>
        <w:rPr>
          <w:b/>
          <w:bCs/>
          <w:szCs w:val="32"/>
        </w:rPr>
      </w:pPr>
      <w:bookmarkStart w:id="124" w:name="_Toc4142"/>
      <w:bookmarkStart w:id="125" w:name="_Toc29527"/>
      <w:r>
        <w:rPr>
          <w:b/>
          <w:bCs/>
          <w:szCs w:val="32"/>
        </w:rPr>
        <w:t>3.</w:t>
      </w:r>
      <w:r>
        <w:rPr>
          <w:rFonts w:hint="eastAsia"/>
          <w:b/>
          <w:bCs/>
          <w:szCs w:val="32"/>
        </w:rPr>
        <w:t xml:space="preserve"> </w:t>
      </w:r>
      <w:r>
        <w:rPr>
          <w:b/>
          <w:bCs/>
          <w:szCs w:val="32"/>
        </w:rPr>
        <w:t>构建浙货行销网络体系</w:t>
      </w:r>
      <w:bookmarkEnd w:id="124"/>
      <w:bookmarkEnd w:id="125"/>
    </w:p>
    <w:p>
      <w:pPr>
        <w:spacing w:line="590" w:lineRule="exact"/>
        <w:ind w:firstLine="640" w:firstLineChars="200"/>
        <w:rPr>
          <w:kern w:val="0"/>
          <w:szCs w:val="32"/>
        </w:rPr>
      </w:pPr>
      <w:r>
        <w:rPr>
          <w:rFonts w:hAnsi="仿宋"/>
          <w:szCs w:val="32"/>
        </w:rPr>
        <w:t>深入实施</w:t>
      </w:r>
      <w:r>
        <w:rPr>
          <w:szCs w:val="32"/>
        </w:rPr>
        <w:t>“</w:t>
      </w:r>
      <w:r>
        <w:rPr>
          <w:rFonts w:hAnsi="仿宋"/>
          <w:szCs w:val="32"/>
        </w:rPr>
        <w:t>浙货行天下</w:t>
      </w:r>
      <w:r>
        <w:rPr>
          <w:szCs w:val="32"/>
        </w:rPr>
        <w:t>”</w:t>
      </w:r>
      <w:r>
        <w:rPr>
          <w:rFonts w:hAnsi="仿宋"/>
          <w:szCs w:val="32"/>
        </w:rPr>
        <w:t>工程，聚焦国内重点消费城市，开展浙货</w:t>
      </w:r>
      <w:r>
        <w:rPr>
          <w:szCs w:val="32"/>
        </w:rPr>
        <w:t>“</w:t>
      </w:r>
      <w:r>
        <w:rPr>
          <w:rFonts w:hAnsi="仿宋"/>
          <w:szCs w:val="32"/>
        </w:rPr>
        <w:t>北上</w:t>
      </w:r>
      <w:r>
        <w:rPr>
          <w:szCs w:val="32"/>
        </w:rPr>
        <w:t>”“</w:t>
      </w:r>
      <w:r>
        <w:rPr>
          <w:rFonts w:hAnsi="仿宋"/>
          <w:szCs w:val="32"/>
        </w:rPr>
        <w:t>南下</w:t>
      </w:r>
      <w:r>
        <w:rPr>
          <w:szCs w:val="32"/>
        </w:rPr>
        <w:t>”“</w:t>
      </w:r>
      <w:r>
        <w:rPr>
          <w:rFonts w:hAnsi="仿宋"/>
          <w:szCs w:val="32"/>
        </w:rPr>
        <w:t>东进</w:t>
      </w:r>
      <w:r>
        <w:rPr>
          <w:szCs w:val="32"/>
        </w:rPr>
        <w:t>”“</w:t>
      </w:r>
      <w:r>
        <w:rPr>
          <w:rFonts w:hAnsi="仿宋"/>
          <w:szCs w:val="32"/>
        </w:rPr>
        <w:t>西拓</w:t>
      </w:r>
      <w:r>
        <w:rPr>
          <w:szCs w:val="32"/>
        </w:rPr>
        <w:t>”</w:t>
      </w:r>
      <w:r>
        <w:rPr>
          <w:rFonts w:hAnsi="仿宋"/>
          <w:szCs w:val="32"/>
        </w:rPr>
        <w:t>拓市行动，搭建公共推介平台，</w:t>
      </w:r>
      <w:r>
        <w:rPr>
          <w:rFonts w:hAnsi="仿宋"/>
          <w:kern w:val="0"/>
          <w:szCs w:val="32"/>
        </w:rPr>
        <w:t>建立城市互助合作渠道，</w:t>
      </w:r>
      <w:r>
        <w:rPr>
          <w:rFonts w:hAnsi="仿宋"/>
          <w:szCs w:val="32"/>
        </w:rPr>
        <w:t>形成</w:t>
      </w:r>
      <w:r>
        <w:rPr>
          <w:szCs w:val="32"/>
        </w:rPr>
        <w:t>“</w:t>
      </w:r>
      <w:r>
        <w:rPr>
          <w:rFonts w:hAnsi="仿宋"/>
          <w:szCs w:val="32"/>
        </w:rPr>
        <w:t>品质浙货销全国</w:t>
      </w:r>
      <w:r>
        <w:rPr>
          <w:szCs w:val="32"/>
        </w:rPr>
        <w:t>”</w:t>
      </w:r>
      <w:r>
        <w:rPr>
          <w:rFonts w:hAnsi="仿宋"/>
          <w:szCs w:val="32"/>
        </w:rPr>
        <w:t>格局。</w:t>
      </w:r>
      <w:r>
        <w:rPr>
          <w:rFonts w:hAnsi="仿宋"/>
          <w:kern w:val="0"/>
          <w:szCs w:val="32"/>
        </w:rPr>
        <w:t>加大浙货产品知名品牌推广力度，</w:t>
      </w:r>
      <w:r>
        <w:rPr>
          <w:rFonts w:hAnsi="仿宋"/>
          <w:szCs w:val="32"/>
        </w:rPr>
        <w:t>深入挖掘企业品牌文化和名优产品，宣传</w:t>
      </w:r>
      <w:r>
        <w:rPr>
          <w:szCs w:val="32"/>
        </w:rPr>
        <w:t>“</w:t>
      </w:r>
      <w:r>
        <w:rPr>
          <w:rFonts w:hAnsi="仿宋"/>
          <w:szCs w:val="32"/>
        </w:rPr>
        <w:t>浙货</w:t>
      </w:r>
      <w:r>
        <w:rPr>
          <w:szCs w:val="32"/>
        </w:rPr>
        <w:t>”</w:t>
      </w:r>
      <w:r>
        <w:rPr>
          <w:rFonts w:hAnsi="仿宋"/>
          <w:szCs w:val="32"/>
        </w:rPr>
        <w:t>品质，推广</w:t>
      </w:r>
      <w:r>
        <w:rPr>
          <w:szCs w:val="32"/>
        </w:rPr>
        <w:t>“</w:t>
      </w:r>
      <w:r>
        <w:rPr>
          <w:rFonts w:hAnsi="仿宋"/>
          <w:szCs w:val="32"/>
        </w:rPr>
        <w:t>浙货</w:t>
      </w:r>
      <w:r>
        <w:rPr>
          <w:szCs w:val="32"/>
        </w:rPr>
        <w:t>”</w:t>
      </w:r>
      <w:r>
        <w:rPr>
          <w:rFonts w:hAnsi="仿宋"/>
          <w:szCs w:val="32"/>
        </w:rPr>
        <w:t>品牌。全面实施内外销产品</w:t>
      </w:r>
      <w:r>
        <w:rPr>
          <w:szCs w:val="32"/>
        </w:rPr>
        <w:t>“</w:t>
      </w:r>
      <w:r>
        <w:rPr>
          <w:rFonts w:hAnsi="仿宋"/>
          <w:szCs w:val="32"/>
        </w:rPr>
        <w:t>同线同标同质</w:t>
      </w:r>
      <w:r>
        <w:rPr>
          <w:szCs w:val="32"/>
        </w:rPr>
        <w:t>”</w:t>
      </w:r>
      <w:r>
        <w:rPr>
          <w:rFonts w:hAnsi="仿宋"/>
          <w:szCs w:val="32"/>
        </w:rPr>
        <w:t>行动，引导出口企业打造国内自有品牌。鼓励外贸加工制造企业通过自营、合作等方式增加国内市场优质商品供给。支持外贸企业多向拓市，完善出口转内销供应链体系，在省内开展外贸企业进社区、进步行街、进广场、进商场、进超市、进平台</w:t>
      </w:r>
      <w:r>
        <w:rPr>
          <w:rFonts w:hAnsi="仿宋"/>
          <w:spacing w:val="2"/>
          <w:szCs w:val="32"/>
        </w:rPr>
        <w:t>等</w:t>
      </w:r>
      <w:r>
        <w:rPr>
          <w:spacing w:val="2"/>
          <w:szCs w:val="32"/>
        </w:rPr>
        <w:t>“</w:t>
      </w:r>
      <w:r>
        <w:rPr>
          <w:rFonts w:hAnsi="仿宋"/>
          <w:spacing w:val="2"/>
          <w:szCs w:val="32"/>
        </w:rPr>
        <w:t>六进</w:t>
      </w:r>
      <w:r>
        <w:rPr>
          <w:spacing w:val="2"/>
          <w:szCs w:val="32"/>
        </w:rPr>
        <w:t>”</w:t>
      </w:r>
      <w:r>
        <w:rPr>
          <w:rFonts w:hAnsi="仿宋"/>
          <w:spacing w:val="2"/>
          <w:szCs w:val="32"/>
        </w:rPr>
        <w:t>活动。发挥电商平台优势，加强浙货行销网络体系的数字化建设，推动制造企业触网拓市，</w:t>
      </w:r>
      <w:r>
        <w:rPr>
          <w:rFonts w:hAnsi="仿宋"/>
          <w:spacing w:val="2"/>
          <w:kern w:val="0"/>
          <w:szCs w:val="32"/>
        </w:rPr>
        <w:t>积极推动传统贸易企业与电商平台</w:t>
      </w:r>
      <w:r>
        <w:rPr>
          <w:rFonts w:hAnsi="仿宋"/>
          <w:spacing w:val="2"/>
          <w:szCs w:val="32"/>
        </w:rPr>
        <w:t>对接，</w:t>
      </w:r>
      <w:r>
        <w:rPr>
          <w:rFonts w:hAnsi="仿宋"/>
          <w:spacing w:val="2"/>
          <w:kern w:val="0"/>
          <w:szCs w:val="32"/>
        </w:rPr>
        <w:t>设置产品专区。鼓励企业</w:t>
      </w:r>
      <w:r>
        <w:rPr>
          <w:rFonts w:hAnsi="仿宋"/>
          <w:spacing w:val="2"/>
          <w:szCs w:val="32"/>
        </w:rPr>
        <w:t>通过</w:t>
      </w:r>
      <w:r>
        <w:rPr>
          <w:spacing w:val="2"/>
          <w:szCs w:val="32"/>
        </w:rPr>
        <w:t>“</w:t>
      </w:r>
      <w:r>
        <w:rPr>
          <w:rFonts w:hAnsi="仿宋"/>
          <w:spacing w:val="2"/>
          <w:szCs w:val="32"/>
        </w:rPr>
        <w:t>电商</w:t>
      </w:r>
      <w:r>
        <w:rPr>
          <w:spacing w:val="2"/>
          <w:szCs w:val="32"/>
        </w:rPr>
        <w:t>+</w:t>
      </w:r>
      <w:r>
        <w:rPr>
          <w:rFonts w:hAnsi="仿宋"/>
          <w:spacing w:val="2"/>
          <w:szCs w:val="32"/>
        </w:rPr>
        <w:t>贸易</w:t>
      </w:r>
      <w:r>
        <w:rPr>
          <w:spacing w:val="2"/>
          <w:szCs w:val="32"/>
        </w:rPr>
        <w:t>”“</w:t>
      </w:r>
      <w:r>
        <w:rPr>
          <w:rFonts w:hAnsi="仿宋"/>
          <w:spacing w:val="2"/>
          <w:szCs w:val="32"/>
        </w:rPr>
        <w:t>直播</w:t>
      </w:r>
      <w:r>
        <w:rPr>
          <w:spacing w:val="2"/>
          <w:szCs w:val="32"/>
        </w:rPr>
        <w:t>+</w:t>
      </w:r>
      <w:r>
        <w:rPr>
          <w:rFonts w:hAnsi="仿宋"/>
          <w:spacing w:val="2"/>
          <w:szCs w:val="32"/>
        </w:rPr>
        <w:t>贸易</w:t>
      </w:r>
      <w:r>
        <w:rPr>
          <w:spacing w:val="2"/>
          <w:szCs w:val="32"/>
        </w:rPr>
        <w:t>”</w:t>
      </w:r>
      <w:r>
        <w:rPr>
          <w:rFonts w:hAnsi="仿宋"/>
          <w:spacing w:val="2"/>
          <w:szCs w:val="32"/>
        </w:rPr>
        <w:t>等手段，加快搭建连通传统制造型企业与消费端的零售体</w:t>
      </w:r>
      <w:r>
        <w:rPr>
          <w:rFonts w:hAnsi="仿宋"/>
          <w:spacing w:val="2"/>
          <w:kern w:val="0"/>
          <w:szCs w:val="32"/>
        </w:rPr>
        <w:t>系。</w:t>
      </w:r>
    </w:p>
    <w:p>
      <w:pPr>
        <w:spacing w:line="590" w:lineRule="exact"/>
        <w:ind w:firstLine="643" w:firstLineChars="200"/>
        <w:outlineLvl w:val="2"/>
        <w:rPr>
          <w:b/>
          <w:bCs/>
          <w:szCs w:val="32"/>
        </w:rPr>
      </w:pPr>
      <w:bookmarkStart w:id="126" w:name="_Toc1587"/>
      <w:bookmarkStart w:id="127" w:name="_Toc31776"/>
      <w:r>
        <w:rPr>
          <w:b/>
          <w:bCs/>
          <w:szCs w:val="32"/>
        </w:rPr>
        <w:t>4.</w:t>
      </w:r>
      <w:r>
        <w:rPr>
          <w:rFonts w:hint="eastAsia"/>
          <w:b/>
          <w:bCs/>
          <w:szCs w:val="32"/>
        </w:rPr>
        <w:t xml:space="preserve"> </w:t>
      </w:r>
      <w:r>
        <w:rPr>
          <w:b/>
          <w:bCs/>
          <w:szCs w:val="32"/>
        </w:rPr>
        <w:t>扩大优质消费品进口</w:t>
      </w:r>
      <w:bookmarkEnd w:id="126"/>
      <w:bookmarkEnd w:id="127"/>
    </w:p>
    <w:p>
      <w:pPr>
        <w:spacing w:line="590" w:lineRule="exact"/>
        <w:ind w:firstLine="640" w:firstLineChars="200"/>
        <w:rPr>
          <w:szCs w:val="32"/>
        </w:rPr>
      </w:pPr>
      <w:r>
        <w:rPr>
          <w:rFonts w:hAnsi="Calibri"/>
          <w:szCs w:val="32"/>
          <w:shd w:val="clear" w:color="auto" w:fill="FFFFFF"/>
          <w:lang w:bidi="ar"/>
        </w:rPr>
        <w:t>畅通国内国际市场渠道，率先开展双循环发展示范区建设，</w:t>
      </w:r>
      <w:r>
        <w:rPr>
          <w:rFonts w:hAnsi="Calibri"/>
          <w:szCs w:val="32"/>
        </w:rPr>
        <w:t>支持宁波、舟山、温州、义乌、青田等地建设进口商品超市，支持构建进口商品线上分销网络，</w:t>
      </w:r>
      <w:r>
        <w:rPr>
          <w:rFonts w:hAnsi="Calibri"/>
          <w:szCs w:val="32"/>
          <w:shd w:val="clear" w:color="auto" w:fill="FFFFFF"/>
          <w:lang w:bidi="ar"/>
        </w:rPr>
        <w:t>实现</w:t>
      </w:r>
      <w:r>
        <w:rPr>
          <w:szCs w:val="32"/>
          <w:shd w:val="clear" w:color="auto" w:fill="FFFFFF"/>
          <w:lang w:bidi="ar"/>
        </w:rPr>
        <w:t>“</w:t>
      </w:r>
      <w:r>
        <w:rPr>
          <w:rFonts w:hAnsi="Calibri"/>
          <w:szCs w:val="32"/>
          <w:shd w:val="clear" w:color="auto" w:fill="FFFFFF"/>
          <w:lang w:bidi="ar"/>
        </w:rPr>
        <w:t>买全球卖全球</w:t>
      </w:r>
      <w:r>
        <w:rPr>
          <w:szCs w:val="32"/>
          <w:shd w:val="clear" w:color="auto" w:fill="FFFFFF"/>
          <w:lang w:bidi="ar"/>
        </w:rPr>
        <w:t>”</w:t>
      </w:r>
      <w:r>
        <w:rPr>
          <w:rFonts w:hAnsi="Calibri"/>
          <w:szCs w:val="32"/>
          <w:shd w:val="clear" w:color="auto" w:fill="FFFFFF"/>
          <w:lang w:bidi="ar"/>
        </w:rPr>
        <w:t>。深入实施进口贸易促进创新示范区、重点进口平台建设，以平台经济理念推进进口政策、模式和业态创新。鼓励企业积极参与中国国际进口博览会，加强与国外优质消费品供应商的对接。</w:t>
      </w:r>
      <w:r>
        <w:rPr>
          <w:rFonts w:hAnsi="Calibri"/>
          <w:szCs w:val="32"/>
        </w:rPr>
        <w:t>以满足高品质、多元化消费需求为导向，加快发展跨境进口电商，扩大进口规模。加大对跨境电商拓市场支持力度，大力培育跨境电商平台和服务商，完善跨境电商供应链体系，进一步畅通国内国际双循环。争取新设跨境电商综试区纳入跨境电商进口政策试点，</w:t>
      </w:r>
      <w:r>
        <w:rPr>
          <w:rFonts w:hAnsi="Calibri"/>
          <w:szCs w:val="32"/>
          <w:shd w:val="clear" w:color="auto" w:fill="FFFFFF"/>
          <w:lang w:bidi="ar"/>
        </w:rPr>
        <w:t>完善省级进口贴息政策，落实好国家降低日用消费品进口关税等措施。</w:t>
      </w:r>
    </w:p>
    <w:p>
      <w:pPr>
        <w:spacing w:line="590" w:lineRule="exact"/>
        <w:ind w:firstLine="643" w:firstLineChars="200"/>
        <w:outlineLvl w:val="2"/>
        <w:rPr>
          <w:b/>
          <w:bCs/>
          <w:szCs w:val="32"/>
        </w:rPr>
      </w:pPr>
      <w:bookmarkStart w:id="128" w:name="_Toc8598"/>
      <w:bookmarkStart w:id="129" w:name="_Toc2810"/>
      <w:r>
        <w:rPr>
          <w:b/>
          <w:bCs/>
          <w:szCs w:val="32"/>
        </w:rPr>
        <w:t>5.</w:t>
      </w:r>
      <w:r>
        <w:rPr>
          <w:rFonts w:hint="eastAsia"/>
          <w:b/>
          <w:bCs/>
          <w:szCs w:val="32"/>
        </w:rPr>
        <w:t xml:space="preserve"> </w:t>
      </w:r>
      <w:r>
        <w:rPr>
          <w:b/>
          <w:bCs/>
          <w:szCs w:val="32"/>
        </w:rPr>
        <w:t>强化自贸区辐射引领</w:t>
      </w:r>
      <w:bookmarkEnd w:id="128"/>
      <w:bookmarkEnd w:id="129"/>
    </w:p>
    <w:p>
      <w:pPr>
        <w:spacing w:line="590" w:lineRule="exact"/>
        <w:ind w:firstLine="640" w:firstLineChars="200"/>
        <w:rPr>
          <w:szCs w:val="32"/>
          <w:shd w:val="clear" w:color="auto" w:fill="FFFFFF"/>
        </w:rPr>
      </w:pPr>
      <w:r>
        <w:rPr>
          <w:rFonts w:hAnsi="Calibri"/>
          <w:szCs w:val="32"/>
        </w:rPr>
        <w:t>探索实施自贸区首创性、差异化改革，</w:t>
      </w:r>
      <w:r>
        <w:rPr>
          <w:rFonts w:hAnsi="仿宋_GB2312"/>
          <w:szCs w:val="32"/>
        </w:rPr>
        <w:t>围绕打造以油气为核心的大宗商品全球资源配置基地、打造新型国际贸易中心、打造国际航运和物流枢纽、打造数字经济发展示范区，建立以投资贸易自由化便利化为核心的制度体系和现代化开放型经济体系，充分发挥自贸区的辐射引领作用。</w:t>
      </w:r>
      <w:r>
        <w:rPr>
          <w:bCs/>
          <w:szCs w:val="32"/>
        </w:rPr>
        <w:t>打造国际农产品、水产品加工贸易中心，推进以农产品为主导的大宗商品交易，服务长三角一体化和长江经济带发展，并逐步向内陆地区辐射。争取离境、离岛免税政策，</w:t>
      </w:r>
      <w:r>
        <w:rPr>
          <w:rFonts w:hAnsi="Calibri"/>
          <w:szCs w:val="32"/>
          <w:shd w:val="clear" w:color="auto" w:fill="FFFFFF"/>
        </w:rPr>
        <w:t>支持省内企业申请</w:t>
      </w:r>
      <w:r>
        <w:rPr>
          <w:rFonts w:hAnsi="仿宋"/>
          <w:szCs w:val="32"/>
        </w:rPr>
        <w:t>进口商品免税资质，</w:t>
      </w:r>
      <w:r>
        <w:rPr>
          <w:bCs/>
          <w:szCs w:val="32"/>
        </w:rPr>
        <w:t>鼓励自贸区及联动创新区创建离境退税示范街区，</w:t>
      </w:r>
      <w:r>
        <w:rPr>
          <w:rFonts w:hAnsi="Calibri"/>
          <w:szCs w:val="32"/>
          <w:shd w:val="clear" w:color="auto" w:fill="FFFFFF"/>
        </w:rPr>
        <w:t>推进重点商圈离境退税商店全覆盖。</w:t>
      </w:r>
      <w:r>
        <w:rPr>
          <w:bCs/>
          <w:szCs w:val="32"/>
        </w:rPr>
        <w:t>探索多种退税渠道和手段，</w:t>
      </w:r>
      <w:r>
        <w:rPr>
          <w:rFonts w:hAnsi="Calibri"/>
          <w:szCs w:val="32"/>
          <w:shd w:val="clear" w:color="auto" w:fill="FFFFFF"/>
        </w:rPr>
        <w:t>简化退税手续，优化退税流程，实施即买即退，改善入境旅游与购物环境。</w:t>
      </w:r>
    </w:p>
    <w:p>
      <w:pPr>
        <w:spacing w:line="590" w:lineRule="exact"/>
        <w:ind w:firstLine="640" w:firstLineChars="200"/>
        <w:outlineLvl w:val="1"/>
        <w:rPr>
          <w:rFonts w:eastAsia="楷体_GB2312"/>
          <w:szCs w:val="32"/>
        </w:rPr>
      </w:pPr>
      <w:bookmarkStart w:id="130" w:name="_Toc30540"/>
      <w:bookmarkStart w:id="131" w:name="_Toc9845"/>
      <w:r>
        <w:rPr>
          <w:rFonts w:eastAsia="楷体_GB2312"/>
          <w:szCs w:val="32"/>
        </w:rPr>
        <w:t>（七）提升市场治理水平，构筑平稳有序新保障</w:t>
      </w:r>
      <w:bookmarkEnd w:id="130"/>
      <w:bookmarkEnd w:id="131"/>
    </w:p>
    <w:p>
      <w:pPr>
        <w:spacing w:line="590" w:lineRule="exact"/>
        <w:ind w:firstLine="643" w:firstLineChars="200"/>
        <w:outlineLvl w:val="2"/>
        <w:rPr>
          <w:b/>
          <w:bCs/>
          <w:szCs w:val="32"/>
        </w:rPr>
      </w:pPr>
      <w:bookmarkStart w:id="132" w:name="_Toc29924"/>
      <w:bookmarkStart w:id="133" w:name="_Toc23025"/>
      <w:r>
        <w:rPr>
          <w:b/>
          <w:bCs/>
          <w:szCs w:val="32"/>
        </w:rPr>
        <w:t>1.</w:t>
      </w:r>
      <w:r>
        <w:rPr>
          <w:rFonts w:hint="eastAsia"/>
          <w:b/>
          <w:bCs/>
          <w:szCs w:val="32"/>
        </w:rPr>
        <w:t xml:space="preserve"> </w:t>
      </w:r>
      <w:r>
        <w:rPr>
          <w:b/>
          <w:bCs/>
          <w:szCs w:val="32"/>
        </w:rPr>
        <w:t>提升市场综合治理服务水平</w:t>
      </w:r>
      <w:bookmarkEnd w:id="132"/>
      <w:bookmarkEnd w:id="133"/>
    </w:p>
    <w:p>
      <w:pPr>
        <w:spacing w:line="590" w:lineRule="exact"/>
        <w:ind w:firstLine="640" w:firstLineChars="200"/>
        <w:rPr>
          <w:szCs w:val="32"/>
        </w:rPr>
      </w:pPr>
      <w:r>
        <w:rPr>
          <w:szCs w:val="32"/>
        </w:rPr>
        <w:t>以数字化改革为引领，按照“整体智治、唯实惟先”的理念，统筹推动流通市场治理的数字技术应用和制度创新，高质量推进掌上办事、掌上办公。大力规范市场秩序，形成覆盖准入、监管、退出的全程管理机制。建立健全肉类、水产品、蔬菜、水果、酒类、中药材、农资等商品追溯体系，加强进口产品安全追溯体系建设。深化“放心消费在浙江”行动，加大对不正当竞争、侵犯知识产权、非法代购等行为的惩治力度。加大流通领域商品质量监督检查力度，重点加强互联网平台经济领域消费者权益保护，引导平台建立争议在线解决机制，改进监管手段和检验检测技术条件。健全商贸流通领域标准体系，强化标准应用实施与评价，发挥标准在降本增效、改善市场秩序、加强行业自律等方面的积极作用。强化部门执法协作，加强商务、市场监管、公安等部门监管执法工作的沟通。</w:t>
      </w:r>
    </w:p>
    <w:p>
      <w:pPr>
        <w:spacing w:line="590" w:lineRule="exact"/>
        <w:ind w:firstLine="643" w:firstLineChars="200"/>
        <w:outlineLvl w:val="2"/>
        <w:rPr>
          <w:b/>
          <w:bCs/>
          <w:szCs w:val="32"/>
        </w:rPr>
      </w:pPr>
      <w:bookmarkStart w:id="134" w:name="_Toc25509"/>
      <w:bookmarkStart w:id="135" w:name="_Toc19689"/>
      <w:r>
        <w:rPr>
          <w:b/>
          <w:bCs/>
          <w:szCs w:val="32"/>
        </w:rPr>
        <w:t>2.</w:t>
      </w:r>
      <w:r>
        <w:rPr>
          <w:rFonts w:hint="eastAsia"/>
          <w:b/>
          <w:bCs/>
          <w:szCs w:val="32"/>
        </w:rPr>
        <w:t xml:space="preserve"> </w:t>
      </w:r>
      <w:r>
        <w:rPr>
          <w:b/>
          <w:bCs/>
          <w:szCs w:val="32"/>
        </w:rPr>
        <w:t>加强商务领域信用体系建设</w:t>
      </w:r>
      <w:bookmarkEnd w:id="134"/>
      <w:bookmarkEnd w:id="135"/>
    </w:p>
    <w:p>
      <w:pPr>
        <w:spacing w:line="590" w:lineRule="exact"/>
        <w:ind w:firstLine="640" w:firstLineChars="200"/>
        <w:rPr>
          <w:szCs w:val="32"/>
        </w:rPr>
      </w:pPr>
      <w:r>
        <w:rPr>
          <w:szCs w:val="32"/>
        </w:rPr>
        <w:t>进一步完善信用信息采集、利用、查询、披露等制度，推动行业管理部门、行业组织和征信机构、银行业金融机构等信息共享，构建以信用监管为基础的新型监管模式。进一步加强电子商务领域信用体系建设，探索开展企业信用风险分类管理，建立经营主体信用评价指数。切实落实经营者主体责任，强化信用监管，建立健全守信激励和失信惩戒机制。完善个人信息保护制度和消费后评价制度，打击网络刷单炒信、跨境网络赌博、电信网络诈骗等黑灰产业链。推进长三角信用一体化，建设长三角公共信用信息共享平台，推动诚信记录共享共用，建立重点领域跨区域联合奖惩机制。推动信用服务领域供给侧改革，培育一批专业化、特色化信用骨干服务机构，支持推动商贸领域龙头企业列入“雄鹰行动”予以培育。</w:t>
      </w:r>
    </w:p>
    <w:p>
      <w:pPr>
        <w:spacing w:line="590" w:lineRule="exact"/>
        <w:ind w:firstLine="643" w:firstLineChars="200"/>
        <w:outlineLvl w:val="2"/>
        <w:rPr>
          <w:b/>
          <w:bCs/>
          <w:szCs w:val="32"/>
        </w:rPr>
      </w:pPr>
      <w:bookmarkStart w:id="136" w:name="_Toc23232"/>
      <w:bookmarkStart w:id="137" w:name="_Toc18719"/>
      <w:r>
        <w:rPr>
          <w:b/>
          <w:bCs/>
          <w:szCs w:val="32"/>
        </w:rPr>
        <w:t>3.</w:t>
      </w:r>
      <w:r>
        <w:rPr>
          <w:rFonts w:hint="eastAsia"/>
          <w:b/>
          <w:bCs/>
          <w:szCs w:val="32"/>
        </w:rPr>
        <w:t xml:space="preserve"> </w:t>
      </w:r>
      <w:r>
        <w:rPr>
          <w:b/>
          <w:bCs/>
          <w:szCs w:val="32"/>
        </w:rPr>
        <w:t>搭建应急保供联动机制</w:t>
      </w:r>
      <w:bookmarkEnd w:id="136"/>
      <w:bookmarkEnd w:id="137"/>
    </w:p>
    <w:p>
      <w:pPr>
        <w:spacing w:line="590" w:lineRule="exact"/>
        <w:ind w:firstLine="640" w:firstLineChars="200"/>
        <w:rPr>
          <w:szCs w:val="32"/>
        </w:rPr>
      </w:pPr>
      <w:r>
        <w:rPr>
          <w:szCs w:val="32"/>
        </w:rPr>
        <w:t>建立省级必需品应急保供协调小组，建立完善联合监测预警、信息共享等工作制度，构建省、市、县三级协同的必需品储备体系。加强政企协调联动，共同保障生活必需品的生产、储备、调运和投放工作。针对性编制各类突发事件的必需品应急保供工作指南，对突发事件进行分级分类，明确省市县政府、企业以及民众等参与主体责任。探索建立生活必需品名录库动态管理机制，形成全省统一的生活必需品名称标准。做好应急物资日常储备，选择一批省内大型连锁企业、电商平台和公益性农贸市场作为生活必需品终端供给主体。探索建立以大型商超为主体的生活必需品储备投放点，以满足紧急投放需要。鼓励个人适当储备应急用品。加强应急保供体系日常演练，构建必需品应急投放网络，绘制调运流程图，确保紧急条件下的物资配送效率。建设浙江省生活必需品市场保供稳价数字化监测平台，与各类突发事件指挥平台或应急物资管理平台实现对接，强化日常监测、预警，保障市场有序供应。完善应急运力储备，组建专业化应急物流队伍，推动应急物流车辆跨区域互认，建立储备充足、反应迅速、抗冲击能力强的应急物流体系。</w:t>
      </w:r>
    </w:p>
    <w:p>
      <w:pPr>
        <w:spacing w:line="590" w:lineRule="exact"/>
        <w:ind w:firstLine="643" w:firstLineChars="200"/>
        <w:outlineLvl w:val="2"/>
        <w:rPr>
          <w:b/>
          <w:bCs/>
          <w:szCs w:val="32"/>
        </w:rPr>
      </w:pPr>
      <w:bookmarkStart w:id="138" w:name="_Toc30394"/>
      <w:bookmarkStart w:id="139" w:name="_Toc9115"/>
      <w:r>
        <w:rPr>
          <w:b/>
          <w:bCs/>
          <w:szCs w:val="32"/>
        </w:rPr>
        <w:t>4.</w:t>
      </w:r>
      <w:r>
        <w:rPr>
          <w:rFonts w:hint="eastAsia"/>
          <w:b/>
          <w:bCs/>
          <w:szCs w:val="32"/>
        </w:rPr>
        <w:t xml:space="preserve"> </w:t>
      </w:r>
      <w:r>
        <w:rPr>
          <w:b/>
          <w:bCs/>
          <w:szCs w:val="32"/>
        </w:rPr>
        <w:t>改革商贸统计监测体系</w:t>
      </w:r>
      <w:bookmarkEnd w:id="138"/>
      <w:bookmarkEnd w:id="139"/>
    </w:p>
    <w:p>
      <w:pPr>
        <w:spacing w:line="590" w:lineRule="exact"/>
        <w:ind w:firstLine="640" w:firstLineChars="200"/>
        <w:rPr>
          <w:szCs w:val="32"/>
        </w:rPr>
      </w:pPr>
      <w:r>
        <w:rPr>
          <w:szCs w:val="32"/>
        </w:rPr>
        <w:t>推进商贸流通和消费领域统计现代化改革，探索建立与商业变革相适应的新型消费统计监测指标体系。整合数据信息资源，加强数据共享，探索建设商贸大数据综合平台，形成全省商贸经济运行的基础数据库。</w:t>
      </w:r>
      <w:r>
        <w:rPr>
          <w:rFonts w:hAnsi="Calibri"/>
          <w:szCs w:val="32"/>
        </w:rPr>
        <w:t>完善消费统计监测制度，开展服务消费统计试点，加强对网络零售、商贸综合体、直播电商、网红经济、夜间经济等新业态新模式以及数字化新产品、新内容的统计，构建多维度、多指标的消费统计监测体系。聚合各类平台、企业消费数据，强化大数据比对分析，探索建立消费市场景气指数及重点消费领域专项指数，多维度反映消费现状和发展趋势。探索对连锁企业的统计创新，</w:t>
      </w:r>
      <w:r>
        <w:rPr>
          <w:szCs w:val="32"/>
        </w:rPr>
        <w:t>确保数据真实反映本地情况。探索建立以商贸综合体运营方为主导的商贸综合体整体出报制度。</w:t>
      </w:r>
    </w:p>
    <w:p>
      <w:pPr>
        <w:spacing w:line="590" w:lineRule="exact"/>
        <w:ind w:firstLine="643" w:firstLineChars="200"/>
        <w:outlineLvl w:val="2"/>
        <w:rPr>
          <w:b/>
          <w:bCs/>
          <w:szCs w:val="32"/>
        </w:rPr>
      </w:pPr>
      <w:bookmarkStart w:id="140" w:name="_Toc21247"/>
      <w:bookmarkStart w:id="141" w:name="_Toc9498"/>
      <w:r>
        <w:rPr>
          <w:b/>
          <w:bCs/>
          <w:szCs w:val="32"/>
        </w:rPr>
        <w:t>5.</w:t>
      </w:r>
      <w:r>
        <w:rPr>
          <w:rFonts w:hint="eastAsia"/>
          <w:b/>
          <w:bCs/>
          <w:szCs w:val="32"/>
        </w:rPr>
        <w:t xml:space="preserve"> </w:t>
      </w:r>
      <w:r>
        <w:rPr>
          <w:b/>
          <w:bCs/>
          <w:szCs w:val="32"/>
        </w:rPr>
        <w:t>弘扬浙江商业文化</w:t>
      </w:r>
      <w:bookmarkEnd w:id="140"/>
      <w:bookmarkEnd w:id="141"/>
    </w:p>
    <w:p>
      <w:pPr>
        <w:spacing w:line="590" w:lineRule="exact"/>
        <w:ind w:firstLine="640" w:firstLineChars="200"/>
        <w:rPr>
          <w:szCs w:val="32"/>
        </w:rPr>
      </w:pPr>
      <w:r>
        <w:rPr>
          <w:szCs w:val="32"/>
        </w:rPr>
        <w:t>加强浙江商业文化研究，支持社会各界深入挖掘具有地方特色的商业文化，进一步丰富浙江商业文化内涵。推动传播模式创新，大力弘扬“唯实惟先、开放大气、重诺守信”的浙江商业文化。充分利用浙江数字技术发展优势，着力打造商业文化传播新平台，通过传播理念、表达方式、话语体系、技术手段等全方位创新，提升新媒体平台圈粉能力。鼓励浙江商业文化产品、内容创作，支持通过数字阅读、动漫游戏、短视频、网络文学、在线演艺等基于互联网的新业态传播浙江商业文化，增强代入感。深入挖掘浙江老字号、历史典故的当代价值，推动传统商业文化扬弃继承、转化创新、丰富再造。加强各类行业协会建设，支持协会通过举办论坛、对话、培训、宣传、会展等形式，扩大商业文化传播面。</w:t>
      </w:r>
    </w:p>
    <w:p>
      <w:pPr>
        <w:spacing w:line="590" w:lineRule="exact"/>
        <w:ind w:firstLine="640" w:firstLineChars="200"/>
        <w:outlineLvl w:val="0"/>
        <w:rPr>
          <w:rFonts w:eastAsia="黑体"/>
          <w:szCs w:val="32"/>
        </w:rPr>
      </w:pPr>
      <w:bookmarkStart w:id="142" w:name="_Toc17340"/>
      <w:bookmarkStart w:id="143" w:name="_Toc16516"/>
      <w:r>
        <w:rPr>
          <w:rFonts w:eastAsia="黑体"/>
          <w:szCs w:val="32"/>
        </w:rPr>
        <w:t>四、保障措施</w:t>
      </w:r>
      <w:bookmarkEnd w:id="142"/>
      <w:bookmarkEnd w:id="143"/>
    </w:p>
    <w:p>
      <w:pPr>
        <w:spacing w:line="590" w:lineRule="exact"/>
        <w:ind w:firstLine="640" w:firstLineChars="200"/>
        <w:outlineLvl w:val="1"/>
        <w:rPr>
          <w:rFonts w:eastAsia="楷体_GB2312"/>
          <w:szCs w:val="32"/>
        </w:rPr>
      </w:pPr>
      <w:bookmarkStart w:id="144" w:name="_Toc636"/>
      <w:bookmarkStart w:id="145" w:name="_Toc12886"/>
      <w:r>
        <w:rPr>
          <w:rFonts w:eastAsia="楷体_GB2312"/>
          <w:szCs w:val="32"/>
        </w:rPr>
        <w:t>（一）强化组织领导</w:t>
      </w:r>
      <w:bookmarkEnd w:id="144"/>
      <w:bookmarkEnd w:id="145"/>
    </w:p>
    <w:p>
      <w:pPr>
        <w:spacing w:line="590" w:lineRule="exact"/>
        <w:ind w:firstLine="640" w:firstLineChars="200"/>
        <w:rPr>
          <w:szCs w:val="32"/>
        </w:rPr>
      </w:pPr>
      <w:bookmarkStart w:id="146" w:name="_Toc10817"/>
      <w:r>
        <w:rPr>
          <w:szCs w:val="32"/>
        </w:rPr>
        <w:t>各级政府和商务主管部门要认真贯彻落实中央和省、市委关于国内贸易流通发展工作的有关精神，切实按照规划部署，统一思想、提高认识，明确要求、突出重点，加强领导、精心组织，全面有序推进具体工作。切实发挥工作专班的作用，加强规划的组织落实，采取有效措施，推进各项任务的扎实完成。促进各类规划有效衔接，注重短期政策与长期政策配合，强化规划情况的动态跟踪分析，加强监督检查。</w:t>
      </w:r>
      <w:bookmarkEnd w:id="146"/>
    </w:p>
    <w:p>
      <w:pPr>
        <w:spacing w:line="590" w:lineRule="exact"/>
        <w:ind w:firstLine="640" w:firstLineChars="200"/>
        <w:outlineLvl w:val="1"/>
        <w:rPr>
          <w:rFonts w:eastAsia="楷体_GB2312"/>
          <w:szCs w:val="32"/>
        </w:rPr>
      </w:pPr>
      <w:bookmarkStart w:id="147" w:name="_Toc533"/>
      <w:bookmarkStart w:id="148" w:name="_Toc10652"/>
      <w:r>
        <w:rPr>
          <w:rFonts w:eastAsia="楷体_GB2312"/>
          <w:szCs w:val="32"/>
        </w:rPr>
        <w:t>（二）改革体制机制</w:t>
      </w:r>
      <w:bookmarkEnd w:id="147"/>
      <w:bookmarkEnd w:id="148"/>
    </w:p>
    <w:p>
      <w:pPr>
        <w:spacing w:line="590" w:lineRule="exact"/>
        <w:ind w:firstLine="640" w:firstLineChars="200"/>
        <w:rPr>
          <w:szCs w:val="32"/>
        </w:rPr>
      </w:pPr>
      <w:bookmarkStart w:id="149" w:name="_Toc23462"/>
      <w:r>
        <w:rPr>
          <w:szCs w:val="32"/>
        </w:rPr>
        <w:t>支持各地先行先试，整合各级政府部门内贸管理职能，突出社会管理和公共服务，建立责任明确、协同高效的部门协作机制，强化政策制定、执行与监督相互衔接。深化流通领域改革开放，消除内外贸相互分割的制度障碍，培育统一的流通体系和市场环境，加快推进大流通、大市场建设，</w:t>
      </w:r>
      <w:bookmarkEnd w:id="149"/>
      <w:bookmarkStart w:id="150" w:name="_Toc123"/>
      <w:r>
        <w:rPr>
          <w:szCs w:val="32"/>
        </w:rPr>
        <w:t>促进内外贸业务交叉融合、内外贸商品自由流通、内外贸管理体系和谐统一。</w:t>
      </w:r>
    </w:p>
    <w:p>
      <w:pPr>
        <w:spacing w:line="590" w:lineRule="exact"/>
        <w:ind w:firstLine="640" w:firstLineChars="200"/>
        <w:outlineLvl w:val="1"/>
        <w:rPr>
          <w:rFonts w:eastAsia="楷体_GB2312"/>
          <w:szCs w:val="32"/>
        </w:rPr>
      </w:pPr>
      <w:bookmarkStart w:id="151" w:name="_Toc21193"/>
      <w:r>
        <w:rPr>
          <w:rFonts w:eastAsia="楷体_GB2312"/>
          <w:szCs w:val="32"/>
        </w:rPr>
        <w:t>（三）放宽市场管制</w:t>
      </w:r>
      <w:bookmarkEnd w:id="150"/>
      <w:bookmarkEnd w:id="151"/>
    </w:p>
    <w:p>
      <w:pPr>
        <w:spacing w:line="590" w:lineRule="exact"/>
        <w:ind w:firstLine="640" w:firstLineChars="200"/>
        <w:rPr>
          <w:szCs w:val="32"/>
        </w:rPr>
      </w:pPr>
      <w:bookmarkStart w:id="152" w:name="_Toc16212"/>
      <w:r>
        <w:rPr>
          <w:szCs w:val="32"/>
        </w:rPr>
        <w:t>深化“最多跑一次”改革，进一步优化资源配置和制度环境。</w:t>
      </w:r>
      <w:r>
        <w:rPr>
          <w:spacing w:val="-4"/>
          <w:szCs w:val="32"/>
        </w:rPr>
        <w:t>坚持鼓励创新和包容审慎的原则，采取既具弹性又规范的市场准入监管，简化各类行政审批事项，破除影响新技术、新产品、新业态发展的制度障碍。落实好“一照多址”“一证多址”“证照分离”等商事制度改革。合理利用城乡公共空间，适度放开外摆摊、户外促销活动等限制，满足城乡居民日常生活和小额经营活动需求。</w:t>
      </w:r>
      <w:bookmarkEnd w:id="152"/>
    </w:p>
    <w:p>
      <w:pPr>
        <w:spacing w:line="590" w:lineRule="exact"/>
        <w:ind w:firstLine="640" w:firstLineChars="200"/>
        <w:outlineLvl w:val="1"/>
        <w:rPr>
          <w:rFonts w:eastAsia="楷体_GB2312"/>
          <w:szCs w:val="32"/>
        </w:rPr>
      </w:pPr>
      <w:bookmarkStart w:id="153" w:name="_Toc29933"/>
      <w:bookmarkStart w:id="154" w:name="_Toc2746"/>
      <w:r>
        <w:rPr>
          <w:rFonts w:eastAsia="楷体_GB2312"/>
          <w:szCs w:val="32"/>
        </w:rPr>
        <w:t>（四）加大政策支持</w:t>
      </w:r>
      <w:bookmarkEnd w:id="153"/>
      <w:bookmarkEnd w:id="154"/>
    </w:p>
    <w:p>
      <w:pPr>
        <w:spacing w:line="590" w:lineRule="exact"/>
        <w:ind w:firstLine="640" w:firstLineChars="200"/>
        <w:rPr>
          <w:szCs w:val="32"/>
        </w:rPr>
      </w:pPr>
      <w:r>
        <w:rPr>
          <w:szCs w:val="32"/>
        </w:rPr>
        <w:t>发挥中央和省级财政资金的促进作用，加大对内贸主体和基础设施建设的财政金融支持。优化商贸发展扶持专项资金项目配置，重点支持商贸流通关键领域、薄弱环节，完善公益性流通设施投入长效机制。保障重要商品储备库、新型农村流通主体、新建社区商业、智慧物流、再生资源回收等设施用地需求。鼓励金融机构加大产品和服务创新，拓宽融资渠道，不断加强商贸流通企业的金融保障。</w:t>
      </w:r>
    </w:p>
    <w:p>
      <w:pPr>
        <w:spacing w:line="590" w:lineRule="exact"/>
        <w:ind w:firstLine="640" w:firstLineChars="200"/>
        <w:outlineLvl w:val="1"/>
        <w:rPr>
          <w:rFonts w:eastAsia="楷体_GB2312"/>
          <w:szCs w:val="32"/>
        </w:rPr>
      </w:pPr>
      <w:bookmarkStart w:id="155" w:name="_Toc26414"/>
      <w:bookmarkStart w:id="156" w:name="_Toc20259"/>
      <w:r>
        <w:rPr>
          <w:rFonts w:eastAsia="楷体_GB2312"/>
          <w:szCs w:val="32"/>
        </w:rPr>
        <w:t>（五）落实执行考核</w:t>
      </w:r>
      <w:bookmarkEnd w:id="155"/>
      <w:bookmarkEnd w:id="156"/>
    </w:p>
    <w:p>
      <w:pPr>
        <w:spacing w:line="590" w:lineRule="exact"/>
        <w:ind w:firstLine="640" w:firstLineChars="200"/>
        <w:rPr>
          <w:szCs w:val="32"/>
        </w:rPr>
      </w:pPr>
      <w:r>
        <w:rPr>
          <w:szCs w:val="32"/>
        </w:rPr>
        <w:t>充分发挥执行考核的导向作用，加强规划执行监督管理，有力推进执行工作，切实提升执行质效。明确计划安排，对基础设施建设、民生工程等，明确资金用途，重点跟踪督查执行情况。完善激励约束机制，通过定期监督、协调、考核、评估等多方面措施，有效引导、督促各部门全力推进规划的落实，开展规划实施年度监测、中期评估和总结评估。大力推进社会共治，完善社会监督机制，畅通公众监督渠道，有序参与和监督规划实施。</w:t>
      </w:r>
    </w:p>
    <w:p>
      <w:pPr>
        <w:spacing w:line="590" w:lineRule="exact"/>
        <w:ind w:firstLine="640" w:firstLineChars="200"/>
        <w:outlineLvl w:val="1"/>
        <w:rPr>
          <w:rFonts w:eastAsia="楷体_GB2312"/>
          <w:szCs w:val="32"/>
        </w:rPr>
      </w:pPr>
      <w:bookmarkStart w:id="157" w:name="_Toc10475"/>
      <w:bookmarkStart w:id="158" w:name="_Toc6964"/>
      <w:r>
        <w:rPr>
          <w:rFonts w:eastAsia="楷体_GB2312"/>
          <w:szCs w:val="32"/>
        </w:rPr>
        <w:t>（六）加强人才保障</w:t>
      </w:r>
      <w:bookmarkEnd w:id="157"/>
      <w:bookmarkEnd w:id="158"/>
    </w:p>
    <w:p>
      <w:pPr>
        <w:overflowPunct w:val="0"/>
        <w:spacing w:line="590" w:lineRule="exact"/>
        <w:ind w:firstLine="640" w:firstLineChars="200"/>
        <w:rPr>
          <w:szCs w:val="32"/>
        </w:rPr>
      </w:pPr>
      <w:r>
        <w:rPr>
          <w:szCs w:val="32"/>
        </w:rPr>
        <w:t>推进现代流通领域学科专业建设，鼓励省内高等院校开设供应链、智慧商贸、现代物流、国际商务、电子商务等专业和课程。鼓励采取企业内训、岗位实训、外部培训、校企联合办学等多种方式，培养一批具有现代商业经营理念的综合型、复合型人才和专业技术人才。建立和完善人才引进机制，多渠道、多平台、多维度打造人才引进高地，招揽海外顶尖人才、高学历人才、紧缺专业人才。</w:t>
      </w:r>
    </w:p>
    <w:p>
      <w:pPr>
        <w:overflowPunct w:val="0"/>
        <w:spacing w:line="590" w:lineRule="exact"/>
        <w:ind w:firstLine="640" w:firstLineChars="200"/>
        <w:rPr>
          <w:rFonts w:eastAsia="黑体"/>
          <w:szCs w:val="32"/>
        </w:rPr>
        <w:sectPr>
          <w:headerReference r:id="rId4" w:type="default"/>
          <w:footerReference r:id="rId5" w:type="default"/>
          <w:footerReference r:id="rId6" w:type="even"/>
          <w:footnotePr>
            <w:numFmt w:val="decimalEnclosedCircleChinese"/>
            <w:numRestart w:val="eachPage"/>
          </w:footnotePr>
          <w:pgSz w:w="11906" w:h="16838"/>
          <w:pgMar w:top="1871" w:right="1531" w:bottom="1701" w:left="1531" w:header="851" w:footer="1531" w:gutter="0"/>
          <w:cols w:space="720" w:num="1"/>
          <w:docGrid w:linePitch="312" w:charSpace="0"/>
        </w:sectPr>
      </w:pPr>
    </w:p>
    <w:p>
      <w:pPr>
        <w:overflowPunct w:val="0"/>
        <w:spacing w:line="590" w:lineRule="exact"/>
        <w:rPr>
          <w:rFonts w:eastAsia="黑体"/>
          <w:bCs/>
          <w:szCs w:val="32"/>
        </w:rPr>
      </w:pPr>
      <w:bookmarkStart w:id="159" w:name="_Toc29341"/>
      <w:bookmarkStart w:id="160" w:name="_Toc984"/>
      <w:r>
        <w:rPr>
          <w:rFonts w:eastAsia="黑体"/>
          <w:bCs/>
          <w:szCs w:val="32"/>
        </w:rPr>
        <w:t>附件1</w:t>
      </w:r>
    </w:p>
    <w:p>
      <w:pPr>
        <w:overflowPunct w:val="0"/>
        <w:spacing w:before="240" w:beforeLines="100" w:after="240" w:afterLines="100" w:line="590" w:lineRule="exact"/>
        <w:jc w:val="center"/>
        <w:rPr>
          <w:rFonts w:eastAsia="方正小标宋简体"/>
          <w:sz w:val="44"/>
          <w:szCs w:val="44"/>
        </w:rPr>
      </w:pPr>
      <w:r>
        <w:rPr>
          <w:rFonts w:eastAsia="方正小标宋简体"/>
          <w:sz w:val="44"/>
          <w:szCs w:val="44"/>
        </w:rPr>
        <w:t>国内贸易发展“十四五”重大平台汇总表</w:t>
      </w:r>
      <w:bookmarkEnd w:id="159"/>
      <w:bookmarkEnd w:id="160"/>
    </w:p>
    <w:tbl>
      <w:tblPr>
        <w:tblStyle w:val="11"/>
        <w:tblW w:w="1304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
      <w:tblGrid>
        <w:gridCol w:w="515"/>
        <w:gridCol w:w="730"/>
        <w:gridCol w:w="2111"/>
        <w:gridCol w:w="6740"/>
        <w:gridCol w:w="1196"/>
        <w:gridCol w:w="17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tblHeader/>
          <w:jc w:val="center"/>
        </w:trPr>
        <w:tc>
          <w:tcPr>
            <w:tcW w:w="515" w:type="dxa"/>
            <w:vAlign w:val="center"/>
          </w:tcPr>
          <w:p>
            <w:pPr>
              <w:jc w:val="center"/>
              <w:rPr>
                <w:rFonts w:ascii="黑体" w:hAnsi="黑体" w:eastAsia="黑体"/>
                <w:sz w:val="24"/>
              </w:rPr>
            </w:pPr>
            <w:r>
              <w:rPr>
                <w:rFonts w:ascii="黑体" w:hAnsi="黑体" w:eastAsia="黑体"/>
                <w:sz w:val="24"/>
              </w:rPr>
              <w:t>序号</w:t>
            </w:r>
          </w:p>
        </w:tc>
        <w:tc>
          <w:tcPr>
            <w:tcW w:w="730" w:type="dxa"/>
            <w:vAlign w:val="center"/>
          </w:tcPr>
          <w:p>
            <w:pPr>
              <w:jc w:val="center"/>
              <w:rPr>
                <w:rFonts w:ascii="黑体" w:hAnsi="黑体" w:eastAsia="黑体"/>
                <w:sz w:val="24"/>
              </w:rPr>
            </w:pPr>
            <w:r>
              <w:rPr>
                <w:rFonts w:ascii="黑体" w:hAnsi="黑体" w:eastAsia="黑体"/>
                <w:sz w:val="24"/>
              </w:rPr>
              <w:t>地区</w:t>
            </w:r>
          </w:p>
        </w:tc>
        <w:tc>
          <w:tcPr>
            <w:tcW w:w="2111" w:type="dxa"/>
            <w:vAlign w:val="center"/>
          </w:tcPr>
          <w:p>
            <w:pPr>
              <w:jc w:val="center"/>
              <w:rPr>
                <w:rFonts w:ascii="黑体" w:hAnsi="黑体" w:eastAsia="黑体"/>
                <w:sz w:val="24"/>
              </w:rPr>
            </w:pPr>
            <w:r>
              <w:rPr>
                <w:rFonts w:ascii="黑体" w:hAnsi="黑体" w:eastAsia="黑体"/>
                <w:sz w:val="24"/>
              </w:rPr>
              <w:t>名</w:t>
            </w:r>
            <w:r>
              <w:rPr>
                <w:rFonts w:hint="eastAsia" w:ascii="黑体" w:hAnsi="黑体" w:eastAsia="黑体"/>
                <w:sz w:val="24"/>
              </w:rPr>
              <w:t xml:space="preserve">    </w:t>
            </w:r>
            <w:r>
              <w:rPr>
                <w:rFonts w:ascii="黑体" w:hAnsi="黑体" w:eastAsia="黑体"/>
                <w:sz w:val="24"/>
              </w:rPr>
              <w:t>称</w:t>
            </w:r>
          </w:p>
        </w:tc>
        <w:tc>
          <w:tcPr>
            <w:tcW w:w="6740" w:type="dxa"/>
            <w:vAlign w:val="center"/>
          </w:tcPr>
          <w:p>
            <w:pPr>
              <w:jc w:val="center"/>
              <w:rPr>
                <w:rFonts w:ascii="黑体" w:hAnsi="黑体" w:eastAsia="黑体"/>
                <w:sz w:val="24"/>
              </w:rPr>
            </w:pPr>
            <w:r>
              <w:rPr>
                <w:rFonts w:ascii="黑体" w:hAnsi="黑体" w:eastAsia="黑体"/>
                <w:sz w:val="24"/>
              </w:rPr>
              <w:t>主</w:t>
            </w:r>
            <w:r>
              <w:rPr>
                <w:rFonts w:hint="eastAsia" w:ascii="黑体" w:hAnsi="黑体" w:eastAsia="黑体"/>
                <w:sz w:val="24"/>
              </w:rPr>
              <w:t xml:space="preserve">  </w:t>
            </w:r>
            <w:r>
              <w:rPr>
                <w:rFonts w:ascii="黑体" w:hAnsi="黑体" w:eastAsia="黑体"/>
                <w:sz w:val="24"/>
              </w:rPr>
              <w:t>要</w:t>
            </w:r>
            <w:r>
              <w:rPr>
                <w:rFonts w:hint="eastAsia" w:ascii="黑体" w:hAnsi="黑体" w:eastAsia="黑体"/>
                <w:sz w:val="24"/>
              </w:rPr>
              <w:t xml:space="preserve">  </w:t>
            </w:r>
            <w:r>
              <w:rPr>
                <w:rFonts w:ascii="黑体" w:hAnsi="黑体" w:eastAsia="黑体"/>
                <w:sz w:val="24"/>
              </w:rPr>
              <w:t>内</w:t>
            </w:r>
            <w:r>
              <w:rPr>
                <w:rFonts w:hint="eastAsia" w:ascii="黑体" w:hAnsi="黑体" w:eastAsia="黑体"/>
                <w:sz w:val="24"/>
              </w:rPr>
              <w:t xml:space="preserve">  </w:t>
            </w:r>
            <w:r>
              <w:rPr>
                <w:rFonts w:ascii="黑体" w:hAnsi="黑体" w:eastAsia="黑体"/>
                <w:sz w:val="24"/>
              </w:rPr>
              <w:t>容</w:t>
            </w:r>
          </w:p>
        </w:tc>
        <w:tc>
          <w:tcPr>
            <w:tcW w:w="1196" w:type="dxa"/>
            <w:vAlign w:val="center"/>
          </w:tcPr>
          <w:p>
            <w:pPr>
              <w:jc w:val="center"/>
              <w:rPr>
                <w:rFonts w:ascii="黑体" w:hAnsi="黑体" w:eastAsia="黑体"/>
                <w:sz w:val="24"/>
              </w:rPr>
            </w:pPr>
            <w:r>
              <w:rPr>
                <w:rFonts w:ascii="黑体" w:hAnsi="黑体" w:eastAsia="黑体"/>
                <w:sz w:val="24"/>
              </w:rPr>
              <w:t>实施期限</w:t>
            </w:r>
          </w:p>
        </w:tc>
        <w:tc>
          <w:tcPr>
            <w:tcW w:w="1749" w:type="dxa"/>
            <w:vAlign w:val="center"/>
          </w:tcPr>
          <w:p>
            <w:pPr>
              <w:jc w:val="center"/>
              <w:rPr>
                <w:rFonts w:ascii="黑体" w:hAnsi="黑体" w:eastAsia="黑体"/>
                <w:sz w:val="24"/>
              </w:rPr>
            </w:pPr>
            <w:r>
              <w:rPr>
                <w:rFonts w:ascii="黑体" w:hAnsi="黑体" w:eastAsia="黑体"/>
                <w:sz w:val="24"/>
              </w:rPr>
              <w:t>责任单位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113" w:hRule="atLeast"/>
          <w:jc w:val="center"/>
        </w:trPr>
        <w:tc>
          <w:tcPr>
            <w:tcW w:w="515" w:type="dxa"/>
            <w:vAlign w:val="center"/>
          </w:tcPr>
          <w:p>
            <w:pPr>
              <w:jc w:val="center"/>
              <w:rPr>
                <w:sz w:val="24"/>
              </w:rPr>
            </w:pPr>
            <w:r>
              <w:rPr>
                <w:sz w:val="24"/>
              </w:rPr>
              <w:t>1</w:t>
            </w:r>
          </w:p>
        </w:tc>
        <w:tc>
          <w:tcPr>
            <w:tcW w:w="730" w:type="dxa"/>
            <w:vAlign w:val="center"/>
          </w:tcPr>
          <w:p>
            <w:pPr>
              <w:jc w:val="center"/>
              <w:rPr>
                <w:sz w:val="24"/>
              </w:rPr>
            </w:pPr>
            <w:r>
              <w:rPr>
                <w:sz w:val="24"/>
              </w:rPr>
              <w:t>杭州</w:t>
            </w:r>
          </w:p>
        </w:tc>
        <w:tc>
          <w:tcPr>
            <w:tcW w:w="2111" w:type="dxa"/>
            <w:vAlign w:val="center"/>
          </w:tcPr>
          <w:p>
            <w:pPr>
              <w:rPr>
                <w:sz w:val="24"/>
              </w:rPr>
            </w:pPr>
            <w:r>
              <w:rPr>
                <w:sz w:val="24"/>
              </w:rPr>
              <w:t>中国（浙江）自贸区杭州片区建设</w:t>
            </w:r>
          </w:p>
        </w:tc>
        <w:tc>
          <w:tcPr>
            <w:tcW w:w="6740" w:type="dxa"/>
            <w:vAlign w:val="center"/>
          </w:tcPr>
          <w:p>
            <w:pPr>
              <w:rPr>
                <w:sz w:val="24"/>
              </w:rPr>
            </w:pPr>
            <w:r>
              <w:rPr>
                <w:sz w:val="24"/>
              </w:rPr>
              <w:t>浙江自贸试验区杭州片区实施范围为37.5平方公里，具体包括钱塘新区、萧山、滨江等区块，打造数字经济高质量发展的数字自由贸易试验区。</w:t>
            </w:r>
          </w:p>
        </w:tc>
        <w:tc>
          <w:tcPr>
            <w:tcW w:w="1196" w:type="dxa"/>
            <w:vAlign w:val="center"/>
          </w:tcPr>
          <w:p>
            <w:pPr>
              <w:jc w:val="center"/>
              <w:rPr>
                <w:sz w:val="24"/>
              </w:rPr>
            </w:pPr>
          </w:p>
        </w:tc>
        <w:tc>
          <w:tcPr>
            <w:tcW w:w="1749" w:type="dxa"/>
            <w:vAlign w:val="center"/>
          </w:tcPr>
          <w:p>
            <w:pPr>
              <w:jc w:val="center"/>
              <w:rPr>
                <w:sz w:val="24"/>
              </w:rPr>
            </w:pPr>
            <w:r>
              <w:rPr>
                <w:sz w:val="24"/>
              </w:rPr>
              <w:t>杭州市商务局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2063" w:hRule="atLeast"/>
          <w:jc w:val="center"/>
        </w:trPr>
        <w:tc>
          <w:tcPr>
            <w:tcW w:w="515" w:type="dxa"/>
            <w:vAlign w:val="center"/>
          </w:tcPr>
          <w:p>
            <w:pPr>
              <w:jc w:val="center"/>
              <w:rPr>
                <w:sz w:val="24"/>
              </w:rPr>
            </w:pPr>
            <w:r>
              <w:rPr>
                <w:sz w:val="24"/>
              </w:rPr>
              <w:t>2</w:t>
            </w:r>
          </w:p>
        </w:tc>
        <w:tc>
          <w:tcPr>
            <w:tcW w:w="730" w:type="dxa"/>
            <w:vAlign w:val="center"/>
          </w:tcPr>
          <w:p>
            <w:pPr>
              <w:jc w:val="center"/>
              <w:rPr>
                <w:sz w:val="24"/>
              </w:rPr>
            </w:pPr>
            <w:r>
              <w:rPr>
                <w:sz w:val="24"/>
              </w:rPr>
              <w:t>杭州</w:t>
            </w:r>
          </w:p>
        </w:tc>
        <w:tc>
          <w:tcPr>
            <w:tcW w:w="2111" w:type="dxa"/>
            <w:vAlign w:val="center"/>
          </w:tcPr>
          <w:p>
            <w:pPr>
              <w:rPr>
                <w:sz w:val="24"/>
              </w:rPr>
            </w:pPr>
            <w:r>
              <w:rPr>
                <w:sz w:val="24"/>
              </w:rPr>
              <w:t>第三轮服务贸易国家试点</w:t>
            </w:r>
          </w:p>
        </w:tc>
        <w:tc>
          <w:tcPr>
            <w:tcW w:w="6740" w:type="dxa"/>
            <w:vAlign w:val="center"/>
          </w:tcPr>
          <w:p>
            <w:pPr>
              <w:rPr>
                <w:sz w:val="24"/>
              </w:rPr>
            </w:pPr>
            <w:r>
              <w:rPr>
                <w:sz w:val="24"/>
              </w:rPr>
              <w:t>大力发展数字服务、文化贸易、旅游服务三大优势领域，持续推进金融保险服务、会展服务、教育服务三大重点领域，稳步培育医疗健康服务、知识产权服务、物流运输服务三大潜力领域，试点期间服务贸易增速高于同期GDP增速、规模达到2500亿元，形成一批可复制可推广经验与最佳实践案例，奋力展现建设“重要窗口”的“头雁风采”。</w:t>
            </w:r>
          </w:p>
        </w:tc>
        <w:tc>
          <w:tcPr>
            <w:tcW w:w="1196" w:type="dxa"/>
            <w:vAlign w:val="center"/>
          </w:tcPr>
          <w:p>
            <w:pPr>
              <w:jc w:val="center"/>
              <w:rPr>
                <w:sz w:val="24"/>
              </w:rPr>
            </w:pPr>
            <w:r>
              <w:rPr>
                <w:sz w:val="24"/>
              </w:rPr>
              <w:t>3年</w:t>
            </w:r>
          </w:p>
        </w:tc>
        <w:tc>
          <w:tcPr>
            <w:tcW w:w="1749" w:type="dxa"/>
            <w:vAlign w:val="center"/>
          </w:tcPr>
          <w:p>
            <w:pPr>
              <w:jc w:val="center"/>
              <w:rPr>
                <w:sz w:val="24"/>
              </w:rPr>
            </w:pPr>
            <w:r>
              <w:rPr>
                <w:sz w:val="24"/>
              </w:rPr>
              <w:t>杭州市商务局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043" w:hRule="atLeast"/>
          <w:jc w:val="center"/>
        </w:trPr>
        <w:tc>
          <w:tcPr>
            <w:tcW w:w="515" w:type="dxa"/>
            <w:vAlign w:val="center"/>
          </w:tcPr>
          <w:p>
            <w:pPr>
              <w:jc w:val="center"/>
              <w:rPr>
                <w:sz w:val="24"/>
              </w:rPr>
            </w:pPr>
            <w:r>
              <w:rPr>
                <w:sz w:val="24"/>
              </w:rPr>
              <w:t>3</w:t>
            </w:r>
          </w:p>
        </w:tc>
        <w:tc>
          <w:tcPr>
            <w:tcW w:w="730" w:type="dxa"/>
            <w:vAlign w:val="center"/>
          </w:tcPr>
          <w:p>
            <w:pPr>
              <w:jc w:val="center"/>
              <w:rPr>
                <w:sz w:val="24"/>
              </w:rPr>
            </w:pPr>
            <w:r>
              <w:rPr>
                <w:sz w:val="24"/>
              </w:rPr>
              <w:t>杭州</w:t>
            </w:r>
          </w:p>
        </w:tc>
        <w:tc>
          <w:tcPr>
            <w:tcW w:w="2111" w:type="dxa"/>
            <w:vAlign w:val="center"/>
          </w:tcPr>
          <w:p>
            <w:pPr>
              <w:rPr>
                <w:sz w:val="24"/>
              </w:rPr>
            </w:pPr>
            <w:r>
              <w:rPr>
                <w:sz w:val="24"/>
              </w:rPr>
              <w:t>国际消费中心城市建设</w:t>
            </w:r>
          </w:p>
        </w:tc>
        <w:tc>
          <w:tcPr>
            <w:tcW w:w="6740" w:type="dxa"/>
            <w:vAlign w:val="center"/>
          </w:tcPr>
          <w:p>
            <w:pPr>
              <w:rPr>
                <w:sz w:val="24"/>
              </w:rPr>
            </w:pPr>
            <w:r>
              <w:rPr>
                <w:sz w:val="24"/>
              </w:rPr>
              <w:t>把杭州打造成全球智慧消费体验中心、时尚消费资源集聚地、知名休闲目的地，建成立足国内、面向亚洲、辐射全球的国际消费中心城市。</w:t>
            </w:r>
          </w:p>
        </w:tc>
        <w:tc>
          <w:tcPr>
            <w:tcW w:w="1196" w:type="dxa"/>
            <w:vAlign w:val="center"/>
          </w:tcPr>
          <w:p>
            <w:pPr>
              <w:jc w:val="center"/>
              <w:rPr>
                <w:sz w:val="24"/>
              </w:rPr>
            </w:pPr>
            <w:r>
              <w:rPr>
                <w:sz w:val="24"/>
              </w:rPr>
              <w:t>2020-2022</w:t>
            </w:r>
          </w:p>
        </w:tc>
        <w:tc>
          <w:tcPr>
            <w:tcW w:w="1749" w:type="dxa"/>
            <w:vAlign w:val="center"/>
          </w:tcPr>
          <w:p>
            <w:pPr>
              <w:jc w:val="center"/>
              <w:rPr>
                <w:sz w:val="24"/>
              </w:rPr>
            </w:pPr>
            <w:r>
              <w:rPr>
                <w:sz w:val="24"/>
              </w:rPr>
              <w:t>杭州市商务局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515" w:type="dxa"/>
            <w:vAlign w:val="center"/>
          </w:tcPr>
          <w:p>
            <w:pPr>
              <w:jc w:val="center"/>
              <w:rPr>
                <w:sz w:val="24"/>
              </w:rPr>
            </w:pPr>
            <w:r>
              <w:rPr>
                <w:sz w:val="24"/>
              </w:rPr>
              <w:t>4</w:t>
            </w:r>
          </w:p>
        </w:tc>
        <w:tc>
          <w:tcPr>
            <w:tcW w:w="730" w:type="dxa"/>
            <w:vAlign w:val="center"/>
          </w:tcPr>
          <w:p>
            <w:pPr>
              <w:jc w:val="center"/>
              <w:rPr>
                <w:sz w:val="24"/>
              </w:rPr>
            </w:pPr>
            <w:r>
              <w:rPr>
                <w:sz w:val="24"/>
              </w:rPr>
              <w:t>宁波</w:t>
            </w:r>
          </w:p>
        </w:tc>
        <w:tc>
          <w:tcPr>
            <w:tcW w:w="2111" w:type="dxa"/>
            <w:vAlign w:val="center"/>
          </w:tcPr>
          <w:p>
            <w:pPr>
              <w:rPr>
                <w:sz w:val="24"/>
              </w:rPr>
            </w:pPr>
            <w:r>
              <w:rPr>
                <w:sz w:val="24"/>
              </w:rPr>
              <w:t>17+1经贸合作示范区</w:t>
            </w:r>
          </w:p>
        </w:tc>
        <w:tc>
          <w:tcPr>
            <w:tcW w:w="6740" w:type="dxa"/>
            <w:vAlign w:val="center"/>
          </w:tcPr>
          <w:p>
            <w:pPr>
              <w:rPr>
                <w:sz w:val="24"/>
              </w:rPr>
            </w:pPr>
            <w:r>
              <w:rPr>
                <w:sz w:val="24"/>
              </w:rPr>
              <w:t>充分发挥宁波与中东欧国家合作的首创优势、首发优势和首位优势，办好中国—中东欧国家博览会，扩容中东欧国家特色商品常年展，申报中东欧国家特色农产品进口指定监管场地，积极创建中国—中东欧贸易便利化试验区，完善中东欧进口商品内销体系，打造中东欧进口商品集散中心。</w:t>
            </w:r>
          </w:p>
        </w:tc>
        <w:tc>
          <w:tcPr>
            <w:tcW w:w="1196" w:type="dxa"/>
            <w:vAlign w:val="center"/>
          </w:tcPr>
          <w:p>
            <w:pPr>
              <w:jc w:val="center"/>
              <w:rPr>
                <w:sz w:val="24"/>
              </w:rPr>
            </w:pPr>
            <w:r>
              <w:rPr>
                <w:sz w:val="24"/>
              </w:rPr>
              <w:t>2021-2025</w:t>
            </w:r>
          </w:p>
        </w:tc>
        <w:tc>
          <w:tcPr>
            <w:tcW w:w="1749" w:type="dxa"/>
            <w:vAlign w:val="center"/>
          </w:tcPr>
          <w:p>
            <w:pPr>
              <w:jc w:val="center"/>
              <w:rPr>
                <w:sz w:val="24"/>
              </w:rPr>
            </w:pPr>
            <w:r>
              <w:rPr>
                <w:sz w:val="24"/>
              </w:rPr>
              <w:t>宁波市商务局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2484" w:hRule="atLeast"/>
          <w:jc w:val="center"/>
        </w:trPr>
        <w:tc>
          <w:tcPr>
            <w:tcW w:w="515" w:type="dxa"/>
            <w:vAlign w:val="center"/>
          </w:tcPr>
          <w:p>
            <w:pPr>
              <w:jc w:val="center"/>
              <w:rPr>
                <w:sz w:val="24"/>
              </w:rPr>
            </w:pPr>
            <w:r>
              <w:rPr>
                <w:sz w:val="24"/>
              </w:rPr>
              <w:t>5</w:t>
            </w:r>
          </w:p>
        </w:tc>
        <w:tc>
          <w:tcPr>
            <w:tcW w:w="730" w:type="dxa"/>
            <w:vAlign w:val="center"/>
          </w:tcPr>
          <w:p>
            <w:pPr>
              <w:jc w:val="center"/>
              <w:rPr>
                <w:sz w:val="24"/>
              </w:rPr>
            </w:pPr>
            <w:r>
              <w:rPr>
                <w:sz w:val="24"/>
              </w:rPr>
              <w:t>金华</w:t>
            </w:r>
          </w:p>
        </w:tc>
        <w:tc>
          <w:tcPr>
            <w:tcW w:w="2111" w:type="dxa"/>
            <w:vAlign w:val="center"/>
          </w:tcPr>
          <w:p>
            <w:pPr>
              <w:rPr>
                <w:sz w:val="24"/>
              </w:rPr>
            </w:pPr>
            <w:r>
              <w:rPr>
                <w:sz w:val="24"/>
              </w:rPr>
              <w:t>中国（浙江）自由贸易试验区金义片区</w:t>
            </w:r>
          </w:p>
        </w:tc>
        <w:tc>
          <w:tcPr>
            <w:tcW w:w="6740" w:type="dxa"/>
            <w:vAlign w:val="center"/>
          </w:tcPr>
          <w:p>
            <w:pPr>
              <w:rPr>
                <w:sz w:val="24"/>
              </w:rPr>
            </w:pPr>
            <w:r>
              <w:rPr>
                <w:sz w:val="24"/>
              </w:rPr>
              <w:t>金义片区实施范围36平方公里，聚焦聚力贸易投资便利化自由化改革、小商品新型贸易发展方式创新、新型贸工联动和区域合作发展、“一带一路”双向开放合作、深化贸易金融开放创新、构筑国际一流营商环境等方面，着力打造“世界小商品之都”，建设国际小商品自由贸易中心、数字贸易创新中心、中国小商品制造创新策源地和标准输出示范基地、内陆国际物流枢纽港、“一带一路”开放合作通道和中非经贸文化合作示范区</w:t>
            </w:r>
          </w:p>
        </w:tc>
        <w:tc>
          <w:tcPr>
            <w:tcW w:w="1196" w:type="dxa"/>
            <w:vAlign w:val="center"/>
          </w:tcPr>
          <w:p>
            <w:pPr>
              <w:jc w:val="center"/>
              <w:rPr>
                <w:sz w:val="24"/>
              </w:rPr>
            </w:pPr>
          </w:p>
        </w:tc>
        <w:tc>
          <w:tcPr>
            <w:tcW w:w="1749" w:type="dxa"/>
            <w:vAlign w:val="center"/>
          </w:tcPr>
          <w:p>
            <w:pPr>
              <w:jc w:val="center"/>
              <w:rPr>
                <w:sz w:val="24"/>
              </w:rPr>
            </w:pPr>
            <w:r>
              <w:rPr>
                <w:sz w:val="24"/>
              </w:rPr>
              <w:t>牵头单位：金华市自贸办</w:t>
            </w:r>
          </w:p>
          <w:p>
            <w:pPr>
              <w:jc w:val="center"/>
              <w:rPr>
                <w:sz w:val="24"/>
              </w:rPr>
            </w:pPr>
            <w:r>
              <w:rPr>
                <w:sz w:val="24"/>
              </w:rPr>
              <w:t>配合单位：浙江自由贸易试验区金义片区工作领导小组各成员单位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2120" w:hRule="atLeast"/>
          <w:jc w:val="center"/>
        </w:trPr>
        <w:tc>
          <w:tcPr>
            <w:tcW w:w="515" w:type="dxa"/>
            <w:vAlign w:val="center"/>
          </w:tcPr>
          <w:p>
            <w:pPr>
              <w:jc w:val="center"/>
              <w:rPr>
                <w:sz w:val="24"/>
              </w:rPr>
            </w:pPr>
            <w:r>
              <w:rPr>
                <w:sz w:val="24"/>
              </w:rPr>
              <w:t>6</w:t>
            </w:r>
          </w:p>
        </w:tc>
        <w:tc>
          <w:tcPr>
            <w:tcW w:w="730" w:type="dxa"/>
            <w:vAlign w:val="center"/>
          </w:tcPr>
          <w:p>
            <w:pPr>
              <w:jc w:val="center"/>
              <w:rPr>
                <w:sz w:val="24"/>
              </w:rPr>
            </w:pPr>
            <w:r>
              <w:rPr>
                <w:sz w:val="24"/>
              </w:rPr>
              <w:t>舟山</w:t>
            </w:r>
          </w:p>
        </w:tc>
        <w:tc>
          <w:tcPr>
            <w:tcW w:w="2111" w:type="dxa"/>
            <w:vAlign w:val="center"/>
          </w:tcPr>
          <w:p>
            <w:pPr>
              <w:rPr>
                <w:sz w:val="24"/>
              </w:rPr>
            </w:pPr>
            <w:r>
              <w:rPr>
                <w:sz w:val="24"/>
              </w:rPr>
              <w:t>建设区域能源贸易结算中心</w:t>
            </w:r>
          </w:p>
        </w:tc>
        <w:tc>
          <w:tcPr>
            <w:tcW w:w="6740" w:type="dxa"/>
            <w:vAlign w:val="center"/>
          </w:tcPr>
          <w:p>
            <w:pPr>
              <w:rPr>
                <w:sz w:val="24"/>
              </w:rPr>
            </w:pPr>
            <w:r>
              <w:rPr>
                <w:sz w:val="24"/>
              </w:rPr>
              <w:t>推进“四梁八柱”重点企业贸易结算落地，深入油气特色自贸港重大政策研究，加快集聚油气贸易企业，促进贸易结算规模壮大。力争到“十四五”末，建成万亿级区域能源贸易结算中心，覆盖长三角，影响全中国，辐射亚太地区，进一步提高浙江自贸试验区油气全产业链的国际影响力，助推浙江自贸试验区向自贸港发展。</w:t>
            </w:r>
          </w:p>
        </w:tc>
        <w:tc>
          <w:tcPr>
            <w:tcW w:w="1196" w:type="dxa"/>
            <w:vAlign w:val="center"/>
          </w:tcPr>
          <w:p>
            <w:pPr>
              <w:jc w:val="center"/>
              <w:rPr>
                <w:sz w:val="24"/>
              </w:rPr>
            </w:pPr>
            <w:r>
              <w:rPr>
                <w:sz w:val="24"/>
              </w:rPr>
              <w:t>2020-2025</w:t>
            </w:r>
          </w:p>
        </w:tc>
        <w:tc>
          <w:tcPr>
            <w:tcW w:w="1749" w:type="dxa"/>
            <w:vAlign w:val="center"/>
          </w:tcPr>
          <w:p>
            <w:pPr>
              <w:jc w:val="center"/>
              <w:rPr>
                <w:sz w:val="24"/>
              </w:rPr>
            </w:pPr>
            <w:r>
              <w:rPr>
                <w:sz w:val="24"/>
              </w:rPr>
              <w:t>舟山市商务局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3028" w:hRule="atLeast"/>
          <w:jc w:val="center"/>
        </w:trPr>
        <w:tc>
          <w:tcPr>
            <w:tcW w:w="515" w:type="dxa"/>
            <w:vAlign w:val="center"/>
          </w:tcPr>
          <w:p>
            <w:pPr>
              <w:jc w:val="center"/>
              <w:rPr>
                <w:sz w:val="24"/>
              </w:rPr>
            </w:pPr>
            <w:r>
              <w:rPr>
                <w:sz w:val="24"/>
              </w:rPr>
              <w:t>7</w:t>
            </w:r>
          </w:p>
        </w:tc>
        <w:tc>
          <w:tcPr>
            <w:tcW w:w="730" w:type="dxa"/>
            <w:vAlign w:val="center"/>
          </w:tcPr>
          <w:p>
            <w:pPr>
              <w:jc w:val="center"/>
              <w:rPr>
                <w:sz w:val="24"/>
              </w:rPr>
            </w:pPr>
            <w:r>
              <w:rPr>
                <w:sz w:val="24"/>
              </w:rPr>
              <w:t>舟山</w:t>
            </w:r>
          </w:p>
        </w:tc>
        <w:tc>
          <w:tcPr>
            <w:tcW w:w="2111" w:type="dxa"/>
            <w:vAlign w:val="center"/>
          </w:tcPr>
          <w:p>
            <w:pPr>
              <w:rPr>
                <w:sz w:val="24"/>
              </w:rPr>
            </w:pPr>
            <w:r>
              <w:rPr>
                <w:sz w:val="24"/>
              </w:rPr>
              <w:t>推进浙江国际农产品贸易中心建设</w:t>
            </w:r>
          </w:p>
        </w:tc>
        <w:tc>
          <w:tcPr>
            <w:tcW w:w="6740" w:type="dxa"/>
            <w:vAlign w:val="center"/>
          </w:tcPr>
          <w:p>
            <w:pPr>
              <w:rPr>
                <w:sz w:val="24"/>
              </w:rPr>
            </w:pPr>
            <w:r>
              <w:rPr>
                <w:sz w:val="24"/>
              </w:rPr>
              <w:t>完成中储粮集团浙江粮食仓储物流项目一期、良海粮油9万吨仓储设施项目、省直属粮库第三期等项目建成投运；完成舟山群岛新区水产品交易中心建设，发布各类水产价格指数，推出现货挂牌、招标、拍卖等交易模式，率先在全国发展成远洋水产品交易结算中心、价格指数发布中心、行业资讯中心、冷链物流中心；加快浙江澳舟牛业有限公司建设进程，围绕“牛”打造集生产、加工、批发、零售、餐饮及增值业务于一体的供应链企业，年加工达到10-20万头，致力于为消费者提供持续、稳定、安全、可追溯的新鲜牛肉产品。</w:t>
            </w:r>
          </w:p>
        </w:tc>
        <w:tc>
          <w:tcPr>
            <w:tcW w:w="1196" w:type="dxa"/>
            <w:vAlign w:val="center"/>
          </w:tcPr>
          <w:p>
            <w:pPr>
              <w:jc w:val="center"/>
              <w:rPr>
                <w:sz w:val="24"/>
              </w:rPr>
            </w:pPr>
            <w:r>
              <w:rPr>
                <w:sz w:val="24"/>
              </w:rPr>
              <w:t>2020-2025</w:t>
            </w:r>
          </w:p>
        </w:tc>
        <w:tc>
          <w:tcPr>
            <w:tcW w:w="1749" w:type="dxa"/>
            <w:vAlign w:val="center"/>
          </w:tcPr>
          <w:p>
            <w:pPr>
              <w:jc w:val="center"/>
              <w:rPr>
                <w:sz w:val="24"/>
              </w:rPr>
            </w:pPr>
            <w:r>
              <w:rPr>
                <w:sz w:val="24"/>
              </w:rPr>
              <w:t>舟山市商务局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515" w:type="dxa"/>
            <w:vAlign w:val="center"/>
          </w:tcPr>
          <w:p>
            <w:pPr>
              <w:jc w:val="center"/>
              <w:rPr>
                <w:sz w:val="24"/>
              </w:rPr>
            </w:pPr>
            <w:r>
              <w:rPr>
                <w:sz w:val="24"/>
              </w:rPr>
              <w:t>8</w:t>
            </w:r>
          </w:p>
        </w:tc>
        <w:tc>
          <w:tcPr>
            <w:tcW w:w="730" w:type="dxa"/>
            <w:vAlign w:val="center"/>
          </w:tcPr>
          <w:p>
            <w:pPr>
              <w:jc w:val="center"/>
              <w:rPr>
                <w:sz w:val="24"/>
              </w:rPr>
            </w:pPr>
            <w:r>
              <w:rPr>
                <w:sz w:val="24"/>
              </w:rPr>
              <w:t>丽水</w:t>
            </w:r>
          </w:p>
        </w:tc>
        <w:tc>
          <w:tcPr>
            <w:tcW w:w="2111" w:type="dxa"/>
            <w:vAlign w:val="center"/>
          </w:tcPr>
          <w:p>
            <w:pPr>
              <w:rPr>
                <w:sz w:val="24"/>
              </w:rPr>
            </w:pPr>
            <w:r>
              <w:rPr>
                <w:sz w:val="24"/>
              </w:rPr>
              <w:t>世界华侨进口商品博览会暨青田进口葡萄酒交易会</w:t>
            </w:r>
          </w:p>
        </w:tc>
        <w:tc>
          <w:tcPr>
            <w:tcW w:w="6740" w:type="dxa"/>
            <w:vAlign w:val="center"/>
          </w:tcPr>
          <w:p>
            <w:pPr>
              <w:rPr>
                <w:sz w:val="24"/>
              </w:rPr>
            </w:pPr>
            <w:r>
              <w:rPr>
                <w:sz w:val="24"/>
              </w:rPr>
              <w:t>打造丽水对外交流和促进经济的重要平台，贯彻落实开放强省战略，以浙江（青田）华侨经济文化合作试验区建设为契机，扩大丽水在海内外进口商品集散地的知名度、美誉度和影响力，积极培育丽水成为进口商品的“世界超市”“购物天堂”，加快浙商回归和华侨要素回流，推动开放型经济高质量发展。</w:t>
            </w:r>
          </w:p>
        </w:tc>
        <w:tc>
          <w:tcPr>
            <w:tcW w:w="1196" w:type="dxa"/>
            <w:vAlign w:val="center"/>
          </w:tcPr>
          <w:p>
            <w:pPr>
              <w:jc w:val="center"/>
              <w:rPr>
                <w:sz w:val="24"/>
              </w:rPr>
            </w:pPr>
            <w:r>
              <w:rPr>
                <w:sz w:val="24"/>
              </w:rPr>
              <w:t>“十四五”期间</w:t>
            </w:r>
          </w:p>
        </w:tc>
        <w:tc>
          <w:tcPr>
            <w:tcW w:w="1749" w:type="dxa"/>
            <w:vAlign w:val="center"/>
          </w:tcPr>
          <w:p>
            <w:pPr>
              <w:jc w:val="center"/>
              <w:rPr>
                <w:sz w:val="24"/>
              </w:rPr>
            </w:pPr>
            <w:r>
              <w:rPr>
                <w:sz w:val="24"/>
              </w:rPr>
              <w:t>丽水市商务局</w:t>
            </w:r>
          </w:p>
          <w:p>
            <w:pPr>
              <w:jc w:val="center"/>
              <w:rPr>
                <w:rFonts w:hint="eastAsia"/>
                <w:sz w:val="24"/>
              </w:rPr>
            </w:pPr>
            <w:r>
              <w:rPr>
                <w:sz w:val="24"/>
              </w:rPr>
              <w:t>青田县人民</w:t>
            </w:r>
          </w:p>
          <w:p>
            <w:pPr>
              <w:jc w:val="center"/>
              <w:rPr>
                <w:sz w:val="24"/>
              </w:rPr>
            </w:pPr>
            <w:r>
              <w:rPr>
                <w:sz w:val="24"/>
              </w:rPr>
              <w:t>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515" w:type="dxa"/>
            <w:vAlign w:val="center"/>
          </w:tcPr>
          <w:p>
            <w:pPr>
              <w:jc w:val="center"/>
              <w:rPr>
                <w:sz w:val="24"/>
              </w:rPr>
            </w:pPr>
            <w:r>
              <w:rPr>
                <w:sz w:val="24"/>
              </w:rPr>
              <w:t>9</w:t>
            </w:r>
          </w:p>
        </w:tc>
        <w:tc>
          <w:tcPr>
            <w:tcW w:w="730" w:type="dxa"/>
            <w:vAlign w:val="center"/>
          </w:tcPr>
          <w:p>
            <w:pPr>
              <w:jc w:val="center"/>
              <w:rPr>
                <w:sz w:val="24"/>
              </w:rPr>
            </w:pPr>
            <w:r>
              <w:rPr>
                <w:sz w:val="24"/>
              </w:rPr>
              <w:t>丽水</w:t>
            </w:r>
          </w:p>
        </w:tc>
        <w:tc>
          <w:tcPr>
            <w:tcW w:w="2111" w:type="dxa"/>
            <w:vAlign w:val="center"/>
          </w:tcPr>
          <w:p>
            <w:pPr>
              <w:rPr>
                <w:sz w:val="24"/>
              </w:rPr>
            </w:pPr>
            <w:r>
              <w:rPr>
                <w:sz w:val="24"/>
              </w:rPr>
              <w:t>中国（丽水）跨境电子商务综合试验区</w:t>
            </w:r>
          </w:p>
        </w:tc>
        <w:tc>
          <w:tcPr>
            <w:tcW w:w="6740" w:type="dxa"/>
            <w:vAlign w:val="center"/>
          </w:tcPr>
          <w:p>
            <w:pPr>
              <w:rPr>
                <w:sz w:val="24"/>
              </w:rPr>
            </w:pPr>
            <w:r>
              <w:rPr>
                <w:sz w:val="24"/>
              </w:rPr>
              <w:t>实施“三大平台、四大工程、五大体系、六大支撑”，初步建成完整的跨境电子商务产业链和生态圈。争取到2022年，打造2个跨境电子商务产业集群，建设4个跨境电子商务产业园区，引育20家以上跨境电子商务龙头企业，培育300家以上跨境电子商务企业，跨境电子商务交易额年均增长20%以上。</w:t>
            </w:r>
          </w:p>
        </w:tc>
        <w:tc>
          <w:tcPr>
            <w:tcW w:w="1196" w:type="dxa"/>
            <w:vAlign w:val="center"/>
          </w:tcPr>
          <w:p>
            <w:pPr>
              <w:jc w:val="center"/>
              <w:rPr>
                <w:sz w:val="24"/>
              </w:rPr>
            </w:pPr>
            <w:r>
              <w:rPr>
                <w:sz w:val="24"/>
              </w:rPr>
              <w:t>2022年</w:t>
            </w:r>
          </w:p>
        </w:tc>
        <w:tc>
          <w:tcPr>
            <w:tcW w:w="1749" w:type="dxa"/>
            <w:vAlign w:val="center"/>
          </w:tcPr>
          <w:p>
            <w:pPr>
              <w:jc w:val="center"/>
              <w:rPr>
                <w:sz w:val="24"/>
              </w:rPr>
            </w:pPr>
            <w:r>
              <w:rPr>
                <w:sz w:val="24"/>
              </w:rPr>
              <w:t>丽水市商务局、丽水海关、各县（市、区）人民政府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515" w:type="dxa"/>
            <w:vAlign w:val="center"/>
          </w:tcPr>
          <w:p>
            <w:pPr>
              <w:jc w:val="center"/>
              <w:rPr>
                <w:sz w:val="24"/>
              </w:rPr>
            </w:pPr>
            <w:r>
              <w:rPr>
                <w:sz w:val="24"/>
              </w:rPr>
              <w:t>10</w:t>
            </w:r>
          </w:p>
        </w:tc>
        <w:tc>
          <w:tcPr>
            <w:tcW w:w="730" w:type="dxa"/>
            <w:vAlign w:val="center"/>
          </w:tcPr>
          <w:p>
            <w:pPr>
              <w:jc w:val="center"/>
              <w:rPr>
                <w:sz w:val="24"/>
              </w:rPr>
            </w:pPr>
            <w:r>
              <w:rPr>
                <w:sz w:val="24"/>
              </w:rPr>
              <w:t>丽水</w:t>
            </w:r>
          </w:p>
        </w:tc>
        <w:tc>
          <w:tcPr>
            <w:tcW w:w="2111" w:type="dxa"/>
            <w:vAlign w:val="center"/>
          </w:tcPr>
          <w:p>
            <w:pPr>
              <w:rPr>
                <w:sz w:val="24"/>
              </w:rPr>
            </w:pPr>
            <w:r>
              <w:rPr>
                <w:sz w:val="24"/>
              </w:rPr>
              <w:t>浙江（丽水）农村电商创新发展示范区</w:t>
            </w:r>
          </w:p>
        </w:tc>
        <w:tc>
          <w:tcPr>
            <w:tcW w:w="6740" w:type="dxa"/>
            <w:vAlign w:val="center"/>
          </w:tcPr>
          <w:p>
            <w:pPr>
              <w:rPr>
                <w:sz w:val="24"/>
              </w:rPr>
            </w:pPr>
            <w:r>
              <w:rPr>
                <w:sz w:val="24"/>
              </w:rPr>
              <w:t>优化县、乡、村三级快递物流体系，推进县域共同揽收、共同分拣、共同运输和共同投递。推动电子商务与农村一二三产业融合发展，加快农村产品和服务的电商化进程。争取创建2-3个全国电子商务进农村示范县。</w:t>
            </w:r>
          </w:p>
        </w:tc>
        <w:tc>
          <w:tcPr>
            <w:tcW w:w="1196" w:type="dxa"/>
            <w:vAlign w:val="center"/>
          </w:tcPr>
          <w:p>
            <w:pPr>
              <w:jc w:val="center"/>
              <w:rPr>
                <w:sz w:val="24"/>
              </w:rPr>
            </w:pPr>
            <w:r>
              <w:rPr>
                <w:sz w:val="24"/>
              </w:rPr>
              <w:t>“十四五”期间</w:t>
            </w:r>
          </w:p>
        </w:tc>
        <w:tc>
          <w:tcPr>
            <w:tcW w:w="1749" w:type="dxa"/>
            <w:vAlign w:val="center"/>
          </w:tcPr>
          <w:p>
            <w:pPr>
              <w:jc w:val="center"/>
              <w:rPr>
                <w:sz w:val="24"/>
              </w:rPr>
            </w:pPr>
            <w:r>
              <w:rPr>
                <w:sz w:val="24"/>
              </w:rPr>
              <w:t>丽水市商务局、各县（市、区）人民政府</w:t>
            </w:r>
          </w:p>
        </w:tc>
      </w:tr>
    </w:tbl>
    <w:p>
      <w:pPr>
        <w:jc w:val="center"/>
        <w:rPr>
          <w:rFonts w:eastAsia="黑体"/>
          <w:sz w:val="36"/>
          <w:szCs w:val="36"/>
        </w:rPr>
      </w:pPr>
      <w:bookmarkStart w:id="161" w:name="_Toc3218"/>
    </w:p>
    <w:p>
      <w:pPr>
        <w:outlineLvl w:val="0"/>
        <w:rPr>
          <w:rFonts w:eastAsia="黑体"/>
          <w:sz w:val="36"/>
          <w:szCs w:val="36"/>
        </w:rPr>
      </w:pPr>
      <w:bookmarkStart w:id="162" w:name="_Toc27703"/>
    </w:p>
    <w:p>
      <w:pPr>
        <w:overflowPunct w:val="0"/>
        <w:spacing w:line="590" w:lineRule="exact"/>
        <w:rPr>
          <w:rFonts w:eastAsia="黑体"/>
          <w:bCs/>
          <w:szCs w:val="32"/>
        </w:rPr>
      </w:pPr>
      <w:r>
        <w:rPr>
          <w:rFonts w:eastAsia="黑体"/>
          <w:bCs/>
          <w:szCs w:val="32"/>
        </w:rPr>
        <w:br w:type="column"/>
      </w:r>
      <w:r>
        <w:rPr>
          <w:rFonts w:eastAsia="黑体"/>
          <w:bCs/>
          <w:szCs w:val="32"/>
        </w:rPr>
        <w:t>附件2</w:t>
      </w:r>
    </w:p>
    <w:p>
      <w:pPr>
        <w:overflowPunct w:val="0"/>
        <w:spacing w:before="240" w:beforeLines="100" w:after="240" w:afterLines="100" w:line="590" w:lineRule="exact"/>
        <w:jc w:val="center"/>
        <w:rPr>
          <w:rFonts w:eastAsia="方正小标宋简体"/>
          <w:sz w:val="44"/>
          <w:szCs w:val="44"/>
        </w:rPr>
      </w:pPr>
      <w:r>
        <w:rPr>
          <w:rFonts w:eastAsia="方正小标宋简体"/>
          <w:sz w:val="44"/>
          <w:szCs w:val="44"/>
        </w:rPr>
        <w:t>国内贸易发展“十四五”重大工程汇总表</w:t>
      </w:r>
      <w:bookmarkEnd w:id="161"/>
      <w:bookmarkEnd w:id="162"/>
    </w:p>
    <w:tbl>
      <w:tblPr>
        <w:tblStyle w:val="11"/>
        <w:tblW w:w="1304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
      <w:tblGrid>
        <w:gridCol w:w="516"/>
        <w:gridCol w:w="863"/>
        <w:gridCol w:w="1889"/>
        <w:gridCol w:w="6856"/>
        <w:gridCol w:w="1242"/>
        <w:gridCol w:w="16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tblHeader/>
          <w:jc w:val="center"/>
        </w:trPr>
        <w:tc>
          <w:tcPr>
            <w:tcW w:w="516" w:type="dxa"/>
            <w:vAlign w:val="center"/>
          </w:tcPr>
          <w:p>
            <w:pPr>
              <w:jc w:val="center"/>
              <w:rPr>
                <w:rFonts w:ascii="黑体" w:hAnsi="黑体" w:eastAsia="黑体"/>
                <w:bCs/>
                <w:sz w:val="24"/>
              </w:rPr>
            </w:pPr>
            <w:r>
              <w:rPr>
                <w:rFonts w:ascii="黑体" w:hAnsi="黑体" w:eastAsia="黑体"/>
                <w:bCs/>
                <w:sz w:val="24"/>
              </w:rPr>
              <w:t>序号</w:t>
            </w:r>
          </w:p>
        </w:tc>
        <w:tc>
          <w:tcPr>
            <w:tcW w:w="863" w:type="dxa"/>
            <w:vAlign w:val="center"/>
          </w:tcPr>
          <w:p>
            <w:pPr>
              <w:jc w:val="center"/>
              <w:rPr>
                <w:rFonts w:ascii="黑体" w:hAnsi="黑体" w:eastAsia="黑体"/>
                <w:bCs/>
                <w:sz w:val="24"/>
              </w:rPr>
            </w:pPr>
            <w:r>
              <w:rPr>
                <w:rFonts w:ascii="黑体" w:hAnsi="黑体" w:eastAsia="黑体"/>
                <w:bCs/>
                <w:sz w:val="24"/>
              </w:rPr>
              <w:t>地区</w:t>
            </w:r>
          </w:p>
        </w:tc>
        <w:tc>
          <w:tcPr>
            <w:tcW w:w="1889" w:type="dxa"/>
            <w:vAlign w:val="center"/>
          </w:tcPr>
          <w:p>
            <w:pPr>
              <w:jc w:val="center"/>
              <w:rPr>
                <w:rFonts w:ascii="黑体" w:hAnsi="黑体" w:eastAsia="黑体"/>
                <w:bCs/>
                <w:sz w:val="24"/>
              </w:rPr>
            </w:pPr>
            <w:r>
              <w:rPr>
                <w:rFonts w:ascii="黑体" w:hAnsi="黑体" w:eastAsia="黑体"/>
                <w:bCs/>
                <w:sz w:val="24"/>
              </w:rPr>
              <w:t>名</w:t>
            </w:r>
            <w:r>
              <w:rPr>
                <w:rFonts w:hint="eastAsia" w:ascii="黑体" w:hAnsi="黑体" w:eastAsia="黑体"/>
                <w:bCs/>
                <w:sz w:val="24"/>
              </w:rPr>
              <w:t xml:space="preserve">  </w:t>
            </w:r>
            <w:r>
              <w:rPr>
                <w:rFonts w:ascii="黑体" w:hAnsi="黑体" w:eastAsia="黑体"/>
                <w:bCs/>
                <w:sz w:val="24"/>
              </w:rPr>
              <w:t>称</w:t>
            </w:r>
          </w:p>
        </w:tc>
        <w:tc>
          <w:tcPr>
            <w:tcW w:w="6856" w:type="dxa"/>
            <w:vAlign w:val="center"/>
          </w:tcPr>
          <w:p>
            <w:pPr>
              <w:jc w:val="center"/>
              <w:rPr>
                <w:rFonts w:ascii="黑体" w:hAnsi="黑体" w:eastAsia="黑体"/>
                <w:bCs/>
                <w:sz w:val="24"/>
              </w:rPr>
            </w:pPr>
            <w:r>
              <w:rPr>
                <w:rFonts w:ascii="黑体" w:hAnsi="黑体" w:eastAsia="黑体"/>
                <w:bCs/>
                <w:sz w:val="24"/>
              </w:rPr>
              <w:t>主</w:t>
            </w:r>
            <w:r>
              <w:rPr>
                <w:rFonts w:hint="eastAsia" w:ascii="黑体" w:hAnsi="黑体" w:eastAsia="黑体"/>
                <w:bCs/>
                <w:sz w:val="24"/>
              </w:rPr>
              <w:t xml:space="preserve">  </w:t>
            </w:r>
            <w:r>
              <w:rPr>
                <w:rFonts w:ascii="黑体" w:hAnsi="黑体" w:eastAsia="黑体"/>
                <w:bCs/>
                <w:sz w:val="24"/>
              </w:rPr>
              <w:t>要</w:t>
            </w:r>
            <w:r>
              <w:rPr>
                <w:rFonts w:hint="eastAsia" w:ascii="黑体" w:hAnsi="黑体" w:eastAsia="黑体"/>
                <w:bCs/>
                <w:sz w:val="24"/>
              </w:rPr>
              <w:t xml:space="preserve">  </w:t>
            </w:r>
            <w:r>
              <w:rPr>
                <w:rFonts w:ascii="黑体" w:hAnsi="黑体" w:eastAsia="黑体"/>
                <w:bCs/>
                <w:sz w:val="24"/>
              </w:rPr>
              <w:t>内</w:t>
            </w:r>
            <w:r>
              <w:rPr>
                <w:rFonts w:hint="eastAsia" w:ascii="黑体" w:hAnsi="黑体" w:eastAsia="黑体"/>
                <w:bCs/>
                <w:sz w:val="24"/>
              </w:rPr>
              <w:t xml:space="preserve">  </w:t>
            </w:r>
            <w:r>
              <w:rPr>
                <w:rFonts w:ascii="黑体" w:hAnsi="黑体" w:eastAsia="黑体"/>
                <w:bCs/>
                <w:sz w:val="24"/>
              </w:rPr>
              <w:t>容</w:t>
            </w:r>
          </w:p>
        </w:tc>
        <w:tc>
          <w:tcPr>
            <w:tcW w:w="1242" w:type="dxa"/>
            <w:vAlign w:val="center"/>
          </w:tcPr>
          <w:p>
            <w:pPr>
              <w:jc w:val="center"/>
              <w:rPr>
                <w:rFonts w:ascii="黑体" w:hAnsi="黑体" w:eastAsia="黑体"/>
                <w:bCs/>
                <w:sz w:val="24"/>
              </w:rPr>
            </w:pPr>
            <w:r>
              <w:rPr>
                <w:rFonts w:ascii="黑体" w:hAnsi="黑体" w:eastAsia="黑体"/>
                <w:bCs/>
                <w:sz w:val="24"/>
              </w:rPr>
              <w:t>实施期限</w:t>
            </w:r>
          </w:p>
        </w:tc>
        <w:tc>
          <w:tcPr>
            <w:tcW w:w="1675" w:type="dxa"/>
            <w:vAlign w:val="center"/>
          </w:tcPr>
          <w:p>
            <w:pPr>
              <w:jc w:val="center"/>
              <w:rPr>
                <w:rFonts w:ascii="黑体" w:hAnsi="黑体" w:eastAsia="黑体"/>
                <w:bCs/>
                <w:sz w:val="24"/>
              </w:rPr>
            </w:pPr>
            <w:r>
              <w:rPr>
                <w:rFonts w:ascii="黑体" w:hAnsi="黑体" w:eastAsia="黑体"/>
                <w:bCs/>
                <w:sz w:val="24"/>
              </w:rPr>
              <w:t>责任单位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770" w:hRule="atLeast"/>
          <w:jc w:val="center"/>
        </w:trPr>
        <w:tc>
          <w:tcPr>
            <w:tcW w:w="516" w:type="dxa"/>
            <w:vAlign w:val="center"/>
          </w:tcPr>
          <w:p>
            <w:pPr>
              <w:jc w:val="center"/>
              <w:rPr>
                <w:sz w:val="24"/>
              </w:rPr>
            </w:pPr>
            <w:r>
              <w:rPr>
                <w:sz w:val="24"/>
              </w:rPr>
              <w:t>1</w:t>
            </w:r>
          </w:p>
        </w:tc>
        <w:tc>
          <w:tcPr>
            <w:tcW w:w="863" w:type="dxa"/>
            <w:vAlign w:val="center"/>
          </w:tcPr>
          <w:p>
            <w:pPr>
              <w:jc w:val="center"/>
              <w:rPr>
                <w:sz w:val="24"/>
              </w:rPr>
            </w:pPr>
            <w:r>
              <w:rPr>
                <w:sz w:val="24"/>
              </w:rPr>
              <w:t>宁波</w:t>
            </w:r>
          </w:p>
        </w:tc>
        <w:tc>
          <w:tcPr>
            <w:tcW w:w="1889" w:type="dxa"/>
            <w:vAlign w:val="center"/>
          </w:tcPr>
          <w:p>
            <w:pPr>
              <w:rPr>
                <w:sz w:val="24"/>
              </w:rPr>
            </w:pPr>
            <w:r>
              <w:rPr>
                <w:sz w:val="24"/>
              </w:rPr>
              <w:t>数字生活新服务行动</w:t>
            </w:r>
          </w:p>
        </w:tc>
        <w:tc>
          <w:tcPr>
            <w:tcW w:w="6856" w:type="dxa"/>
            <w:vAlign w:val="center"/>
          </w:tcPr>
          <w:p>
            <w:pPr>
              <w:rPr>
                <w:sz w:val="24"/>
              </w:rPr>
            </w:pPr>
            <w:r>
              <w:rPr>
                <w:sz w:val="24"/>
              </w:rPr>
              <w:t>以推进生活性服务业数字化、加强新型基础设施建设、构架现代消费体系为重点，创新推广数字商贸、数字学习、数字出行、数字文旅、数字健康、数字政务等新业态新模式，培育壮大一批重点平台和企业，打造一批重点行业、样板城镇和标杆区域，形成以“一图两码三平台”为骨干的数字生活新服务生态体系。</w:t>
            </w:r>
          </w:p>
        </w:tc>
        <w:tc>
          <w:tcPr>
            <w:tcW w:w="1242" w:type="dxa"/>
            <w:vAlign w:val="center"/>
          </w:tcPr>
          <w:p>
            <w:pPr>
              <w:jc w:val="center"/>
              <w:rPr>
                <w:sz w:val="24"/>
              </w:rPr>
            </w:pPr>
            <w:r>
              <w:rPr>
                <w:sz w:val="24"/>
              </w:rPr>
              <w:t>2020-2022</w:t>
            </w:r>
          </w:p>
        </w:tc>
        <w:tc>
          <w:tcPr>
            <w:tcW w:w="1675" w:type="dxa"/>
            <w:vAlign w:val="center"/>
          </w:tcPr>
          <w:p>
            <w:pPr>
              <w:jc w:val="center"/>
              <w:rPr>
                <w:sz w:val="24"/>
              </w:rPr>
            </w:pPr>
            <w:r>
              <w:rPr>
                <w:sz w:val="24"/>
              </w:rPr>
              <w:t>宁波市商务局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197" w:hRule="atLeast"/>
          <w:jc w:val="center"/>
        </w:trPr>
        <w:tc>
          <w:tcPr>
            <w:tcW w:w="516" w:type="dxa"/>
            <w:vAlign w:val="center"/>
          </w:tcPr>
          <w:p>
            <w:pPr>
              <w:jc w:val="center"/>
              <w:rPr>
                <w:sz w:val="24"/>
              </w:rPr>
            </w:pPr>
            <w:r>
              <w:rPr>
                <w:sz w:val="24"/>
              </w:rPr>
              <w:t>2</w:t>
            </w:r>
          </w:p>
        </w:tc>
        <w:tc>
          <w:tcPr>
            <w:tcW w:w="863" w:type="dxa"/>
            <w:vAlign w:val="center"/>
          </w:tcPr>
          <w:p>
            <w:pPr>
              <w:jc w:val="center"/>
              <w:rPr>
                <w:sz w:val="24"/>
              </w:rPr>
            </w:pPr>
            <w:r>
              <w:rPr>
                <w:sz w:val="24"/>
              </w:rPr>
              <w:t>宁波</w:t>
            </w:r>
          </w:p>
        </w:tc>
        <w:tc>
          <w:tcPr>
            <w:tcW w:w="1889" w:type="dxa"/>
            <w:vAlign w:val="center"/>
          </w:tcPr>
          <w:p>
            <w:pPr>
              <w:rPr>
                <w:sz w:val="24"/>
              </w:rPr>
            </w:pPr>
            <w:r>
              <w:rPr>
                <w:sz w:val="24"/>
              </w:rPr>
              <w:t>国际知名商圈打造工程</w:t>
            </w:r>
          </w:p>
        </w:tc>
        <w:tc>
          <w:tcPr>
            <w:tcW w:w="6856" w:type="dxa"/>
            <w:vAlign w:val="center"/>
          </w:tcPr>
          <w:p>
            <w:pPr>
              <w:rPr>
                <w:sz w:val="24"/>
              </w:rPr>
            </w:pPr>
            <w:r>
              <w:rPr>
                <w:sz w:val="24"/>
              </w:rPr>
              <w:t>加大标识性核心商圈和商业地标塑造力度，遴选培育若干高品质商业街区，推进商业街提档、步行街改造和国际消费展销平台建设，构建层次多元、特色浓郁、接轨国际的消费空间。</w:t>
            </w:r>
          </w:p>
        </w:tc>
        <w:tc>
          <w:tcPr>
            <w:tcW w:w="1242" w:type="dxa"/>
            <w:vAlign w:val="center"/>
          </w:tcPr>
          <w:p>
            <w:pPr>
              <w:jc w:val="center"/>
              <w:rPr>
                <w:sz w:val="24"/>
              </w:rPr>
            </w:pPr>
            <w:r>
              <w:rPr>
                <w:sz w:val="24"/>
              </w:rPr>
              <w:t>2021-2025</w:t>
            </w:r>
          </w:p>
        </w:tc>
        <w:tc>
          <w:tcPr>
            <w:tcW w:w="1675" w:type="dxa"/>
            <w:vAlign w:val="center"/>
          </w:tcPr>
          <w:p>
            <w:pPr>
              <w:jc w:val="center"/>
              <w:rPr>
                <w:sz w:val="24"/>
              </w:rPr>
            </w:pPr>
            <w:r>
              <w:rPr>
                <w:sz w:val="24"/>
              </w:rPr>
              <w:t>宁波市商务局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756" w:hRule="atLeast"/>
          <w:jc w:val="center"/>
        </w:trPr>
        <w:tc>
          <w:tcPr>
            <w:tcW w:w="516" w:type="dxa"/>
            <w:vAlign w:val="center"/>
          </w:tcPr>
          <w:p>
            <w:pPr>
              <w:jc w:val="center"/>
              <w:rPr>
                <w:sz w:val="24"/>
              </w:rPr>
            </w:pPr>
            <w:r>
              <w:rPr>
                <w:sz w:val="24"/>
              </w:rPr>
              <w:t>3</w:t>
            </w:r>
          </w:p>
        </w:tc>
        <w:tc>
          <w:tcPr>
            <w:tcW w:w="863" w:type="dxa"/>
            <w:vAlign w:val="center"/>
          </w:tcPr>
          <w:p>
            <w:pPr>
              <w:jc w:val="center"/>
              <w:rPr>
                <w:sz w:val="24"/>
              </w:rPr>
            </w:pPr>
            <w:r>
              <w:rPr>
                <w:sz w:val="24"/>
              </w:rPr>
              <w:t>舟山</w:t>
            </w:r>
          </w:p>
        </w:tc>
        <w:tc>
          <w:tcPr>
            <w:tcW w:w="1889" w:type="dxa"/>
            <w:vAlign w:val="center"/>
          </w:tcPr>
          <w:p>
            <w:pPr>
              <w:widowControl/>
              <w:textAlignment w:val="center"/>
              <w:rPr>
                <w:sz w:val="24"/>
              </w:rPr>
            </w:pPr>
            <w:r>
              <w:rPr>
                <w:kern w:val="0"/>
                <w:sz w:val="24"/>
              </w:rPr>
              <w:t>建设油气贸易交易中心</w:t>
            </w:r>
          </w:p>
        </w:tc>
        <w:tc>
          <w:tcPr>
            <w:tcW w:w="6856" w:type="dxa"/>
            <w:vAlign w:val="center"/>
          </w:tcPr>
          <w:p>
            <w:pPr>
              <w:widowControl/>
              <w:textAlignment w:val="center"/>
              <w:rPr>
                <w:sz w:val="24"/>
              </w:rPr>
            </w:pPr>
            <w:r>
              <w:rPr>
                <w:sz w:val="24"/>
              </w:rPr>
              <w:t>通过制度改革创新，运用区块链等信息新技术，探索油气贸易新模式，引入国内外知名油气贸易商，扩大贸易交易规模，推进离岸贸易和转口贸易，助推国际贸易结算人民币国际化。依托浙油中心平台与上期所期现联动，打造具有国际影响力的现货交易市场和场外撮合市场。</w:t>
            </w:r>
          </w:p>
        </w:tc>
        <w:tc>
          <w:tcPr>
            <w:tcW w:w="1242" w:type="dxa"/>
            <w:vAlign w:val="center"/>
          </w:tcPr>
          <w:p>
            <w:pPr>
              <w:jc w:val="center"/>
              <w:rPr>
                <w:sz w:val="24"/>
              </w:rPr>
            </w:pPr>
            <w:r>
              <w:rPr>
                <w:sz w:val="24"/>
              </w:rPr>
              <w:t>2020-2025</w:t>
            </w:r>
          </w:p>
        </w:tc>
        <w:tc>
          <w:tcPr>
            <w:tcW w:w="1675" w:type="dxa"/>
            <w:vAlign w:val="center"/>
          </w:tcPr>
          <w:p>
            <w:pPr>
              <w:widowControl/>
              <w:jc w:val="center"/>
              <w:textAlignment w:val="center"/>
              <w:rPr>
                <w:sz w:val="24"/>
              </w:rPr>
            </w:pPr>
            <w:r>
              <w:rPr>
                <w:sz w:val="24"/>
              </w:rPr>
              <w:t>舟山市商务局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099" w:hRule="atLeast"/>
          <w:jc w:val="center"/>
        </w:trPr>
        <w:tc>
          <w:tcPr>
            <w:tcW w:w="516" w:type="dxa"/>
            <w:vAlign w:val="center"/>
          </w:tcPr>
          <w:p>
            <w:pPr>
              <w:jc w:val="center"/>
              <w:rPr>
                <w:sz w:val="24"/>
              </w:rPr>
            </w:pPr>
            <w:r>
              <w:rPr>
                <w:sz w:val="24"/>
              </w:rPr>
              <w:t>4</w:t>
            </w:r>
          </w:p>
        </w:tc>
        <w:tc>
          <w:tcPr>
            <w:tcW w:w="863" w:type="dxa"/>
            <w:vAlign w:val="center"/>
          </w:tcPr>
          <w:p>
            <w:pPr>
              <w:jc w:val="center"/>
              <w:rPr>
                <w:sz w:val="24"/>
              </w:rPr>
            </w:pPr>
            <w:r>
              <w:rPr>
                <w:sz w:val="24"/>
              </w:rPr>
              <w:t>舟山</w:t>
            </w:r>
          </w:p>
        </w:tc>
        <w:tc>
          <w:tcPr>
            <w:tcW w:w="1889" w:type="dxa"/>
            <w:vAlign w:val="center"/>
          </w:tcPr>
          <w:p>
            <w:pPr>
              <w:rPr>
                <w:sz w:val="24"/>
              </w:rPr>
            </w:pPr>
            <w:r>
              <w:rPr>
                <w:sz w:val="24"/>
              </w:rPr>
              <w:t>小店经济改革试点</w:t>
            </w:r>
          </w:p>
        </w:tc>
        <w:tc>
          <w:tcPr>
            <w:tcW w:w="6856" w:type="dxa"/>
            <w:vAlign w:val="center"/>
          </w:tcPr>
          <w:p>
            <w:pPr>
              <w:rPr>
                <w:sz w:val="24"/>
              </w:rPr>
            </w:pPr>
            <w:r>
              <w:rPr>
                <w:sz w:val="24"/>
              </w:rPr>
              <w:t>至2025年，打造形成520步行街、沈家门夜排档街区、定海中大街、沈家门西大街、嵊泗花鸟岛民宿街区、嵊泗枸杞岛风情街区等一批街区小店集聚区。</w:t>
            </w:r>
          </w:p>
        </w:tc>
        <w:tc>
          <w:tcPr>
            <w:tcW w:w="1242" w:type="dxa"/>
            <w:vAlign w:val="center"/>
          </w:tcPr>
          <w:p>
            <w:pPr>
              <w:jc w:val="center"/>
              <w:rPr>
                <w:sz w:val="24"/>
              </w:rPr>
            </w:pPr>
            <w:r>
              <w:rPr>
                <w:sz w:val="24"/>
              </w:rPr>
              <w:t>2020-2025</w:t>
            </w:r>
          </w:p>
        </w:tc>
        <w:tc>
          <w:tcPr>
            <w:tcW w:w="1675" w:type="dxa"/>
            <w:vAlign w:val="center"/>
          </w:tcPr>
          <w:p>
            <w:pPr>
              <w:widowControl/>
              <w:jc w:val="center"/>
              <w:textAlignment w:val="center"/>
              <w:rPr>
                <w:sz w:val="24"/>
              </w:rPr>
            </w:pPr>
            <w:r>
              <w:rPr>
                <w:sz w:val="24"/>
              </w:rPr>
              <w:t>舟山市商务局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198" w:hRule="atLeast"/>
          <w:jc w:val="center"/>
        </w:trPr>
        <w:tc>
          <w:tcPr>
            <w:tcW w:w="516" w:type="dxa"/>
            <w:vAlign w:val="center"/>
          </w:tcPr>
          <w:p>
            <w:pPr>
              <w:jc w:val="center"/>
              <w:rPr>
                <w:sz w:val="24"/>
              </w:rPr>
            </w:pPr>
            <w:r>
              <w:rPr>
                <w:sz w:val="24"/>
              </w:rPr>
              <w:t>5</w:t>
            </w:r>
          </w:p>
        </w:tc>
        <w:tc>
          <w:tcPr>
            <w:tcW w:w="863" w:type="dxa"/>
            <w:vAlign w:val="center"/>
          </w:tcPr>
          <w:p>
            <w:pPr>
              <w:jc w:val="center"/>
              <w:rPr>
                <w:sz w:val="24"/>
              </w:rPr>
            </w:pPr>
            <w:r>
              <w:rPr>
                <w:sz w:val="24"/>
              </w:rPr>
              <w:t>舟山</w:t>
            </w:r>
          </w:p>
        </w:tc>
        <w:tc>
          <w:tcPr>
            <w:tcW w:w="1889" w:type="dxa"/>
            <w:vAlign w:val="center"/>
          </w:tcPr>
          <w:p>
            <w:pPr>
              <w:widowControl/>
              <w:textAlignment w:val="center"/>
              <w:rPr>
                <w:sz w:val="24"/>
              </w:rPr>
            </w:pPr>
            <w:r>
              <w:rPr>
                <w:sz w:val="24"/>
              </w:rPr>
              <w:t>夜间经济示范街区和集聚区建设</w:t>
            </w:r>
          </w:p>
        </w:tc>
        <w:tc>
          <w:tcPr>
            <w:tcW w:w="6856" w:type="dxa"/>
            <w:vAlign w:val="center"/>
          </w:tcPr>
          <w:p>
            <w:pPr>
              <w:widowControl/>
              <w:textAlignment w:val="center"/>
              <w:rPr>
                <w:sz w:val="24"/>
              </w:rPr>
            </w:pPr>
            <w:r>
              <w:rPr>
                <w:sz w:val="24"/>
              </w:rPr>
              <w:t>根据《舟山市加快推进夜间经济发展的实施意见》要求，全力打造夜间经济十大标志性项目，着力提升10条夜间经济试点街区，培育10条夜间经济消费街区。</w:t>
            </w:r>
          </w:p>
        </w:tc>
        <w:tc>
          <w:tcPr>
            <w:tcW w:w="1242" w:type="dxa"/>
            <w:vAlign w:val="center"/>
          </w:tcPr>
          <w:p>
            <w:pPr>
              <w:jc w:val="center"/>
              <w:rPr>
                <w:sz w:val="24"/>
              </w:rPr>
            </w:pPr>
            <w:r>
              <w:rPr>
                <w:sz w:val="24"/>
              </w:rPr>
              <w:t>2021-2025</w:t>
            </w:r>
          </w:p>
        </w:tc>
        <w:tc>
          <w:tcPr>
            <w:tcW w:w="1675" w:type="dxa"/>
            <w:vAlign w:val="center"/>
          </w:tcPr>
          <w:p>
            <w:pPr>
              <w:widowControl/>
              <w:jc w:val="center"/>
              <w:textAlignment w:val="center"/>
              <w:rPr>
                <w:sz w:val="24"/>
              </w:rPr>
            </w:pPr>
            <w:r>
              <w:rPr>
                <w:sz w:val="24"/>
              </w:rPr>
              <w:t>舟山市商务局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805" w:hRule="atLeast"/>
          <w:jc w:val="center"/>
        </w:trPr>
        <w:tc>
          <w:tcPr>
            <w:tcW w:w="516" w:type="dxa"/>
            <w:vAlign w:val="center"/>
          </w:tcPr>
          <w:p>
            <w:pPr>
              <w:jc w:val="center"/>
              <w:rPr>
                <w:sz w:val="24"/>
              </w:rPr>
            </w:pPr>
            <w:r>
              <w:rPr>
                <w:sz w:val="24"/>
              </w:rPr>
              <w:t>6</w:t>
            </w:r>
          </w:p>
        </w:tc>
        <w:tc>
          <w:tcPr>
            <w:tcW w:w="863" w:type="dxa"/>
            <w:vAlign w:val="center"/>
          </w:tcPr>
          <w:p>
            <w:pPr>
              <w:jc w:val="center"/>
              <w:rPr>
                <w:sz w:val="24"/>
              </w:rPr>
            </w:pPr>
            <w:r>
              <w:rPr>
                <w:sz w:val="24"/>
              </w:rPr>
              <w:t>舟山</w:t>
            </w:r>
          </w:p>
        </w:tc>
        <w:tc>
          <w:tcPr>
            <w:tcW w:w="1889" w:type="dxa"/>
            <w:vAlign w:val="center"/>
          </w:tcPr>
          <w:p>
            <w:pPr>
              <w:widowControl/>
              <w:textAlignment w:val="center"/>
              <w:rPr>
                <w:sz w:val="24"/>
              </w:rPr>
            </w:pPr>
            <w:r>
              <w:rPr>
                <w:sz w:val="24"/>
              </w:rPr>
              <w:t>成品油分销体系改革</w:t>
            </w:r>
          </w:p>
        </w:tc>
        <w:tc>
          <w:tcPr>
            <w:tcW w:w="6856" w:type="dxa"/>
            <w:vAlign w:val="center"/>
          </w:tcPr>
          <w:p>
            <w:pPr>
              <w:widowControl/>
              <w:textAlignment w:val="center"/>
              <w:rPr>
                <w:sz w:val="24"/>
              </w:rPr>
            </w:pPr>
            <w:r>
              <w:rPr>
                <w:sz w:val="24"/>
              </w:rPr>
              <w:t>至2025年，拟新建18个加油站，7个综合功能站、撬装式加油站，迁建、扩建15个加油站。</w:t>
            </w:r>
          </w:p>
        </w:tc>
        <w:tc>
          <w:tcPr>
            <w:tcW w:w="1242" w:type="dxa"/>
            <w:vAlign w:val="center"/>
          </w:tcPr>
          <w:p>
            <w:pPr>
              <w:jc w:val="center"/>
              <w:rPr>
                <w:sz w:val="24"/>
              </w:rPr>
            </w:pPr>
            <w:r>
              <w:rPr>
                <w:sz w:val="24"/>
              </w:rPr>
              <w:t>2020-2025</w:t>
            </w:r>
          </w:p>
        </w:tc>
        <w:tc>
          <w:tcPr>
            <w:tcW w:w="1675" w:type="dxa"/>
            <w:vAlign w:val="center"/>
          </w:tcPr>
          <w:p>
            <w:pPr>
              <w:widowControl/>
              <w:jc w:val="center"/>
              <w:textAlignment w:val="center"/>
              <w:rPr>
                <w:sz w:val="24"/>
              </w:rPr>
            </w:pPr>
            <w:r>
              <w:rPr>
                <w:sz w:val="24"/>
              </w:rPr>
              <w:t>舟山市商务局</w:t>
            </w:r>
          </w:p>
        </w:tc>
      </w:tr>
    </w:tbl>
    <w:p>
      <w:pPr>
        <w:overflowPunct w:val="0"/>
        <w:spacing w:line="590" w:lineRule="exact"/>
        <w:rPr>
          <w:rFonts w:eastAsia="黑体"/>
          <w:bCs/>
          <w:szCs w:val="32"/>
        </w:rPr>
      </w:pPr>
      <w:bookmarkStart w:id="163" w:name="_Toc28387"/>
      <w:bookmarkStart w:id="164" w:name="_Toc12550"/>
      <w:r>
        <w:rPr>
          <w:rFonts w:eastAsia="黑体"/>
          <w:sz w:val="36"/>
          <w:szCs w:val="36"/>
        </w:rPr>
        <w:br w:type="column"/>
      </w:r>
      <w:r>
        <w:rPr>
          <w:rFonts w:eastAsia="黑体"/>
          <w:bCs/>
          <w:szCs w:val="32"/>
        </w:rPr>
        <w:t>附件3</w:t>
      </w:r>
    </w:p>
    <w:p>
      <w:pPr>
        <w:overflowPunct w:val="0"/>
        <w:spacing w:before="240" w:beforeLines="100" w:after="240" w:afterLines="100" w:line="590" w:lineRule="exact"/>
        <w:jc w:val="center"/>
        <w:rPr>
          <w:rFonts w:eastAsia="方正小标宋简体"/>
          <w:sz w:val="44"/>
          <w:szCs w:val="44"/>
        </w:rPr>
      </w:pPr>
      <w:r>
        <w:rPr>
          <w:rFonts w:eastAsia="方正小标宋简体"/>
          <w:sz w:val="44"/>
          <w:szCs w:val="44"/>
        </w:rPr>
        <w:t>国内贸易发展“十四五”重大项目汇总表</w:t>
      </w:r>
      <w:bookmarkEnd w:id="163"/>
      <w:bookmarkEnd w:id="164"/>
    </w:p>
    <w:tbl>
      <w:tblPr>
        <w:tblStyle w:val="11"/>
        <w:tblW w:w="1308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
      <w:tblGrid>
        <w:gridCol w:w="498"/>
        <w:gridCol w:w="789"/>
        <w:gridCol w:w="3193"/>
        <w:gridCol w:w="4851"/>
        <w:gridCol w:w="1264"/>
        <w:gridCol w:w="995"/>
        <w:gridCol w:w="14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tblHeader/>
          <w:jc w:val="center"/>
        </w:trPr>
        <w:tc>
          <w:tcPr>
            <w:tcW w:w="498" w:type="dxa"/>
            <w:vAlign w:val="center"/>
          </w:tcPr>
          <w:p>
            <w:pPr>
              <w:jc w:val="center"/>
              <w:rPr>
                <w:rFonts w:ascii="黑体" w:hAnsi="黑体" w:eastAsia="黑体"/>
                <w:bCs/>
                <w:sz w:val="24"/>
              </w:rPr>
            </w:pPr>
            <w:r>
              <w:rPr>
                <w:rFonts w:ascii="黑体" w:hAnsi="黑体" w:eastAsia="黑体"/>
                <w:bCs/>
                <w:sz w:val="24"/>
              </w:rPr>
              <w:t>序号</w:t>
            </w:r>
          </w:p>
        </w:tc>
        <w:tc>
          <w:tcPr>
            <w:tcW w:w="789" w:type="dxa"/>
            <w:vAlign w:val="center"/>
          </w:tcPr>
          <w:p>
            <w:pPr>
              <w:jc w:val="center"/>
              <w:rPr>
                <w:rFonts w:ascii="黑体" w:hAnsi="黑体" w:eastAsia="黑体"/>
                <w:bCs/>
                <w:sz w:val="24"/>
              </w:rPr>
            </w:pPr>
            <w:r>
              <w:rPr>
                <w:rFonts w:ascii="黑体" w:hAnsi="黑体" w:eastAsia="黑体"/>
                <w:bCs/>
                <w:sz w:val="24"/>
              </w:rPr>
              <w:t>地区</w:t>
            </w:r>
          </w:p>
        </w:tc>
        <w:tc>
          <w:tcPr>
            <w:tcW w:w="3193" w:type="dxa"/>
            <w:vAlign w:val="center"/>
          </w:tcPr>
          <w:p>
            <w:pPr>
              <w:jc w:val="center"/>
              <w:rPr>
                <w:rFonts w:ascii="黑体" w:hAnsi="黑体" w:eastAsia="黑体"/>
                <w:bCs/>
                <w:sz w:val="24"/>
              </w:rPr>
            </w:pPr>
            <w:r>
              <w:rPr>
                <w:rFonts w:ascii="黑体" w:hAnsi="黑体" w:eastAsia="黑体"/>
                <w:bCs/>
                <w:sz w:val="24"/>
              </w:rPr>
              <w:t>名</w:t>
            </w:r>
            <w:r>
              <w:rPr>
                <w:rFonts w:hint="eastAsia" w:ascii="黑体" w:hAnsi="黑体" w:eastAsia="黑体"/>
                <w:bCs/>
                <w:sz w:val="24"/>
              </w:rPr>
              <w:t xml:space="preserve">  </w:t>
            </w:r>
            <w:r>
              <w:rPr>
                <w:rFonts w:ascii="黑体" w:hAnsi="黑体" w:eastAsia="黑体"/>
                <w:bCs/>
                <w:sz w:val="24"/>
              </w:rPr>
              <w:t>称</w:t>
            </w:r>
          </w:p>
        </w:tc>
        <w:tc>
          <w:tcPr>
            <w:tcW w:w="4851" w:type="dxa"/>
            <w:vAlign w:val="center"/>
          </w:tcPr>
          <w:p>
            <w:pPr>
              <w:jc w:val="center"/>
              <w:rPr>
                <w:rFonts w:ascii="黑体" w:hAnsi="黑体" w:eastAsia="黑体"/>
                <w:bCs/>
                <w:sz w:val="24"/>
              </w:rPr>
            </w:pPr>
            <w:r>
              <w:rPr>
                <w:rFonts w:ascii="黑体" w:hAnsi="黑体" w:eastAsia="黑体"/>
                <w:bCs/>
                <w:sz w:val="24"/>
              </w:rPr>
              <w:t>主</w:t>
            </w:r>
            <w:r>
              <w:rPr>
                <w:rFonts w:hint="eastAsia" w:ascii="黑体" w:hAnsi="黑体" w:eastAsia="黑体"/>
                <w:bCs/>
                <w:sz w:val="24"/>
              </w:rPr>
              <w:t xml:space="preserve">  </w:t>
            </w:r>
            <w:r>
              <w:rPr>
                <w:rFonts w:ascii="黑体" w:hAnsi="黑体" w:eastAsia="黑体"/>
                <w:bCs/>
                <w:sz w:val="24"/>
              </w:rPr>
              <w:t>要</w:t>
            </w:r>
            <w:r>
              <w:rPr>
                <w:rFonts w:hint="eastAsia" w:ascii="黑体" w:hAnsi="黑体" w:eastAsia="黑体"/>
                <w:bCs/>
                <w:sz w:val="24"/>
              </w:rPr>
              <w:t xml:space="preserve">  </w:t>
            </w:r>
            <w:r>
              <w:rPr>
                <w:rFonts w:ascii="黑体" w:hAnsi="黑体" w:eastAsia="黑体"/>
                <w:bCs/>
                <w:sz w:val="24"/>
              </w:rPr>
              <w:t>内</w:t>
            </w:r>
            <w:r>
              <w:rPr>
                <w:rFonts w:hint="eastAsia" w:ascii="黑体" w:hAnsi="黑体" w:eastAsia="黑体"/>
                <w:bCs/>
                <w:sz w:val="24"/>
              </w:rPr>
              <w:t xml:space="preserve">  </w:t>
            </w:r>
            <w:r>
              <w:rPr>
                <w:rFonts w:ascii="黑体" w:hAnsi="黑体" w:eastAsia="黑体"/>
                <w:bCs/>
                <w:sz w:val="24"/>
              </w:rPr>
              <w:t>容</w:t>
            </w:r>
          </w:p>
        </w:tc>
        <w:tc>
          <w:tcPr>
            <w:tcW w:w="1264" w:type="dxa"/>
            <w:vAlign w:val="center"/>
          </w:tcPr>
          <w:p>
            <w:pPr>
              <w:jc w:val="center"/>
              <w:rPr>
                <w:rFonts w:ascii="黑体" w:hAnsi="黑体" w:eastAsia="黑体"/>
                <w:bCs/>
                <w:sz w:val="24"/>
              </w:rPr>
            </w:pPr>
            <w:r>
              <w:rPr>
                <w:rFonts w:ascii="黑体" w:hAnsi="黑体" w:eastAsia="黑体"/>
                <w:bCs/>
                <w:sz w:val="24"/>
              </w:rPr>
              <w:t>实施期限</w:t>
            </w:r>
          </w:p>
        </w:tc>
        <w:tc>
          <w:tcPr>
            <w:tcW w:w="995" w:type="dxa"/>
            <w:vAlign w:val="center"/>
          </w:tcPr>
          <w:p>
            <w:pPr>
              <w:jc w:val="center"/>
              <w:rPr>
                <w:rFonts w:ascii="黑体" w:hAnsi="黑体" w:eastAsia="黑体"/>
                <w:bCs/>
                <w:sz w:val="24"/>
              </w:rPr>
            </w:pPr>
            <w:r>
              <w:rPr>
                <w:rFonts w:ascii="黑体" w:hAnsi="黑体" w:eastAsia="黑体"/>
                <w:bCs/>
                <w:sz w:val="24"/>
              </w:rPr>
              <w:t>投资额</w:t>
            </w:r>
          </w:p>
          <w:p>
            <w:pPr>
              <w:jc w:val="center"/>
              <w:rPr>
                <w:rFonts w:ascii="黑体" w:hAnsi="黑体" w:eastAsia="黑体"/>
                <w:bCs/>
                <w:sz w:val="24"/>
              </w:rPr>
            </w:pPr>
            <w:r>
              <w:rPr>
                <w:rFonts w:ascii="黑体" w:hAnsi="黑体" w:eastAsia="黑体"/>
                <w:bCs/>
                <w:sz w:val="24"/>
              </w:rPr>
              <w:t>（亿元）</w:t>
            </w:r>
          </w:p>
        </w:tc>
        <w:tc>
          <w:tcPr>
            <w:tcW w:w="1498" w:type="dxa"/>
            <w:vAlign w:val="center"/>
          </w:tcPr>
          <w:p>
            <w:pPr>
              <w:jc w:val="center"/>
              <w:rPr>
                <w:rFonts w:ascii="黑体" w:hAnsi="黑体" w:eastAsia="黑体"/>
                <w:bCs/>
                <w:sz w:val="24"/>
              </w:rPr>
            </w:pPr>
            <w:r>
              <w:rPr>
                <w:rFonts w:ascii="黑体" w:hAnsi="黑体" w:eastAsia="黑体"/>
                <w:bCs/>
                <w:sz w:val="24"/>
              </w:rPr>
              <w:t>责任单位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1</w:t>
            </w:r>
          </w:p>
        </w:tc>
        <w:tc>
          <w:tcPr>
            <w:tcW w:w="789" w:type="dxa"/>
            <w:vAlign w:val="center"/>
          </w:tcPr>
          <w:p>
            <w:pPr>
              <w:jc w:val="center"/>
              <w:rPr>
                <w:sz w:val="24"/>
              </w:rPr>
            </w:pPr>
            <w:r>
              <w:rPr>
                <w:sz w:val="24"/>
              </w:rPr>
              <w:t>杭州</w:t>
            </w:r>
          </w:p>
        </w:tc>
        <w:tc>
          <w:tcPr>
            <w:tcW w:w="3193" w:type="dxa"/>
            <w:vAlign w:val="center"/>
          </w:tcPr>
          <w:p>
            <w:pPr>
              <w:rPr>
                <w:sz w:val="24"/>
              </w:rPr>
            </w:pPr>
            <w:r>
              <w:rPr>
                <w:sz w:val="24"/>
              </w:rPr>
              <w:t>宝龙城市广场商业项目</w:t>
            </w:r>
          </w:p>
        </w:tc>
        <w:tc>
          <w:tcPr>
            <w:tcW w:w="4851" w:type="dxa"/>
            <w:vAlign w:val="center"/>
          </w:tcPr>
          <w:p>
            <w:pPr>
              <w:rPr>
                <w:sz w:val="24"/>
              </w:rPr>
            </w:pPr>
            <w:r>
              <w:rPr>
                <w:sz w:val="24"/>
              </w:rPr>
              <w:t>商贸综合体</w:t>
            </w:r>
          </w:p>
        </w:tc>
        <w:tc>
          <w:tcPr>
            <w:tcW w:w="1264" w:type="dxa"/>
            <w:vAlign w:val="center"/>
          </w:tcPr>
          <w:p>
            <w:pPr>
              <w:jc w:val="center"/>
              <w:rPr>
                <w:sz w:val="24"/>
              </w:rPr>
            </w:pPr>
            <w:r>
              <w:rPr>
                <w:sz w:val="24"/>
              </w:rPr>
              <w:t>2020-2024</w:t>
            </w:r>
          </w:p>
        </w:tc>
        <w:tc>
          <w:tcPr>
            <w:tcW w:w="995" w:type="dxa"/>
            <w:vAlign w:val="center"/>
          </w:tcPr>
          <w:p>
            <w:pPr>
              <w:jc w:val="center"/>
              <w:rPr>
                <w:sz w:val="24"/>
              </w:rPr>
            </w:pPr>
            <w:r>
              <w:rPr>
                <w:sz w:val="24"/>
              </w:rPr>
              <w:t>20</w:t>
            </w:r>
          </w:p>
        </w:tc>
        <w:tc>
          <w:tcPr>
            <w:tcW w:w="1498" w:type="dxa"/>
            <w:vAlign w:val="center"/>
          </w:tcPr>
          <w:p>
            <w:pPr>
              <w:jc w:val="center"/>
              <w:rPr>
                <w:sz w:val="24"/>
              </w:rPr>
            </w:pPr>
            <w:r>
              <w:rPr>
                <w:sz w:val="24"/>
              </w:rPr>
              <w:t>拱墅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127" w:hRule="atLeast"/>
          <w:jc w:val="center"/>
        </w:trPr>
        <w:tc>
          <w:tcPr>
            <w:tcW w:w="498" w:type="dxa"/>
            <w:vAlign w:val="center"/>
          </w:tcPr>
          <w:p>
            <w:pPr>
              <w:jc w:val="center"/>
              <w:rPr>
                <w:sz w:val="24"/>
              </w:rPr>
            </w:pPr>
            <w:r>
              <w:rPr>
                <w:sz w:val="24"/>
              </w:rPr>
              <w:t>2</w:t>
            </w:r>
          </w:p>
        </w:tc>
        <w:tc>
          <w:tcPr>
            <w:tcW w:w="789" w:type="dxa"/>
            <w:vAlign w:val="center"/>
          </w:tcPr>
          <w:p>
            <w:pPr>
              <w:jc w:val="center"/>
              <w:rPr>
                <w:sz w:val="24"/>
              </w:rPr>
            </w:pPr>
            <w:r>
              <w:rPr>
                <w:sz w:val="24"/>
              </w:rPr>
              <w:t>杭州</w:t>
            </w:r>
          </w:p>
        </w:tc>
        <w:tc>
          <w:tcPr>
            <w:tcW w:w="3193" w:type="dxa"/>
            <w:vAlign w:val="center"/>
          </w:tcPr>
          <w:p>
            <w:pPr>
              <w:rPr>
                <w:sz w:val="24"/>
              </w:rPr>
            </w:pPr>
            <w:r>
              <w:rPr>
                <w:sz w:val="24"/>
              </w:rPr>
              <w:t>上塘单元FG04-R22-01地块居住区配套公共服务设施（上塘邻里中心）</w:t>
            </w:r>
          </w:p>
        </w:tc>
        <w:tc>
          <w:tcPr>
            <w:tcW w:w="4851" w:type="dxa"/>
            <w:vAlign w:val="center"/>
          </w:tcPr>
          <w:p>
            <w:pPr>
              <w:rPr>
                <w:sz w:val="24"/>
              </w:rPr>
            </w:pPr>
            <w:r>
              <w:rPr>
                <w:sz w:val="24"/>
              </w:rPr>
              <w:t>邻里中心，总面积58293平方米</w:t>
            </w:r>
          </w:p>
        </w:tc>
        <w:tc>
          <w:tcPr>
            <w:tcW w:w="1264" w:type="dxa"/>
            <w:vAlign w:val="center"/>
          </w:tcPr>
          <w:p>
            <w:pPr>
              <w:jc w:val="center"/>
              <w:rPr>
                <w:sz w:val="24"/>
              </w:rPr>
            </w:pPr>
            <w:r>
              <w:rPr>
                <w:sz w:val="24"/>
              </w:rPr>
              <w:t>2019-2021</w:t>
            </w:r>
          </w:p>
        </w:tc>
        <w:tc>
          <w:tcPr>
            <w:tcW w:w="995" w:type="dxa"/>
            <w:vAlign w:val="center"/>
          </w:tcPr>
          <w:p>
            <w:pPr>
              <w:jc w:val="center"/>
              <w:rPr>
                <w:sz w:val="24"/>
              </w:rPr>
            </w:pPr>
            <w:r>
              <w:rPr>
                <w:sz w:val="24"/>
              </w:rPr>
              <w:t>6.18</w:t>
            </w:r>
          </w:p>
        </w:tc>
        <w:tc>
          <w:tcPr>
            <w:tcW w:w="1498" w:type="dxa"/>
            <w:vAlign w:val="center"/>
          </w:tcPr>
          <w:p>
            <w:pPr>
              <w:jc w:val="center"/>
              <w:rPr>
                <w:sz w:val="24"/>
              </w:rPr>
            </w:pPr>
            <w:r>
              <w:rPr>
                <w:sz w:val="24"/>
              </w:rPr>
              <w:t>拱墅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680" w:hRule="atLeast"/>
          <w:jc w:val="center"/>
        </w:trPr>
        <w:tc>
          <w:tcPr>
            <w:tcW w:w="498" w:type="dxa"/>
            <w:vAlign w:val="center"/>
          </w:tcPr>
          <w:p>
            <w:pPr>
              <w:jc w:val="center"/>
              <w:rPr>
                <w:sz w:val="24"/>
              </w:rPr>
            </w:pPr>
            <w:r>
              <w:rPr>
                <w:sz w:val="24"/>
              </w:rPr>
              <w:t>3</w:t>
            </w:r>
          </w:p>
        </w:tc>
        <w:tc>
          <w:tcPr>
            <w:tcW w:w="789" w:type="dxa"/>
            <w:vAlign w:val="center"/>
          </w:tcPr>
          <w:p>
            <w:pPr>
              <w:jc w:val="center"/>
              <w:rPr>
                <w:sz w:val="24"/>
              </w:rPr>
            </w:pPr>
            <w:r>
              <w:rPr>
                <w:sz w:val="24"/>
              </w:rPr>
              <w:t>杭州</w:t>
            </w:r>
          </w:p>
        </w:tc>
        <w:tc>
          <w:tcPr>
            <w:tcW w:w="3193" w:type="dxa"/>
            <w:vAlign w:val="center"/>
          </w:tcPr>
          <w:p>
            <w:pPr>
              <w:rPr>
                <w:sz w:val="24"/>
              </w:rPr>
            </w:pPr>
            <w:r>
              <w:rPr>
                <w:sz w:val="24"/>
              </w:rPr>
              <w:t>铁路北站单元GS1104-14地块（农贸市场）</w:t>
            </w:r>
          </w:p>
        </w:tc>
        <w:tc>
          <w:tcPr>
            <w:tcW w:w="4851" w:type="dxa"/>
            <w:vAlign w:val="center"/>
          </w:tcPr>
          <w:p>
            <w:pPr>
              <w:rPr>
                <w:sz w:val="24"/>
              </w:rPr>
            </w:pPr>
            <w:r>
              <w:rPr>
                <w:sz w:val="24"/>
              </w:rPr>
              <w:t>农贸市场，总面积10575平方米</w:t>
            </w:r>
          </w:p>
        </w:tc>
        <w:tc>
          <w:tcPr>
            <w:tcW w:w="1264" w:type="dxa"/>
            <w:vAlign w:val="center"/>
          </w:tcPr>
          <w:p>
            <w:pPr>
              <w:jc w:val="center"/>
              <w:rPr>
                <w:sz w:val="24"/>
              </w:rPr>
            </w:pPr>
            <w:r>
              <w:rPr>
                <w:sz w:val="24"/>
              </w:rPr>
              <w:t>2021-2022</w:t>
            </w:r>
          </w:p>
        </w:tc>
        <w:tc>
          <w:tcPr>
            <w:tcW w:w="995" w:type="dxa"/>
            <w:vAlign w:val="center"/>
          </w:tcPr>
          <w:p>
            <w:pPr>
              <w:jc w:val="center"/>
              <w:rPr>
                <w:sz w:val="24"/>
              </w:rPr>
            </w:pPr>
            <w:r>
              <w:rPr>
                <w:sz w:val="24"/>
              </w:rPr>
              <w:t>0.8</w:t>
            </w:r>
          </w:p>
        </w:tc>
        <w:tc>
          <w:tcPr>
            <w:tcW w:w="1498" w:type="dxa"/>
            <w:vAlign w:val="center"/>
          </w:tcPr>
          <w:p>
            <w:pPr>
              <w:jc w:val="center"/>
              <w:rPr>
                <w:sz w:val="24"/>
              </w:rPr>
            </w:pPr>
            <w:r>
              <w:rPr>
                <w:sz w:val="24"/>
              </w:rPr>
              <w:t>拱墅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680" w:hRule="atLeast"/>
          <w:jc w:val="center"/>
        </w:trPr>
        <w:tc>
          <w:tcPr>
            <w:tcW w:w="498" w:type="dxa"/>
            <w:vAlign w:val="center"/>
          </w:tcPr>
          <w:p>
            <w:pPr>
              <w:jc w:val="center"/>
              <w:rPr>
                <w:sz w:val="24"/>
              </w:rPr>
            </w:pPr>
            <w:r>
              <w:rPr>
                <w:sz w:val="24"/>
              </w:rPr>
              <w:t>4</w:t>
            </w:r>
          </w:p>
        </w:tc>
        <w:tc>
          <w:tcPr>
            <w:tcW w:w="789" w:type="dxa"/>
            <w:vAlign w:val="center"/>
          </w:tcPr>
          <w:p>
            <w:pPr>
              <w:jc w:val="center"/>
              <w:rPr>
                <w:sz w:val="24"/>
              </w:rPr>
            </w:pPr>
            <w:r>
              <w:rPr>
                <w:sz w:val="24"/>
              </w:rPr>
              <w:t>杭州</w:t>
            </w:r>
          </w:p>
        </w:tc>
        <w:tc>
          <w:tcPr>
            <w:tcW w:w="3193" w:type="dxa"/>
            <w:vAlign w:val="center"/>
          </w:tcPr>
          <w:p>
            <w:pPr>
              <w:rPr>
                <w:sz w:val="24"/>
              </w:rPr>
            </w:pPr>
            <w:r>
              <w:rPr>
                <w:sz w:val="24"/>
              </w:rPr>
              <w:t>铁北单元GS1102-R22-08地块农贸市场及配套（瓜山北）</w:t>
            </w:r>
          </w:p>
        </w:tc>
        <w:tc>
          <w:tcPr>
            <w:tcW w:w="4851" w:type="dxa"/>
            <w:vAlign w:val="center"/>
          </w:tcPr>
          <w:p>
            <w:pPr>
              <w:rPr>
                <w:sz w:val="24"/>
              </w:rPr>
            </w:pPr>
            <w:r>
              <w:rPr>
                <w:sz w:val="24"/>
              </w:rPr>
              <w:t>农贸市场及配套，总面积11531平方米</w:t>
            </w:r>
          </w:p>
        </w:tc>
        <w:tc>
          <w:tcPr>
            <w:tcW w:w="1264" w:type="dxa"/>
            <w:vAlign w:val="center"/>
          </w:tcPr>
          <w:p>
            <w:pPr>
              <w:jc w:val="center"/>
              <w:rPr>
                <w:sz w:val="24"/>
              </w:rPr>
            </w:pPr>
            <w:r>
              <w:rPr>
                <w:sz w:val="24"/>
              </w:rPr>
              <w:t>2020-2023</w:t>
            </w:r>
          </w:p>
        </w:tc>
        <w:tc>
          <w:tcPr>
            <w:tcW w:w="995" w:type="dxa"/>
            <w:vAlign w:val="center"/>
          </w:tcPr>
          <w:p>
            <w:pPr>
              <w:jc w:val="center"/>
              <w:rPr>
                <w:sz w:val="24"/>
              </w:rPr>
            </w:pPr>
            <w:r>
              <w:rPr>
                <w:sz w:val="24"/>
              </w:rPr>
              <w:t>0.78</w:t>
            </w:r>
          </w:p>
        </w:tc>
        <w:tc>
          <w:tcPr>
            <w:tcW w:w="1498" w:type="dxa"/>
            <w:vAlign w:val="center"/>
          </w:tcPr>
          <w:p>
            <w:pPr>
              <w:jc w:val="center"/>
              <w:rPr>
                <w:sz w:val="24"/>
              </w:rPr>
            </w:pPr>
            <w:r>
              <w:rPr>
                <w:sz w:val="24"/>
              </w:rPr>
              <w:t>拱墅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680" w:hRule="atLeast"/>
          <w:jc w:val="center"/>
        </w:trPr>
        <w:tc>
          <w:tcPr>
            <w:tcW w:w="498" w:type="dxa"/>
            <w:vAlign w:val="center"/>
          </w:tcPr>
          <w:p>
            <w:pPr>
              <w:jc w:val="center"/>
              <w:rPr>
                <w:sz w:val="24"/>
              </w:rPr>
            </w:pPr>
            <w:r>
              <w:rPr>
                <w:sz w:val="24"/>
              </w:rPr>
              <w:t>5</w:t>
            </w:r>
          </w:p>
        </w:tc>
        <w:tc>
          <w:tcPr>
            <w:tcW w:w="789" w:type="dxa"/>
            <w:vAlign w:val="center"/>
          </w:tcPr>
          <w:p>
            <w:pPr>
              <w:jc w:val="center"/>
              <w:rPr>
                <w:sz w:val="24"/>
              </w:rPr>
            </w:pPr>
            <w:r>
              <w:rPr>
                <w:sz w:val="24"/>
              </w:rPr>
              <w:t>杭州</w:t>
            </w:r>
          </w:p>
        </w:tc>
        <w:tc>
          <w:tcPr>
            <w:tcW w:w="3193" w:type="dxa"/>
            <w:vAlign w:val="center"/>
          </w:tcPr>
          <w:p>
            <w:pPr>
              <w:rPr>
                <w:sz w:val="24"/>
              </w:rPr>
            </w:pPr>
            <w:r>
              <w:rPr>
                <w:sz w:val="24"/>
              </w:rPr>
              <w:t>庆隆小河单元GS0305-15地块公共服务设施工程</w:t>
            </w:r>
          </w:p>
        </w:tc>
        <w:tc>
          <w:tcPr>
            <w:tcW w:w="4851" w:type="dxa"/>
            <w:vAlign w:val="center"/>
          </w:tcPr>
          <w:p>
            <w:pPr>
              <w:rPr>
                <w:sz w:val="24"/>
              </w:rPr>
            </w:pPr>
            <w:r>
              <w:rPr>
                <w:sz w:val="24"/>
              </w:rPr>
              <w:t>建筑面积50151平方米</w:t>
            </w:r>
          </w:p>
        </w:tc>
        <w:tc>
          <w:tcPr>
            <w:tcW w:w="1264" w:type="dxa"/>
            <w:vAlign w:val="center"/>
          </w:tcPr>
          <w:p>
            <w:pPr>
              <w:jc w:val="center"/>
              <w:rPr>
                <w:sz w:val="24"/>
              </w:rPr>
            </w:pPr>
            <w:r>
              <w:rPr>
                <w:sz w:val="24"/>
              </w:rPr>
              <w:t>2019-2022</w:t>
            </w:r>
          </w:p>
        </w:tc>
        <w:tc>
          <w:tcPr>
            <w:tcW w:w="995" w:type="dxa"/>
            <w:vAlign w:val="center"/>
          </w:tcPr>
          <w:p>
            <w:pPr>
              <w:jc w:val="center"/>
              <w:rPr>
                <w:sz w:val="24"/>
              </w:rPr>
            </w:pPr>
            <w:r>
              <w:rPr>
                <w:sz w:val="24"/>
              </w:rPr>
              <w:t>3.08</w:t>
            </w:r>
          </w:p>
        </w:tc>
        <w:tc>
          <w:tcPr>
            <w:tcW w:w="1498" w:type="dxa"/>
            <w:vAlign w:val="center"/>
          </w:tcPr>
          <w:p>
            <w:pPr>
              <w:jc w:val="center"/>
              <w:rPr>
                <w:sz w:val="24"/>
              </w:rPr>
            </w:pPr>
            <w:r>
              <w:rPr>
                <w:sz w:val="24"/>
              </w:rPr>
              <w:t>拱墅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680" w:hRule="atLeast"/>
          <w:jc w:val="center"/>
        </w:trPr>
        <w:tc>
          <w:tcPr>
            <w:tcW w:w="498" w:type="dxa"/>
            <w:vAlign w:val="center"/>
          </w:tcPr>
          <w:p>
            <w:pPr>
              <w:jc w:val="center"/>
              <w:rPr>
                <w:sz w:val="24"/>
              </w:rPr>
            </w:pPr>
            <w:r>
              <w:rPr>
                <w:sz w:val="24"/>
              </w:rPr>
              <w:t>6</w:t>
            </w:r>
          </w:p>
        </w:tc>
        <w:tc>
          <w:tcPr>
            <w:tcW w:w="789" w:type="dxa"/>
            <w:vAlign w:val="center"/>
          </w:tcPr>
          <w:p>
            <w:pPr>
              <w:jc w:val="center"/>
              <w:rPr>
                <w:sz w:val="24"/>
              </w:rPr>
            </w:pPr>
            <w:r>
              <w:rPr>
                <w:sz w:val="24"/>
              </w:rPr>
              <w:t>杭州</w:t>
            </w:r>
          </w:p>
        </w:tc>
        <w:tc>
          <w:tcPr>
            <w:tcW w:w="3193" w:type="dxa"/>
            <w:vAlign w:val="center"/>
          </w:tcPr>
          <w:p>
            <w:pPr>
              <w:rPr>
                <w:sz w:val="24"/>
              </w:rPr>
            </w:pPr>
            <w:r>
              <w:rPr>
                <w:spacing w:val="-6"/>
                <w:sz w:val="24"/>
              </w:rPr>
              <w:t>庆隆小河单元GS0304-R22/U13</w:t>
            </w:r>
            <w:r>
              <w:rPr>
                <w:rFonts w:hint="eastAsia"/>
                <w:spacing w:val="-6"/>
                <w:sz w:val="24"/>
              </w:rPr>
              <w:t xml:space="preserve"> </w:t>
            </w:r>
            <w:r>
              <w:rPr>
                <w:sz w:val="24"/>
              </w:rPr>
              <w:t>-34地块配套服务设施项目</w:t>
            </w:r>
          </w:p>
        </w:tc>
        <w:tc>
          <w:tcPr>
            <w:tcW w:w="4851" w:type="dxa"/>
            <w:vAlign w:val="center"/>
          </w:tcPr>
          <w:p>
            <w:pPr>
              <w:rPr>
                <w:sz w:val="24"/>
              </w:rPr>
            </w:pPr>
            <w:r>
              <w:rPr>
                <w:sz w:val="24"/>
              </w:rPr>
              <w:t>建筑面积19301平方米</w:t>
            </w:r>
          </w:p>
        </w:tc>
        <w:tc>
          <w:tcPr>
            <w:tcW w:w="1264" w:type="dxa"/>
            <w:vAlign w:val="center"/>
          </w:tcPr>
          <w:p>
            <w:pPr>
              <w:jc w:val="center"/>
              <w:rPr>
                <w:sz w:val="24"/>
              </w:rPr>
            </w:pPr>
            <w:r>
              <w:rPr>
                <w:sz w:val="24"/>
              </w:rPr>
              <w:t>2020-2023</w:t>
            </w:r>
          </w:p>
        </w:tc>
        <w:tc>
          <w:tcPr>
            <w:tcW w:w="995" w:type="dxa"/>
            <w:vAlign w:val="center"/>
          </w:tcPr>
          <w:p>
            <w:pPr>
              <w:jc w:val="center"/>
              <w:rPr>
                <w:sz w:val="24"/>
              </w:rPr>
            </w:pPr>
            <w:r>
              <w:rPr>
                <w:sz w:val="24"/>
              </w:rPr>
              <w:t>1.7</w:t>
            </w:r>
          </w:p>
        </w:tc>
        <w:tc>
          <w:tcPr>
            <w:tcW w:w="1498" w:type="dxa"/>
            <w:vAlign w:val="center"/>
          </w:tcPr>
          <w:p>
            <w:pPr>
              <w:jc w:val="center"/>
              <w:rPr>
                <w:sz w:val="24"/>
              </w:rPr>
            </w:pPr>
            <w:r>
              <w:rPr>
                <w:sz w:val="24"/>
              </w:rPr>
              <w:t>拱墅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142" w:hRule="atLeast"/>
          <w:jc w:val="center"/>
        </w:trPr>
        <w:tc>
          <w:tcPr>
            <w:tcW w:w="498" w:type="dxa"/>
            <w:vAlign w:val="center"/>
          </w:tcPr>
          <w:p>
            <w:pPr>
              <w:jc w:val="center"/>
              <w:rPr>
                <w:sz w:val="24"/>
              </w:rPr>
            </w:pPr>
            <w:r>
              <w:rPr>
                <w:sz w:val="24"/>
              </w:rPr>
              <w:t>7</w:t>
            </w:r>
          </w:p>
        </w:tc>
        <w:tc>
          <w:tcPr>
            <w:tcW w:w="789" w:type="dxa"/>
            <w:vAlign w:val="center"/>
          </w:tcPr>
          <w:p>
            <w:pPr>
              <w:jc w:val="center"/>
              <w:rPr>
                <w:sz w:val="24"/>
              </w:rPr>
            </w:pPr>
            <w:r>
              <w:rPr>
                <w:sz w:val="24"/>
              </w:rPr>
              <w:t>杭州</w:t>
            </w:r>
          </w:p>
        </w:tc>
        <w:tc>
          <w:tcPr>
            <w:tcW w:w="3193" w:type="dxa"/>
            <w:vAlign w:val="center"/>
          </w:tcPr>
          <w:p>
            <w:pPr>
              <w:rPr>
                <w:sz w:val="24"/>
              </w:rPr>
            </w:pPr>
            <w:r>
              <w:rPr>
                <w:sz w:val="24"/>
              </w:rPr>
              <w:t>祥符单元GS0906-R21/R22-03地块农转居公寓兼用服务设施项目</w:t>
            </w:r>
          </w:p>
        </w:tc>
        <w:tc>
          <w:tcPr>
            <w:tcW w:w="4851" w:type="dxa"/>
            <w:vAlign w:val="center"/>
          </w:tcPr>
          <w:p>
            <w:pPr>
              <w:rPr>
                <w:sz w:val="24"/>
              </w:rPr>
            </w:pPr>
            <w:r>
              <w:rPr>
                <w:sz w:val="24"/>
              </w:rPr>
              <w:t>建筑面积65415平方米</w:t>
            </w:r>
          </w:p>
        </w:tc>
        <w:tc>
          <w:tcPr>
            <w:tcW w:w="1264" w:type="dxa"/>
            <w:vAlign w:val="center"/>
          </w:tcPr>
          <w:p>
            <w:pPr>
              <w:jc w:val="center"/>
              <w:rPr>
                <w:sz w:val="24"/>
              </w:rPr>
            </w:pPr>
            <w:r>
              <w:rPr>
                <w:sz w:val="24"/>
              </w:rPr>
              <w:t>2019-2023</w:t>
            </w:r>
          </w:p>
        </w:tc>
        <w:tc>
          <w:tcPr>
            <w:tcW w:w="995" w:type="dxa"/>
            <w:vAlign w:val="center"/>
          </w:tcPr>
          <w:p>
            <w:pPr>
              <w:jc w:val="center"/>
              <w:rPr>
                <w:sz w:val="24"/>
              </w:rPr>
            </w:pPr>
            <w:r>
              <w:rPr>
                <w:sz w:val="24"/>
              </w:rPr>
              <w:t>4.86</w:t>
            </w:r>
          </w:p>
        </w:tc>
        <w:tc>
          <w:tcPr>
            <w:tcW w:w="1498" w:type="dxa"/>
            <w:vAlign w:val="center"/>
          </w:tcPr>
          <w:p>
            <w:pPr>
              <w:jc w:val="center"/>
              <w:rPr>
                <w:sz w:val="24"/>
              </w:rPr>
            </w:pPr>
            <w:r>
              <w:rPr>
                <w:sz w:val="24"/>
              </w:rPr>
              <w:t>拱墅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8</w:t>
            </w:r>
          </w:p>
        </w:tc>
        <w:tc>
          <w:tcPr>
            <w:tcW w:w="789" w:type="dxa"/>
            <w:vAlign w:val="center"/>
          </w:tcPr>
          <w:p>
            <w:pPr>
              <w:jc w:val="center"/>
              <w:rPr>
                <w:sz w:val="24"/>
              </w:rPr>
            </w:pPr>
            <w:r>
              <w:rPr>
                <w:sz w:val="24"/>
              </w:rPr>
              <w:t>杭州</w:t>
            </w:r>
          </w:p>
        </w:tc>
        <w:tc>
          <w:tcPr>
            <w:tcW w:w="3193" w:type="dxa"/>
            <w:vAlign w:val="center"/>
          </w:tcPr>
          <w:p>
            <w:pPr>
              <w:rPr>
                <w:sz w:val="24"/>
              </w:rPr>
            </w:pPr>
            <w:r>
              <w:rPr>
                <w:spacing w:val="-6"/>
                <w:sz w:val="24"/>
              </w:rPr>
              <w:t>庆隆小河单元GS0301-A1/R22</w:t>
            </w:r>
            <w:r>
              <w:rPr>
                <w:rFonts w:hint="eastAsia"/>
                <w:spacing w:val="-6"/>
                <w:sz w:val="24"/>
              </w:rPr>
              <w:t xml:space="preserve"> </w:t>
            </w:r>
            <w:r>
              <w:rPr>
                <w:sz w:val="24"/>
              </w:rPr>
              <w:t>-06地块公共服务设施项目</w:t>
            </w:r>
          </w:p>
        </w:tc>
        <w:tc>
          <w:tcPr>
            <w:tcW w:w="4851" w:type="dxa"/>
            <w:vAlign w:val="center"/>
          </w:tcPr>
          <w:p>
            <w:pPr>
              <w:rPr>
                <w:sz w:val="24"/>
              </w:rPr>
            </w:pPr>
            <w:r>
              <w:rPr>
                <w:sz w:val="24"/>
              </w:rPr>
              <w:t>建筑面积23100平方米</w:t>
            </w:r>
          </w:p>
        </w:tc>
        <w:tc>
          <w:tcPr>
            <w:tcW w:w="1264" w:type="dxa"/>
            <w:vAlign w:val="center"/>
          </w:tcPr>
          <w:p>
            <w:pPr>
              <w:jc w:val="center"/>
              <w:rPr>
                <w:sz w:val="24"/>
              </w:rPr>
            </w:pPr>
            <w:r>
              <w:rPr>
                <w:sz w:val="24"/>
              </w:rPr>
              <w:t>2020-2023</w:t>
            </w:r>
          </w:p>
        </w:tc>
        <w:tc>
          <w:tcPr>
            <w:tcW w:w="995" w:type="dxa"/>
            <w:vAlign w:val="center"/>
          </w:tcPr>
          <w:p>
            <w:pPr>
              <w:jc w:val="center"/>
              <w:rPr>
                <w:sz w:val="24"/>
              </w:rPr>
            </w:pPr>
            <w:r>
              <w:rPr>
                <w:sz w:val="24"/>
              </w:rPr>
              <w:t>2.26</w:t>
            </w:r>
          </w:p>
        </w:tc>
        <w:tc>
          <w:tcPr>
            <w:tcW w:w="1498" w:type="dxa"/>
            <w:vAlign w:val="center"/>
          </w:tcPr>
          <w:p>
            <w:pPr>
              <w:jc w:val="center"/>
              <w:rPr>
                <w:sz w:val="24"/>
              </w:rPr>
            </w:pPr>
            <w:r>
              <w:rPr>
                <w:sz w:val="24"/>
              </w:rPr>
              <w:t>拱墅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9</w:t>
            </w:r>
          </w:p>
        </w:tc>
        <w:tc>
          <w:tcPr>
            <w:tcW w:w="789" w:type="dxa"/>
            <w:vAlign w:val="center"/>
          </w:tcPr>
          <w:p>
            <w:pPr>
              <w:jc w:val="center"/>
              <w:rPr>
                <w:sz w:val="24"/>
              </w:rPr>
            </w:pPr>
            <w:r>
              <w:rPr>
                <w:sz w:val="24"/>
              </w:rPr>
              <w:t>杭州</w:t>
            </w:r>
          </w:p>
        </w:tc>
        <w:tc>
          <w:tcPr>
            <w:tcW w:w="3193" w:type="dxa"/>
            <w:vAlign w:val="center"/>
          </w:tcPr>
          <w:p>
            <w:pPr>
              <w:rPr>
                <w:sz w:val="24"/>
              </w:rPr>
            </w:pPr>
            <w:r>
              <w:rPr>
                <w:sz w:val="24"/>
              </w:rPr>
              <w:t>庆隆小河单元GS0304-R22-11地块服务设施项目</w:t>
            </w:r>
          </w:p>
        </w:tc>
        <w:tc>
          <w:tcPr>
            <w:tcW w:w="4851" w:type="dxa"/>
            <w:vAlign w:val="center"/>
          </w:tcPr>
          <w:p>
            <w:pPr>
              <w:rPr>
                <w:sz w:val="24"/>
              </w:rPr>
            </w:pPr>
            <w:r>
              <w:rPr>
                <w:sz w:val="24"/>
              </w:rPr>
              <w:t>建筑面积9000平方米</w:t>
            </w:r>
          </w:p>
        </w:tc>
        <w:tc>
          <w:tcPr>
            <w:tcW w:w="1264" w:type="dxa"/>
            <w:vAlign w:val="center"/>
          </w:tcPr>
          <w:p>
            <w:pPr>
              <w:jc w:val="center"/>
              <w:rPr>
                <w:sz w:val="24"/>
              </w:rPr>
            </w:pPr>
            <w:r>
              <w:rPr>
                <w:sz w:val="24"/>
              </w:rPr>
              <w:t>2023-2025</w:t>
            </w:r>
          </w:p>
        </w:tc>
        <w:tc>
          <w:tcPr>
            <w:tcW w:w="995" w:type="dxa"/>
            <w:vAlign w:val="center"/>
          </w:tcPr>
          <w:p>
            <w:pPr>
              <w:jc w:val="center"/>
              <w:rPr>
                <w:sz w:val="24"/>
              </w:rPr>
            </w:pPr>
            <w:r>
              <w:rPr>
                <w:sz w:val="24"/>
              </w:rPr>
              <w:t>0.6</w:t>
            </w:r>
          </w:p>
        </w:tc>
        <w:tc>
          <w:tcPr>
            <w:tcW w:w="1498" w:type="dxa"/>
            <w:vAlign w:val="center"/>
          </w:tcPr>
          <w:p>
            <w:pPr>
              <w:jc w:val="center"/>
              <w:rPr>
                <w:sz w:val="24"/>
              </w:rPr>
            </w:pPr>
            <w:r>
              <w:rPr>
                <w:sz w:val="24"/>
              </w:rPr>
              <w:t>拱墅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10</w:t>
            </w:r>
          </w:p>
        </w:tc>
        <w:tc>
          <w:tcPr>
            <w:tcW w:w="789" w:type="dxa"/>
            <w:vAlign w:val="center"/>
          </w:tcPr>
          <w:p>
            <w:pPr>
              <w:jc w:val="center"/>
              <w:rPr>
                <w:sz w:val="24"/>
              </w:rPr>
            </w:pPr>
            <w:r>
              <w:rPr>
                <w:sz w:val="24"/>
              </w:rPr>
              <w:t>杭州</w:t>
            </w:r>
          </w:p>
        </w:tc>
        <w:tc>
          <w:tcPr>
            <w:tcW w:w="3193" w:type="dxa"/>
            <w:vAlign w:val="center"/>
          </w:tcPr>
          <w:p>
            <w:pPr>
              <w:rPr>
                <w:sz w:val="24"/>
              </w:rPr>
            </w:pPr>
            <w:r>
              <w:rPr>
                <w:spacing w:val="-6"/>
                <w:sz w:val="24"/>
              </w:rPr>
              <w:t>祥符东单元GS0806-R22/A6/A4</w:t>
            </w:r>
            <w:r>
              <w:rPr>
                <w:rFonts w:hint="eastAsia"/>
                <w:spacing w:val="-6"/>
                <w:sz w:val="24"/>
              </w:rPr>
              <w:t xml:space="preserve"> </w:t>
            </w:r>
            <w:r>
              <w:rPr>
                <w:sz w:val="24"/>
              </w:rPr>
              <w:t>-11配套地块</w:t>
            </w:r>
          </w:p>
        </w:tc>
        <w:tc>
          <w:tcPr>
            <w:tcW w:w="4851" w:type="dxa"/>
            <w:vAlign w:val="center"/>
          </w:tcPr>
          <w:p>
            <w:pPr>
              <w:rPr>
                <w:sz w:val="24"/>
              </w:rPr>
            </w:pPr>
            <w:r>
              <w:rPr>
                <w:sz w:val="24"/>
              </w:rPr>
              <w:t>建筑面积34000平方米</w:t>
            </w:r>
          </w:p>
        </w:tc>
        <w:tc>
          <w:tcPr>
            <w:tcW w:w="1264" w:type="dxa"/>
            <w:vAlign w:val="center"/>
          </w:tcPr>
          <w:p>
            <w:pPr>
              <w:jc w:val="center"/>
              <w:rPr>
                <w:sz w:val="24"/>
              </w:rPr>
            </w:pPr>
            <w:r>
              <w:rPr>
                <w:sz w:val="24"/>
              </w:rPr>
              <w:t>2024-2027</w:t>
            </w:r>
          </w:p>
        </w:tc>
        <w:tc>
          <w:tcPr>
            <w:tcW w:w="995" w:type="dxa"/>
            <w:vAlign w:val="center"/>
          </w:tcPr>
          <w:p>
            <w:pPr>
              <w:jc w:val="center"/>
              <w:rPr>
                <w:sz w:val="24"/>
              </w:rPr>
            </w:pPr>
            <w:r>
              <w:rPr>
                <w:sz w:val="24"/>
              </w:rPr>
              <w:t>2</w:t>
            </w:r>
          </w:p>
        </w:tc>
        <w:tc>
          <w:tcPr>
            <w:tcW w:w="1498" w:type="dxa"/>
            <w:vAlign w:val="center"/>
          </w:tcPr>
          <w:p>
            <w:pPr>
              <w:jc w:val="center"/>
              <w:rPr>
                <w:sz w:val="24"/>
              </w:rPr>
            </w:pPr>
            <w:r>
              <w:rPr>
                <w:sz w:val="24"/>
              </w:rPr>
              <w:t>拱墅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11</w:t>
            </w:r>
          </w:p>
        </w:tc>
        <w:tc>
          <w:tcPr>
            <w:tcW w:w="789" w:type="dxa"/>
            <w:vAlign w:val="center"/>
          </w:tcPr>
          <w:p>
            <w:pPr>
              <w:jc w:val="center"/>
              <w:rPr>
                <w:sz w:val="24"/>
              </w:rPr>
            </w:pPr>
            <w:r>
              <w:rPr>
                <w:sz w:val="24"/>
              </w:rPr>
              <w:t>杭州</w:t>
            </w:r>
          </w:p>
        </w:tc>
        <w:tc>
          <w:tcPr>
            <w:tcW w:w="3193" w:type="dxa"/>
            <w:vAlign w:val="center"/>
          </w:tcPr>
          <w:p>
            <w:pPr>
              <w:rPr>
                <w:sz w:val="24"/>
              </w:rPr>
            </w:pPr>
            <w:r>
              <w:rPr>
                <w:sz w:val="24"/>
              </w:rPr>
              <w:t>浙江旅游投资集团</w:t>
            </w:r>
          </w:p>
        </w:tc>
        <w:tc>
          <w:tcPr>
            <w:tcW w:w="4851" w:type="dxa"/>
            <w:vAlign w:val="center"/>
          </w:tcPr>
          <w:p>
            <w:pPr>
              <w:rPr>
                <w:sz w:val="24"/>
              </w:rPr>
            </w:pPr>
            <w:r>
              <w:rPr>
                <w:sz w:val="24"/>
              </w:rPr>
              <w:t>浙勤集团和浙旅合并，总部落户上城</w:t>
            </w:r>
          </w:p>
        </w:tc>
        <w:tc>
          <w:tcPr>
            <w:tcW w:w="1264" w:type="dxa"/>
            <w:vAlign w:val="center"/>
          </w:tcPr>
          <w:p>
            <w:pPr>
              <w:jc w:val="center"/>
              <w:rPr>
                <w:sz w:val="24"/>
              </w:rPr>
            </w:pPr>
            <w:r>
              <w:rPr>
                <w:sz w:val="24"/>
              </w:rPr>
              <w:t>2020</w:t>
            </w:r>
          </w:p>
        </w:tc>
        <w:tc>
          <w:tcPr>
            <w:tcW w:w="995" w:type="dxa"/>
            <w:vAlign w:val="center"/>
          </w:tcPr>
          <w:p>
            <w:pPr>
              <w:jc w:val="center"/>
              <w:rPr>
                <w:sz w:val="24"/>
              </w:rPr>
            </w:pPr>
            <w:r>
              <w:rPr>
                <w:sz w:val="24"/>
              </w:rPr>
              <w:t>40-50</w:t>
            </w:r>
          </w:p>
        </w:tc>
        <w:tc>
          <w:tcPr>
            <w:tcW w:w="1498" w:type="dxa"/>
            <w:vAlign w:val="center"/>
          </w:tcPr>
          <w:p>
            <w:pPr>
              <w:jc w:val="center"/>
              <w:rPr>
                <w:sz w:val="24"/>
              </w:rPr>
            </w:pPr>
            <w:r>
              <w:rPr>
                <w:sz w:val="24"/>
              </w:rPr>
              <w:t>上城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12</w:t>
            </w:r>
          </w:p>
        </w:tc>
        <w:tc>
          <w:tcPr>
            <w:tcW w:w="789" w:type="dxa"/>
            <w:vAlign w:val="center"/>
          </w:tcPr>
          <w:p>
            <w:pPr>
              <w:jc w:val="center"/>
              <w:rPr>
                <w:sz w:val="24"/>
              </w:rPr>
            </w:pPr>
            <w:r>
              <w:rPr>
                <w:sz w:val="24"/>
              </w:rPr>
              <w:t>杭州</w:t>
            </w:r>
          </w:p>
        </w:tc>
        <w:tc>
          <w:tcPr>
            <w:tcW w:w="3193" w:type="dxa"/>
            <w:vAlign w:val="center"/>
          </w:tcPr>
          <w:p>
            <w:pPr>
              <w:rPr>
                <w:sz w:val="24"/>
              </w:rPr>
            </w:pPr>
            <w:r>
              <w:rPr>
                <w:sz w:val="24"/>
              </w:rPr>
              <w:t>余杭国际物流中心（无水港）</w:t>
            </w:r>
          </w:p>
        </w:tc>
        <w:tc>
          <w:tcPr>
            <w:tcW w:w="4851" w:type="dxa"/>
            <w:vAlign w:val="center"/>
          </w:tcPr>
          <w:p>
            <w:pPr>
              <w:rPr>
                <w:sz w:val="24"/>
              </w:rPr>
            </w:pPr>
            <w:r>
              <w:rPr>
                <w:sz w:val="24"/>
              </w:rPr>
              <w:t>建设具有口岸功能、物流功能、国际集装箱多式联运功能的国际物流公共服务平台，把沿海港口功能延伸到内陆，企业将和沿海企业一样可以就地办理提箱、还箱、装箱、报关、订舱等手续，降低运营成本。</w:t>
            </w:r>
          </w:p>
        </w:tc>
        <w:tc>
          <w:tcPr>
            <w:tcW w:w="1264" w:type="dxa"/>
            <w:vAlign w:val="center"/>
          </w:tcPr>
          <w:p>
            <w:pPr>
              <w:jc w:val="center"/>
              <w:rPr>
                <w:sz w:val="24"/>
              </w:rPr>
            </w:pPr>
            <w:r>
              <w:rPr>
                <w:sz w:val="24"/>
                <w:shd w:val="clear" w:color="050000" w:fill="FFFFFF"/>
              </w:rPr>
              <w:t>2年</w:t>
            </w:r>
          </w:p>
        </w:tc>
        <w:tc>
          <w:tcPr>
            <w:tcW w:w="995" w:type="dxa"/>
            <w:vAlign w:val="center"/>
          </w:tcPr>
          <w:p>
            <w:pPr>
              <w:jc w:val="center"/>
              <w:rPr>
                <w:sz w:val="24"/>
              </w:rPr>
            </w:pPr>
            <w:r>
              <w:rPr>
                <w:sz w:val="24"/>
                <w:shd w:val="clear" w:color="050000" w:fill="FFFFFF"/>
              </w:rPr>
              <w:t>2</w:t>
            </w:r>
          </w:p>
        </w:tc>
        <w:tc>
          <w:tcPr>
            <w:tcW w:w="1498" w:type="dxa"/>
            <w:vAlign w:val="center"/>
          </w:tcPr>
          <w:p>
            <w:pPr>
              <w:jc w:val="center"/>
              <w:rPr>
                <w:sz w:val="24"/>
              </w:rPr>
            </w:pPr>
            <w:r>
              <w:rPr>
                <w:sz w:val="24"/>
              </w:rPr>
              <w:t>杭州卓远国际物流有限公司</w:t>
            </w:r>
          </w:p>
          <w:p>
            <w:pPr>
              <w:jc w:val="center"/>
              <w:rPr>
                <w:sz w:val="24"/>
              </w:rPr>
            </w:pPr>
            <w:r>
              <w:rPr>
                <w:sz w:val="24"/>
              </w:rPr>
              <w:t>（余杭）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13</w:t>
            </w:r>
          </w:p>
        </w:tc>
        <w:tc>
          <w:tcPr>
            <w:tcW w:w="789" w:type="dxa"/>
            <w:vAlign w:val="center"/>
          </w:tcPr>
          <w:p>
            <w:pPr>
              <w:jc w:val="center"/>
              <w:rPr>
                <w:sz w:val="24"/>
              </w:rPr>
            </w:pPr>
            <w:r>
              <w:rPr>
                <w:sz w:val="24"/>
              </w:rPr>
              <w:t>杭州</w:t>
            </w:r>
          </w:p>
        </w:tc>
        <w:tc>
          <w:tcPr>
            <w:tcW w:w="3193" w:type="dxa"/>
            <w:vAlign w:val="center"/>
          </w:tcPr>
          <w:p>
            <w:pPr>
              <w:rPr>
                <w:sz w:val="24"/>
              </w:rPr>
            </w:pPr>
            <w:r>
              <w:rPr>
                <w:sz w:val="24"/>
              </w:rPr>
              <w:t>云集创意产业园</w:t>
            </w:r>
          </w:p>
        </w:tc>
        <w:tc>
          <w:tcPr>
            <w:tcW w:w="4851" w:type="dxa"/>
            <w:vAlign w:val="center"/>
          </w:tcPr>
          <w:p>
            <w:pPr>
              <w:rPr>
                <w:sz w:val="24"/>
              </w:rPr>
            </w:pPr>
            <w:r>
              <w:rPr>
                <w:sz w:val="24"/>
              </w:rPr>
              <w:t>建设云集数字经济产业园，包含研发中心、品牌孵化中心、电商直播中心等</w:t>
            </w:r>
          </w:p>
        </w:tc>
        <w:tc>
          <w:tcPr>
            <w:tcW w:w="1264" w:type="dxa"/>
            <w:vAlign w:val="center"/>
          </w:tcPr>
          <w:p>
            <w:pPr>
              <w:jc w:val="center"/>
              <w:rPr>
                <w:sz w:val="24"/>
              </w:rPr>
            </w:pPr>
            <w:r>
              <w:rPr>
                <w:sz w:val="24"/>
              </w:rPr>
              <w:t>2020-2024</w:t>
            </w:r>
          </w:p>
        </w:tc>
        <w:tc>
          <w:tcPr>
            <w:tcW w:w="995" w:type="dxa"/>
            <w:vAlign w:val="center"/>
          </w:tcPr>
          <w:p>
            <w:pPr>
              <w:jc w:val="center"/>
              <w:rPr>
                <w:sz w:val="24"/>
              </w:rPr>
            </w:pPr>
            <w:r>
              <w:rPr>
                <w:sz w:val="24"/>
              </w:rPr>
              <w:t>12</w:t>
            </w:r>
          </w:p>
        </w:tc>
        <w:tc>
          <w:tcPr>
            <w:tcW w:w="1498" w:type="dxa"/>
            <w:vAlign w:val="center"/>
          </w:tcPr>
          <w:p>
            <w:pPr>
              <w:jc w:val="center"/>
              <w:rPr>
                <w:sz w:val="24"/>
              </w:rPr>
            </w:pPr>
            <w:r>
              <w:rPr>
                <w:sz w:val="24"/>
              </w:rPr>
              <w:t>浙江集远网络科技有限公司</w:t>
            </w:r>
          </w:p>
          <w:p>
            <w:pPr>
              <w:jc w:val="center"/>
              <w:rPr>
                <w:sz w:val="24"/>
              </w:rPr>
            </w:pPr>
            <w:r>
              <w:rPr>
                <w:sz w:val="24"/>
              </w:rPr>
              <w:t>（萧山）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14</w:t>
            </w:r>
          </w:p>
        </w:tc>
        <w:tc>
          <w:tcPr>
            <w:tcW w:w="789" w:type="dxa"/>
            <w:vAlign w:val="center"/>
          </w:tcPr>
          <w:p>
            <w:pPr>
              <w:jc w:val="center"/>
              <w:rPr>
                <w:sz w:val="24"/>
              </w:rPr>
            </w:pPr>
            <w:r>
              <w:rPr>
                <w:sz w:val="24"/>
              </w:rPr>
              <w:t>杭州</w:t>
            </w:r>
          </w:p>
        </w:tc>
        <w:tc>
          <w:tcPr>
            <w:tcW w:w="3193" w:type="dxa"/>
            <w:vAlign w:val="center"/>
          </w:tcPr>
          <w:p>
            <w:pPr>
              <w:rPr>
                <w:sz w:val="24"/>
              </w:rPr>
            </w:pPr>
            <w:r>
              <w:rPr>
                <w:sz w:val="24"/>
              </w:rPr>
              <w:t>萧山亚运未来社区</w:t>
            </w:r>
          </w:p>
        </w:tc>
        <w:tc>
          <w:tcPr>
            <w:tcW w:w="4851" w:type="dxa"/>
            <w:vAlign w:val="center"/>
          </w:tcPr>
          <w:p>
            <w:pPr>
              <w:rPr>
                <w:sz w:val="24"/>
              </w:rPr>
            </w:pPr>
            <w:r>
              <w:rPr>
                <w:sz w:val="24"/>
              </w:rPr>
              <w:t>购物中心、商业街、酒店、商务办公、社区商业、住宅等</w:t>
            </w:r>
          </w:p>
        </w:tc>
        <w:tc>
          <w:tcPr>
            <w:tcW w:w="1264" w:type="dxa"/>
            <w:vAlign w:val="center"/>
          </w:tcPr>
          <w:p>
            <w:pPr>
              <w:jc w:val="center"/>
              <w:rPr>
                <w:sz w:val="24"/>
              </w:rPr>
            </w:pPr>
            <w:r>
              <w:rPr>
                <w:sz w:val="24"/>
              </w:rPr>
              <w:t>2018-2022</w:t>
            </w:r>
          </w:p>
        </w:tc>
        <w:tc>
          <w:tcPr>
            <w:tcW w:w="995" w:type="dxa"/>
            <w:vAlign w:val="center"/>
          </w:tcPr>
          <w:p>
            <w:pPr>
              <w:jc w:val="center"/>
              <w:rPr>
                <w:sz w:val="24"/>
              </w:rPr>
            </w:pPr>
            <w:r>
              <w:rPr>
                <w:sz w:val="24"/>
              </w:rPr>
              <w:t>403.6</w:t>
            </w:r>
          </w:p>
        </w:tc>
        <w:tc>
          <w:tcPr>
            <w:tcW w:w="1498" w:type="dxa"/>
            <w:vAlign w:val="center"/>
          </w:tcPr>
          <w:p>
            <w:pPr>
              <w:jc w:val="center"/>
              <w:rPr>
                <w:rFonts w:hint="eastAsia"/>
                <w:sz w:val="24"/>
              </w:rPr>
            </w:pPr>
            <w:r>
              <w:rPr>
                <w:sz w:val="24"/>
              </w:rPr>
              <w:t>萧山亚运村建设有限</w:t>
            </w:r>
          </w:p>
          <w:p>
            <w:pPr>
              <w:jc w:val="center"/>
              <w:rPr>
                <w:sz w:val="24"/>
              </w:rPr>
            </w:pPr>
            <w:r>
              <w:rPr>
                <w:sz w:val="24"/>
              </w:rPr>
              <w:t>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15</w:t>
            </w:r>
          </w:p>
        </w:tc>
        <w:tc>
          <w:tcPr>
            <w:tcW w:w="789" w:type="dxa"/>
            <w:vAlign w:val="center"/>
          </w:tcPr>
          <w:p>
            <w:pPr>
              <w:jc w:val="center"/>
              <w:rPr>
                <w:sz w:val="24"/>
              </w:rPr>
            </w:pPr>
            <w:r>
              <w:rPr>
                <w:sz w:val="24"/>
              </w:rPr>
              <w:t>杭州</w:t>
            </w:r>
          </w:p>
        </w:tc>
        <w:tc>
          <w:tcPr>
            <w:tcW w:w="3193" w:type="dxa"/>
            <w:vAlign w:val="center"/>
          </w:tcPr>
          <w:p>
            <w:pPr>
              <w:rPr>
                <w:sz w:val="24"/>
              </w:rPr>
            </w:pPr>
            <w:r>
              <w:rPr>
                <w:sz w:val="24"/>
              </w:rPr>
              <w:t>杭州世纪中心</w:t>
            </w:r>
          </w:p>
        </w:tc>
        <w:tc>
          <w:tcPr>
            <w:tcW w:w="4851" w:type="dxa"/>
            <w:vAlign w:val="center"/>
          </w:tcPr>
          <w:p>
            <w:pPr>
              <w:rPr>
                <w:sz w:val="24"/>
              </w:rPr>
            </w:pPr>
            <w:r>
              <w:rPr>
                <w:sz w:val="24"/>
              </w:rPr>
              <w:t>建设集商业设施、高星级酒店、甲级写字楼于一体的地标性建设。</w:t>
            </w:r>
          </w:p>
        </w:tc>
        <w:tc>
          <w:tcPr>
            <w:tcW w:w="1264" w:type="dxa"/>
            <w:vAlign w:val="center"/>
          </w:tcPr>
          <w:p>
            <w:pPr>
              <w:jc w:val="center"/>
              <w:rPr>
                <w:sz w:val="24"/>
              </w:rPr>
            </w:pPr>
            <w:r>
              <w:rPr>
                <w:sz w:val="24"/>
              </w:rPr>
              <w:t>2017-2022</w:t>
            </w:r>
          </w:p>
        </w:tc>
        <w:tc>
          <w:tcPr>
            <w:tcW w:w="995" w:type="dxa"/>
            <w:vAlign w:val="center"/>
          </w:tcPr>
          <w:p>
            <w:pPr>
              <w:jc w:val="center"/>
              <w:rPr>
                <w:sz w:val="24"/>
              </w:rPr>
            </w:pPr>
            <w:r>
              <w:rPr>
                <w:sz w:val="24"/>
              </w:rPr>
              <w:t>100</w:t>
            </w:r>
          </w:p>
        </w:tc>
        <w:tc>
          <w:tcPr>
            <w:tcW w:w="1498" w:type="dxa"/>
            <w:vAlign w:val="center"/>
          </w:tcPr>
          <w:p>
            <w:pPr>
              <w:jc w:val="center"/>
              <w:rPr>
                <w:rFonts w:hint="eastAsia"/>
                <w:sz w:val="24"/>
              </w:rPr>
            </w:pPr>
            <w:r>
              <w:rPr>
                <w:sz w:val="24"/>
              </w:rPr>
              <w:t>绿地控股</w:t>
            </w:r>
          </w:p>
          <w:p>
            <w:pPr>
              <w:jc w:val="center"/>
              <w:rPr>
                <w:sz w:val="24"/>
              </w:rPr>
            </w:pPr>
            <w:r>
              <w:rPr>
                <w:sz w:val="24"/>
              </w:rPr>
              <w:t>集团</w:t>
            </w:r>
          </w:p>
          <w:p>
            <w:pPr>
              <w:jc w:val="center"/>
              <w:rPr>
                <w:sz w:val="24"/>
              </w:rPr>
            </w:pPr>
            <w:r>
              <w:rPr>
                <w:sz w:val="24"/>
              </w:rPr>
              <w:t>（萧山）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408" w:hRule="atLeast"/>
          <w:jc w:val="center"/>
        </w:trPr>
        <w:tc>
          <w:tcPr>
            <w:tcW w:w="498" w:type="dxa"/>
            <w:vAlign w:val="center"/>
          </w:tcPr>
          <w:p>
            <w:pPr>
              <w:jc w:val="center"/>
              <w:rPr>
                <w:sz w:val="24"/>
              </w:rPr>
            </w:pPr>
            <w:r>
              <w:rPr>
                <w:sz w:val="24"/>
              </w:rPr>
              <w:t>16</w:t>
            </w:r>
          </w:p>
        </w:tc>
        <w:tc>
          <w:tcPr>
            <w:tcW w:w="789" w:type="dxa"/>
            <w:vAlign w:val="center"/>
          </w:tcPr>
          <w:p>
            <w:pPr>
              <w:jc w:val="center"/>
              <w:rPr>
                <w:sz w:val="24"/>
              </w:rPr>
            </w:pPr>
            <w:r>
              <w:rPr>
                <w:sz w:val="24"/>
              </w:rPr>
              <w:t>杭州</w:t>
            </w:r>
          </w:p>
        </w:tc>
        <w:tc>
          <w:tcPr>
            <w:tcW w:w="3193" w:type="dxa"/>
            <w:vAlign w:val="center"/>
          </w:tcPr>
          <w:p>
            <w:pPr>
              <w:rPr>
                <w:sz w:val="24"/>
              </w:rPr>
            </w:pPr>
            <w:r>
              <w:rPr>
                <w:sz w:val="24"/>
              </w:rPr>
              <w:t>新塘银泰城</w:t>
            </w:r>
          </w:p>
        </w:tc>
        <w:tc>
          <w:tcPr>
            <w:tcW w:w="4851" w:type="dxa"/>
            <w:vAlign w:val="center"/>
          </w:tcPr>
          <w:p>
            <w:pPr>
              <w:rPr>
                <w:sz w:val="24"/>
              </w:rPr>
            </w:pPr>
            <w:r>
              <w:rPr>
                <w:sz w:val="24"/>
              </w:rPr>
              <w:t>商业综合体、住宅</w:t>
            </w:r>
          </w:p>
        </w:tc>
        <w:tc>
          <w:tcPr>
            <w:tcW w:w="1264" w:type="dxa"/>
            <w:vAlign w:val="center"/>
          </w:tcPr>
          <w:p>
            <w:pPr>
              <w:jc w:val="center"/>
              <w:rPr>
                <w:sz w:val="24"/>
              </w:rPr>
            </w:pPr>
            <w:r>
              <w:rPr>
                <w:sz w:val="24"/>
              </w:rPr>
              <w:t>2019-2022</w:t>
            </w:r>
          </w:p>
        </w:tc>
        <w:tc>
          <w:tcPr>
            <w:tcW w:w="995" w:type="dxa"/>
            <w:vAlign w:val="center"/>
          </w:tcPr>
          <w:p>
            <w:pPr>
              <w:jc w:val="center"/>
              <w:rPr>
                <w:sz w:val="24"/>
              </w:rPr>
            </w:pPr>
            <w:r>
              <w:rPr>
                <w:sz w:val="24"/>
              </w:rPr>
              <w:t>17</w:t>
            </w:r>
          </w:p>
        </w:tc>
        <w:tc>
          <w:tcPr>
            <w:tcW w:w="1498" w:type="dxa"/>
            <w:vAlign w:val="center"/>
          </w:tcPr>
          <w:p>
            <w:pPr>
              <w:jc w:val="center"/>
              <w:rPr>
                <w:sz w:val="24"/>
              </w:rPr>
            </w:pPr>
            <w:r>
              <w:rPr>
                <w:sz w:val="24"/>
              </w:rPr>
              <w:t>杭州金帝商业管理有限公司</w:t>
            </w:r>
          </w:p>
          <w:p>
            <w:pPr>
              <w:jc w:val="center"/>
              <w:rPr>
                <w:sz w:val="24"/>
              </w:rPr>
            </w:pPr>
            <w:r>
              <w:rPr>
                <w:sz w:val="24"/>
              </w:rPr>
              <w:t>（萧山）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114" w:hRule="atLeast"/>
          <w:jc w:val="center"/>
        </w:trPr>
        <w:tc>
          <w:tcPr>
            <w:tcW w:w="498" w:type="dxa"/>
            <w:vAlign w:val="center"/>
          </w:tcPr>
          <w:p>
            <w:pPr>
              <w:jc w:val="center"/>
              <w:rPr>
                <w:sz w:val="24"/>
              </w:rPr>
            </w:pPr>
            <w:r>
              <w:rPr>
                <w:sz w:val="24"/>
              </w:rPr>
              <w:t>17</w:t>
            </w:r>
          </w:p>
        </w:tc>
        <w:tc>
          <w:tcPr>
            <w:tcW w:w="789" w:type="dxa"/>
            <w:vAlign w:val="center"/>
          </w:tcPr>
          <w:p>
            <w:pPr>
              <w:jc w:val="center"/>
              <w:rPr>
                <w:sz w:val="24"/>
              </w:rPr>
            </w:pPr>
            <w:r>
              <w:rPr>
                <w:sz w:val="24"/>
              </w:rPr>
              <w:t>杭州</w:t>
            </w:r>
          </w:p>
        </w:tc>
        <w:tc>
          <w:tcPr>
            <w:tcW w:w="3193" w:type="dxa"/>
            <w:vAlign w:val="center"/>
          </w:tcPr>
          <w:p>
            <w:pPr>
              <w:rPr>
                <w:sz w:val="24"/>
              </w:rPr>
            </w:pPr>
            <w:r>
              <w:rPr>
                <w:sz w:val="24"/>
              </w:rPr>
              <w:t>银泰农旅小镇（城南商业中心）</w:t>
            </w:r>
          </w:p>
        </w:tc>
        <w:tc>
          <w:tcPr>
            <w:tcW w:w="4851" w:type="dxa"/>
            <w:vAlign w:val="center"/>
          </w:tcPr>
          <w:p>
            <w:pPr>
              <w:rPr>
                <w:sz w:val="24"/>
              </w:rPr>
            </w:pPr>
            <w:r>
              <w:rPr>
                <w:sz w:val="24"/>
              </w:rPr>
              <w:t>商业综合体、住宅</w:t>
            </w:r>
          </w:p>
        </w:tc>
        <w:tc>
          <w:tcPr>
            <w:tcW w:w="1264" w:type="dxa"/>
            <w:vAlign w:val="center"/>
          </w:tcPr>
          <w:p>
            <w:pPr>
              <w:jc w:val="center"/>
              <w:rPr>
                <w:sz w:val="24"/>
              </w:rPr>
            </w:pPr>
            <w:r>
              <w:rPr>
                <w:sz w:val="24"/>
              </w:rPr>
              <w:t>2018-2022</w:t>
            </w:r>
          </w:p>
        </w:tc>
        <w:tc>
          <w:tcPr>
            <w:tcW w:w="995" w:type="dxa"/>
            <w:vAlign w:val="center"/>
          </w:tcPr>
          <w:p>
            <w:pPr>
              <w:jc w:val="center"/>
              <w:rPr>
                <w:sz w:val="24"/>
              </w:rPr>
            </w:pPr>
            <w:r>
              <w:rPr>
                <w:sz w:val="24"/>
              </w:rPr>
              <w:t>23.2</w:t>
            </w:r>
          </w:p>
        </w:tc>
        <w:tc>
          <w:tcPr>
            <w:tcW w:w="1498" w:type="dxa"/>
            <w:vAlign w:val="center"/>
          </w:tcPr>
          <w:p>
            <w:pPr>
              <w:jc w:val="center"/>
              <w:rPr>
                <w:sz w:val="24"/>
              </w:rPr>
            </w:pPr>
            <w:r>
              <w:rPr>
                <w:sz w:val="24"/>
              </w:rPr>
              <w:t>杭州萧山银城置业有限公司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085" w:hRule="atLeast"/>
          <w:jc w:val="center"/>
        </w:trPr>
        <w:tc>
          <w:tcPr>
            <w:tcW w:w="498" w:type="dxa"/>
            <w:vAlign w:val="center"/>
          </w:tcPr>
          <w:p>
            <w:pPr>
              <w:jc w:val="center"/>
              <w:rPr>
                <w:sz w:val="24"/>
              </w:rPr>
            </w:pPr>
            <w:r>
              <w:rPr>
                <w:sz w:val="24"/>
              </w:rPr>
              <w:t>18</w:t>
            </w:r>
          </w:p>
        </w:tc>
        <w:tc>
          <w:tcPr>
            <w:tcW w:w="789" w:type="dxa"/>
            <w:vAlign w:val="center"/>
          </w:tcPr>
          <w:p>
            <w:pPr>
              <w:jc w:val="center"/>
              <w:rPr>
                <w:sz w:val="24"/>
              </w:rPr>
            </w:pPr>
            <w:r>
              <w:rPr>
                <w:sz w:val="24"/>
              </w:rPr>
              <w:t>杭州</w:t>
            </w:r>
          </w:p>
        </w:tc>
        <w:tc>
          <w:tcPr>
            <w:tcW w:w="3193" w:type="dxa"/>
            <w:vAlign w:val="center"/>
          </w:tcPr>
          <w:p>
            <w:pPr>
              <w:rPr>
                <w:sz w:val="24"/>
              </w:rPr>
            </w:pPr>
            <w:r>
              <w:rPr>
                <w:sz w:val="24"/>
              </w:rPr>
              <w:t>汇德隆奥体印象城</w:t>
            </w:r>
          </w:p>
        </w:tc>
        <w:tc>
          <w:tcPr>
            <w:tcW w:w="4851" w:type="dxa"/>
            <w:vAlign w:val="center"/>
          </w:tcPr>
          <w:p>
            <w:pPr>
              <w:rPr>
                <w:sz w:val="24"/>
              </w:rPr>
            </w:pPr>
            <w:r>
              <w:rPr>
                <w:sz w:val="24"/>
              </w:rPr>
              <w:t>商业综合体，包括购物中心、影院、超市等</w:t>
            </w:r>
          </w:p>
        </w:tc>
        <w:tc>
          <w:tcPr>
            <w:tcW w:w="1264" w:type="dxa"/>
            <w:vAlign w:val="center"/>
          </w:tcPr>
          <w:p>
            <w:pPr>
              <w:jc w:val="center"/>
              <w:rPr>
                <w:sz w:val="24"/>
              </w:rPr>
            </w:pPr>
            <w:r>
              <w:rPr>
                <w:sz w:val="24"/>
              </w:rPr>
              <w:t>2018-2021</w:t>
            </w:r>
          </w:p>
        </w:tc>
        <w:tc>
          <w:tcPr>
            <w:tcW w:w="995" w:type="dxa"/>
            <w:vAlign w:val="center"/>
          </w:tcPr>
          <w:p>
            <w:pPr>
              <w:jc w:val="center"/>
              <w:rPr>
                <w:sz w:val="24"/>
              </w:rPr>
            </w:pPr>
            <w:r>
              <w:rPr>
                <w:sz w:val="24"/>
              </w:rPr>
              <w:t>15</w:t>
            </w:r>
          </w:p>
        </w:tc>
        <w:tc>
          <w:tcPr>
            <w:tcW w:w="1498" w:type="dxa"/>
            <w:vAlign w:val="center"/>
          </w:tcPr>
          <w:p>
            <w:pPr>
              <w:jc w:val="center"/>
              <w:rPr>
                <w:sz w:val="24"/>
              </w:rPr>
            </w:pPr>
            <w:r>
              <w:rPr>
                <w:sz w:val="24"/>
              </w:rPr>
              <w:t>杭州汇泽置业有限公司</w:t>
            </w:r>
          </w:p>
          <w:p>
            <w:pPr>
              <w:jc w:val="center"/>
              <w:rPr>
                <w:sz w:val="24"/>
              </w:rPr>
            </w:pPr>
            <w:r>
              <w:rPr>
                <w:sz w:val="24"/>
              </w:rPr>
              <w:t>（萧山）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19</w:t>
            </w:r>
          </w:p>
        </w:tc>
        <w:tc>
          <w:tcPr>
            <w:tcW w:w="789" w:type="dxa"/>
            <w:vAlign w:val="center"/>
          </w:tcPr>
          <w:p>
            <w:pPr>
              <w:jc w:val="center"/>
              <w:rPr>
                <w:sz w:val="24"/>
              </w:rPr>
            </w:pPr>
            <w:r>
              <w:rPr>
                <w:sz w:val="24"/>
              </w:rPr>
              <w:t>杭州</w:t>
            </w:r>
          </w:p>
        </w:tc>
        <w:tc>
          <w:tcPr>
            <w:tcW w:w="3193" w:type="dxa"/>
            <w:vAlign w:val="center"/>
          </w:tcPr>
          <w:p>
            <w:pPr>
              <w:rPr>
                <w:sz w:val="24"/>
              </w:rPr>
            </w:pPr>
            <w:r>
              <w:rPr>
                <w:sz w:val="24"/>
              </w:rPr>
              <w:t>未来汇</w:t>
            </w:r>
          </w:p>
        </w:tc>
        <w:tc>
          <w:tcPr>
            <w:tcW w:w="4851" w:type="dxa"/>
            <w:vAlign w:val="center"/>
          </w:tcPr>
          <w:p>
            <w:pPr>
              <w:rPr>
                <w:sz w:val="24"/>
              </w:rPr>
            </w:pPr>
            <w:r>
              <w:rPr>
                <w:sz w:val="24"/>
              </w:rPr>
              <w:t>综合体项目，商业、餐饮、教育培训为主</w:t>
            </w:r>
          </w:p>
        </w:tc>
        <w:tc>
          <w:tcPr>
            <w:tcW w:w="1264" w:type="dxa"/>
            <w:vAlign w:val="center"/>
          </w:tcPr>
          <w:p>
            <w:pPr>
              <w:jc w:val="center"/>
              <w:rPr>
                <w:sz w:val="24"/>
              </w:rPr>
            </w:pPr>
            <w:r>
              <w:rPr>
                <w:sz w:val="24"/>
              </w:rPr>
              <w:t>2020-2022</w:t>
            </w:r>
          </w:p>
        </w:tc>
        <w:tc>
          <w:tcPr>
            <w:tcW w:w="995" w:type="dxa"/>
            <w:vAlign w:val="center"/>
          </w:tcPr>
          <w:p>
            <w:pPr>
              <w:jc w:val="center"/>
              <w:rPr>
                <w:sz w:val="24"/>
              </w:rPr>
            </w:pPr>
            <w:r>
              <w:rPr>
                <w:sz w:val="24"/>
              </w:rPr>
              <w:t>3.5</w:t>
            </w:r>
          </w:p>
        </w:tc>
        <w:tc>
          <w:tcPr>
            <w:tcW w:w="1498" w:type="dxa"/>
            <w:vAlign w:val="center"/>
          </w:tcPr>
          <w:p>
            <w:pPr>
              <w:jc w:val="center"/>
              <w:rPr>
                <w:sz w:val="24"/>
              </w:rPr>
            </w:pPr>
            <w:r>
              <w:rPr>
                <w:sz w:val="24"/>
              </w:rPr>
              <w:t>杭州新升市场经营管理有限公司（萧山）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044" w:hRule="atLeast"/>
          <w:jc w:val="center"/>
        </w:trPr>
        <w:tc>
          <w:tcPr>
            <w:tcW w:w="498" w:type="dxa"/>
            <w:vAlign w:val="center"/>
          </w:tcPr>
          <w:p>
            <w:pPr>
              <w:jc w:val="center"/>
              <w:rPr>
                <w:sz w:val="24"/>
              </w:rPr>
            </w:pPr>
            <w:r>
              <w:rPr>
                <w:sz w:val="24"/>
              </w:rPr>
              <w:t>20</w:t>
            </w:r>
          </w:p>
        </w:tc>
        <w:tc>
          <w:tcPr>
            <w:tcW w:w="789" w:type="dxa"/>
            <w:vAlign w:val="center"/>
          </w:tcPr>
          <w:p>
            <w:pPr>
              <w:jc w:val="center"/>
              <w:rPr>
                <w:sz w:val="24"/>
              </w:rPr>
            </w:pPr>
            <w:r>
              <w:rPr>
                <w:sz w:val="24"/>
              </w:rPr>
              <w:t>杭州</w:t>
            </w:r>
          </w:p>
        </w:tc>
        <w:tc>
          <w:tcPr>
            <w:tcW w:w="3193" w:type="dxa"/>
            <w:vAlign w:val="center"/>
          </w:tcPr>
          <w:p>
            <w:pPr>
              <w:rPr>
                <w:sz w:val="24"/>
              </w:rPr>
            </w:pPr>
            <w:r>
              <w:rPr>
                <w:sz w:val="24"/>
              </w:rPr>
              <w:t>党山金迪广场</w:t>
            </w:r>
          </w:p>
        </w:tc>
        <w:tc>
          <w:tcPr>
            <w:tcW w:w="4851" w:type="dxa"/>
            <w:vAlign w:val="center"/>
          </w:tcPr>
          <w:p>
            <w:pPr>
              <w:rPr>
                <w:sz w:val="24"/>
              </w:rPr>
            </w:pPr>
            <w:r>
              <w:rPr>
                <w:sz w:val="24"/>
              </w:rPr>
              <w:t>商业街、超市、餐饮、宾馆等</w:t>
            </w:r>
          </w:p>
        </w:tc>
        <w:tc>
          <w:tcPr>
            <w:tcW w:w="1264" w:type="dxa"/>
            <w:vAlign w:val="center"/>
          </w:tcPr>
          <w:p>
            <w:pPr>
              <w:jc w:val="center"/>
              <w:rPr>
                <w:sz w:val="24"/>
              </w:rPr>
            </w:pPr>
            <w:r>
              <w:rPr>
                <w:sz w:val="24"/>
              </w:rPr>
              <w:t>2021-2025</w:t>
            </w:r>
          </w:p>
        </w:tc>
        <w:tc>
          <w:tcPr>
            <w:tcW w:w="995" w:type="dxa"/>
            <w:vAlign w:val="center"/>
          </w:tcPr>
          <w:p>
            <w:pPr>
              <w:jc w:val="center"/>
              <w:rPr>
                <w:sz w:val="24"/>
              </w:rPr>
            </w:pPr>
          </w:p>
        </w:tc>
        <w:tc>
          <w:tcPr>
            <w:tcW w:w="1498" w:type="dxa"/>
            <w:vAlign w:val="center"/>
          </w:tcPr>
          <w:p>
            <w:pPr>
              <w:widowControl/>
              <w:jc w:val="center"/>
              <w:textAlignment w:val="center"/>
              <w:rPr>
                <w:sz w:val="24"/>
              </w:rPr>
            </w:pPr>
            <w:r>
              <w:rPr>
                <w:kern w:val="0"/>
                <w:sz w:val="24"/>
                <w:lang w:bidi="ar"/>
              </w:rPr>
              <w:t>浙江金迪门业有限公司（萧山）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351" w:hRule="atLeast"/>
          <w:jc w:val="center"/>
        </w:trPr>
        <w:tc>
          <w:tcPr>
            <w:tcW w:w="498" w:type="dxa"/>
            <w:vAlign w:val="center"/>
          </w:tcPr>
          <w:p>
            <w:pPr>
              <w:jc w:val="center"/>
              <w:rPr>
                <w:sz w:val="24"/>
              </w:rPr>
            </w:pPr>
            <w:r>
              <w:rPr>
                <w:sz w:val="24"/>
              </w:rPr>
              <w:t>21</w:t>
            </w:r>
          </w:p>
        </w:tc>
        <w:tc>
          <w:tcPr>
            <w:tcW w:w="789" w:type="dxa"/>
            <w:vAlign w:val="center"/>
          </w:tcPr>
          <w:p>
            <w:pPr>
              <w:jc w:val="center"/>
              <w:rPr>
                <w:sz w:val="24"/>
              </w:rPr>
            </w:pPr>
            <w:r>
              <w:rPr>
                <w:sz w:val="24"/>
              </w:rPr>
              <w:t>杭州</w:t>
            </w:r>
          </w:p>
        </w:tc>
        <w:tc>
          <w:tcPr>
            <w:tcW w:w="3193" w:type="dxa"/>
            <w:vAlign w:val="center"/>
          </w:tcPr>
          <w:p>
            <w:pPr>
              <w:rPr>
                <w:sz w:val="24"/>
              </w:rPr>
            </w:pPr>
            <w:r>
              <w:rPr>
                <w:sz w:val="24"/>
              </w:rPr>
              <w:t>融创森与海商业街</w:t>
            </w:r>
          </w:p>
        </w:tc>
        <w:tc>
          <w:tcPr>
            <w:tcW w:w="4851" w:type="dxa"/>
            <w:vAlign w:val="center"/>
          </w:tcPr>
          <w:p>
            <w:pPr>
              <w:rPr>
                <w:sz w:val="24"/>
              </w:rPr>
            </w:pPr>
            <w:r>
              <w:rPr>
                <w:sz w:val="24"/>
              </w:rPr>
              <w:t>商业特色街</w:t>
            </w:r>
          </w:p>
        </w:tc>
        <w:tc>
          <w:tcPr>
            <w:tcW w:w="1264" w:type="dxa"/>
            <w:vAlign w:val="center"/>
          </w:tcPr>
          <w:p>
            <w:pPr>
              <w:jc w:val="center"/>
              <w:rPr>
                <w:sz w:val="24"/>
              </w:rPr>
            </w:pPr>
            <w:r>
              <w:rPr>
                <w:sz w:val="24"/>
              </w:rPr>
              <w:t>2021-2023</w:t>
            </w:r>
          </w:p>
        </w:tc>
        <w:tc>
          <w:tcPr>
            <w:tcW w:w="995" w:type="dxa"/>
            <w:vAlign w:val="center"/>
          </w:tcPr>
          <w:p>
            <w:pPr>
              <w:jc w:val="center"/>
              <w:rPr>
                <w:sz w:val="24"/>
              </w:rPr>
            </w:pPr>
            <w:r>
              <w:rPr>
                <w:sz w:val="24"/>
              </w:rPr>
              <w:t>5</w:t>
            </w:r>
          </w:p>
        </w:tc>
        <w:tc>
          <w:tcPr>
            <w:tcW w:w="1498" w:type="dxa"/>
            <w:vAlign w:val="center"/>
          </w:tcPr>
          <w:p>
            <w:pPr>
              <w:jc w:val="center"/>
              <w:rPr>
                <w:sz w:val="24"/>
              </w:rPr>
            </w:pPr>
            <w:r>
              <w:rPr>
                <w:sz w:val="24"/>
              </w:rPr>
              <w:t>杭州融泓政房地产开发有限公司（萧山）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463" w:hRule="atLeast"/>
          <w:jc w:val="center"/>
        </w:trPr>
        <w:tc>
          <w:tcPr>
            <w:tcW w:w="498" w:type="dxa"/>
            <w:vAlign w:val="center"/>
          </w:tcPr>
          <w:p>
            <w:pPr>
              <w:jc w:val="center"/>
              <w:rPr>
                <w:sz w:val="24"/>
              </w:rPr>
            </w:pPr>
            <w:r>
              <w:rPr>
                <w:sz w:val="24"/>
              </w:rPr>
              <w:t>22</w:t>
            </w:r>
          </w:p>
        </w:tc>
        <w:tc>
          <w:tcPr>
            <w:tcW w:w="789" w:type="dxa"/>
            <w:vAlign w:val="center"/>
          </w:tcPr>
          <w:p>
            <w:pPr>
              <w:jc w:val="center"/>
              <w:rPr>
                <w:sz w:val="24"/>
              </w:rPr>
            </w:pPr>
            <w:r>
              <w:rPr>
                <w:sz w:val="24"/>
              </w:rPr>
              <w:t>杭州</w:t>
            </w:r>
          </w:p>
        </w:tc>
        <w:tc>
          <w:tcPr>
            <w:tcW w:w="3193" w:type="dxa"/>
            <w:vAlign w:val="center"/>
          </w:tcPr>
          <w:p>
            <w:pPr>
              <w:widowControl/>
              <w:rPr>
                <w:sz w:val="24"/>
              </w:rPr>
            </w:pPr>
            <w:r>
              <w:rPr>
                <w:kern w:val="0"/>
                <w:sz w:val="24"/>
              </w:rPr>
              <w:t>桐庐银泰城</w:t>
            </w:r>
          </w:p>
        </w:tc>
        <w:tc>
          <w:tcPr>
            <w:tcW w:w="4851" w:type="dxa"/>
            <w:vAlign w:val="center"/>
          </w:tcPr>
          <w:p>
            <w:pPr>
              <w:widowControl/>
              <w:rPr>
                <w:sz w:val="24"/>
              </w:rPr>
            </w:pPr>
            <w:r>
              <w:rPr>
                <w:kern w:val="0"/>
                <w:sz w:val="24"/>
              </w:rPr>
              <w:t>项目选址位于320国道和梅林路交叉口东南侧地块64.02亩，拟建17.2万方商业综合体，引进一批中高端商业品牌，形成</w:t>
            </w:r>
            <w:r>
              <w:rPr>
                <w:rFonts w:hint="eastAsia"/>
                <w:kern w:val="0"/>
                <w:sz w:val="24"/>
              </w:rPr>
              <w:t>集</w:t>
            </w:r>
            <w:r>
              <w:rPr>
                <w:kern w:val="0"/>
                <w:sz w:val="24"/>
              </w:rPr>
              <w:t>购物、休闲、餐饮、娱乐等为一体的区域高端消费目的地。</w:t>
            </w:r>
          </w:p>
        </w:tc>
        <w:tc>
          <w:tcPr>
            <w:tcW w:w="1264" w:type="dxa"/>
            <w:vAlign w:val="center"/>
          </w:tcPr>
          <w:p>
            <w:pPr>
              <w:widowControl/>
              <w:jc w:val="center"/>
              <w:rPr>
                <w:rFonts w:hint="eastAsia"/>
                <w:kern w:val="0"/>
                <w:sz w:val="24"/>
              </w:rPr>
            </w:pPr>
            <w:r>
              <w:rPr>
                <w:kern w:val="0"/>
                <w:sz w:val="24"/>
              </w:rPr>
              <w:t>2021年</w:t>
            </w:r>
          </w:p>
          <w:p>
            <w:pPr>
              <w:widowControl/>
              <w:jc w:val="center"/>
              <w:rPr>
                <w:sz w:val="24"/>
              </w:rPr>
            </w:pPr>
            <w:r>
              <w:rPr>
                <w:kern w:val="0"/>
                <w:sz w:val="24"/>
              </w:rPr>
              <w:t>12月竣工</w:t>
            </w:r>
          </w:p>
        </w:tc>
        <w:tc>
          <w:tcPr>
            <w:tcW w:w="995" w:type="dxa"/>
            <w:vAlign w:val="center"/>
          </w:tcPr>
          <w:p>
            <w:pPr>
              <w:widowControl/>
              <w:jc w:val="center"/>
              <w:rPr>
                <w:sz w:val="24"/>
              </w:rPr>
            </w:pPr>
            <w:r>
              <w:rPr>
                <w:kern w:val="0"/>
                <w:sz w:val="24"/>
              </w:rPr>
              <w:t>10</w:t>
            </w:r>
          </w:p>
        </w:tc>
        <w:tc>
          <w:tcPr>
            <w:tcW w:w="1498" w:type="dxa"/>
            <w:vAlign w:val="center"/>
          </w:tcPr>
          <w:p>
            <w:pPr>
              <w:widowControl/>
              <w:jc w:val="center"/>
              <w:rPr>
                <w:sz w:val="24"/>
              </w:rPr>
            </w:pPr>
            <w:r>
              <w:rPr>
                <w:kern w:val="0"/>
                <w:sz w:val="24"/>
              </w:rPr>
              <w:t>未来城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113" w:hRule="atLeast"/>
          <w:jc w:val="center"/>
        </w:trPr>
        <w:tc>
          <w:tcPr>
            <w:tcW w:w="498" w:type="dxa"/>
            <w:vAlign w:val="center"/>
          </w:tcPr>
          <w:p>
            <w:pPr>
              <w:jc w:val="center"/>
              <w:rPr>
                <w:sz w:val="24"/>
              </w:rPr>
            </w:pPr>
            <w:r>
              <w:rPr>
                <w:sz w:val="24"/>
              </w:rPr>
              <w:t>23</w:t>
            </w:r>
          </w:p>
        </w:tc>
        <w:tc>
          <w:tcPr>
            <w:tcW w:w="789" w:type="dxa"/>
            <w:vAlign w:val="center"/>
          </w:tcPr>
          <w:p>
            <w:pPr>
              <w:jc w:val="center"/>
              <w:rPr>
                <w:sz w:val="24"/>
              </w:rPr>
            </w:pPr>
            <w:r>
              <w:rPr>
                <w:sz w:val="24"/>
              </w:rPr>
              <w:t>杭州</w:t>
            </w:r>
          </w:p>
        </w:tc>
        <w:tc>
          <w:tcPr>
            <w:tcW w:w="3193" w:type="dxa"/>
            <w:vAlign w:val="center"/>
          </w:tcPr>
          <w:p>
            <w:pPr>
              <w:widowControl/>
              <w:rPr>
                <w:sz w:val="24"/>
              </w:rPr>
            </w:pPr>
            <w:r>
              <w:rPr>
                <w:kern w:val="0"/>
                <w:sz w:val="24"/>
              </w:rPr>
              <w:t>新合茶园项目</w:t>
            </w:r>
          </w:p>
        </w:tc>
        <w:tc>
          <w:tcPr>
            <w:tcW w:w="4851" w:type="dxa"/>
            <w:vAlign w:val="center"/>
          </w:tcPr>
          <w:p>
            <w:pPr>
              <w:widowControl/>
              <w:rPr>
                <w:sz w:val="24"/>
              </w:rPr>
            </w:pPr>
            <w:r>
              <w:rPr>
                <w:kern w:val="0"/>
                <w:sz w:val="24"/>
              </w:rPr>
              <w:t>茶叶种植，技术开发，农作物栽培服务，园艺产品种植，技术开发，花卉种植，休闲观光活动，会议及展览活动等</w:t>
            </w:r>
          </w:p>
        </w:tc>
        <w:tc>
          <w:tcPr>
            <w:tcW w:w="1264" w:type="dxa"/>
            <w:vAlign w:val="center"/>
          </w:tcPr>
          <w:p>
            <w:pPr>
              <w:widowControl/>
              <w:jc w:val="center"/>
              <w:rPr>
                <w:rFonts w:hint="eastAsia"/>
                <w:kern w:val="0"/>
                <w:sz w:val="24"/>
              </w:rPr>
            </w:pPr>
            <w:r>
              <w:rPr>
                <w:kern w:val="0"/>
                <w:sz w:val="24"/>
              </w:rPr>
              <w:t>2020.10</w:t>
            </w:r>
          </w:p>
          <w:p>
            <w:pPr>
              <w:widowControl/>
              <w:jc w:val="center"/>
              <w:rPr>
                <w:sz w:val="24"/>
              </w:rPr>
            </w:pPr>
            <w:r>
              <w:rPr>
                <w:kern w:val="0"/>
                <w:sz w:val="24"/>
              </w:rPr>
              <w:t>-2021.12</w:t>
            </w:r>
          </w:p>
        </w:tc>
        <w:tc>
          <w:tcPr>
            <w:tcW w:w="995" w:type="dxa"/>
            <w:vAlign w:val="center"/>
          </w:tcPr>
          <w:p>
            <w:pPr>
              <w:widowControl/>
              <w:jc w:val="center"/>
              <w:rPr>
                <w:sz w:val="24"/>
              </w:rPr>
            </w:pPr>
            <w:r>
              <w:rPr>
                <w:kern w:val="0"/>
                <w:sz w:val="24"/>
              </w:rPr>
              <w:t>0.3</w:t>
            </w:r>
          </w:p>
        </w:tc>
        <w:tc>
          <w:tcPr>
            <w:tcW w:w="1498" w:type="dxa"/>
            <w:vAlign w:val="center"/>
          </w:tcPr>
          <w:p>
            <w:pPr>
              <w:widowControl/>
              <w:jc w:val="center"/>
              <w:rPr>
                <w:sz w:val="24"/>
              </w:rPr>
            </w:pPr>
            <w:r>
              <w:rPr>
                <w:kern w:val="0"/>
                <w:sz w:val="24"/>
              </w:rPr>
              <w:t>新合乡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2413" w:hRule="atLeast"/>
          <w:jc w:val="center"/>
        </w:trPr>
        <w:tc>
          <w:tcPr>
            <w:tcW w:w="498" w:type="dxa"/>
            <w:vAlign w:val="center"/>
          </w:tcPr>
          <w:p>
            <w:pPr>
              <w:jc w:val="center"/>
              <w:rPr>
                <w:sz w:val="24"/>
              </w:rPr>
            </w:pPr>
            <w:r>
              <w:rPr>
                <w:sz w:val="24"/>
              </w:rPr>
              <w:t>24</w:t>
            </w:r>
          </w:p>
        </w:tc>
        <w:tc>
          <w:tcPr>
            <w:tcW w:w="789" w:type="dxa"/>
            <w:vAlign w:val="center"/>
          </w:tcPr>
          <w:p>
            <w:pPr>
              <w:jc w:val="center"/>
              <w:rPr>
                <w:sz w:val="24"/>
              </w:rPr>
            </w:pPr>
            <w:r>
              <w:rPr>
                <w:sz w:val="24"/>
              </w:rPr>
              <w:t>杭州</w:t>
            </w:r>
          </w:p>
        </w:tc>
        <w:tc>
          <w:tcPr>
            <w:tcW w:w="3193" w:type="dxa"/>
            <w:vAlign w:val="center"/>
          </w:tcPr>
          <w:p>
            <w:pPr>
              <w:widowControl/>
              <w:rPr>
                <w:sz w:val="24"/>
              </w:rPr>
            </w:pPr>
            <w:r>
              <w:rPr>
                <w:kern w:val="0"/>
                <w:sz w:val="24"/>
              </w:rPr>
              <w:t>大野水岸度假村</w:t>
            </w:r>
          </w:p>
        </w:tc>
        <w:tc>
          <w:tcPr>
            <w:tcW w:w="4851" w:type="dxa"/>
            <w:vAlign w:val="center"/>
          </w:tcPr>
          <w:p>
            <w:pPr>
              <w:widowControl/>
              <w:rPr>
                <w:sz w:val="24"/>
              </w:rPr>
            </w:pPr>
            <w:r>
              <w:rPr>
                <w:kern w:val="0"/>
                <w:sz w:val="24"/>
              </w:rPr>
              <w:t>项目包括综合服务度假区、溪水休闲区、时尚休闲度假区3个区块，总投资1.5亿元。其中一期投资9000万元，用地面积16.92亩。项目以“身心修养”为核心价值，结合良好的山水资源，通过养生特色主题的精心设计，使得游客在体验山水的同时，享受一站式养生度假服务，得到身心</w:t>
            </w:r>
            <w:r>
              <w:rPr>
                <w:rFonts w:hint="eastAsia"/>
                <w:kern w:val="0"/>
                <w:sz w:val="24"/>
              </w:rPr>
              <w:t>灵</w:t>
            </w:r>
            <w:r>
              <w:rPr>
                <w:kern w:val="0"/>
                <w:sz w:val="24"/>
              </w:rPr>
              <w:t>的放松休憩。</w:t>
            </w:r>
          </w:p>
        </w:tc>
        <w:tc>
          <w:tcPr>
            <w:tcW w:w="1264" w:type="dxa"/>
            <w:vAlign w:val="center"/>
          </w:tcPr>
          <w:p>
            <w:pPr>
              <w:widowControl/>
              <w:jc w:val="center"/>
              <w:rPr>
                <w:sz w:val="24"/>
              </w:rPr>
            </w:pPr>
            <w:r>
              <w:rPr>
                <w:kern w:val="0"/>
                <w:sz w:val="24"/>
              </w:rPr>
              <w:t>2020-2022</w:t>
            </w:r>
          </w:p>
        </w:tc>
        <w:tc>
          <w:tcPr>
            <w:tcW w:w="995" w:type="dxa"/>
            <w:vAlign w:val="center"/>
          </w:tcPr>
          <w:p>
            <w:pPr>
              <w:widowControl/>
              <w:jc w:val="center"/>
              <w:rPr>
                <w:sz w:val="24"/>
              </w:rPr>
            </w:pPr>
            <w:r>
              <w:rPr>
                <w:kern w:val="0"/>
                <w:sz w:val="24"/>
              </w:rPr>
              <w:t>0.9</w:t>
            </w:r>
          </w:p>
        </w:tc>
        <w:tc>
          <w:tcPr>
            <w:tcW w:w="1498" w:type="dxa"/>
            <w:vAlign w:val="center"/>
          </w:tcPr>
          <w:p>
            <w:pPr>
              <w:widowControl/>
              <w:jc w:val="center"/>
              <w:rPr>
                <w:sz w:val="24"/>
              </w:rPr>
            </w:pPr>
            <w:r>
              <w:rPr>
                <w:kern w:val="0"/>
                <w:sz w:val="24"/>
              </w:rPr>
              <w:t>百江镇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2483" w:hRule="atLeast"/>
          <w:jc w:val="center"/>
        </w:trPr>
        <w:tc>
          <w:tcPr>
            <w:tcW w:w="498" w:type="dxa"/>
            <w:vAlign w:val="center"/>
          </w:tcPr>
          <w:p>
            <w:pPr>
              <w:jc w:val="center"/>
              <w:rPr>
                <w:sz w:val="24"/>
              </w:rPr>
            </w:pPr>
            <w:r>
              <w:rPr>
                <w:sz w:val="24"/>
              </w:rPr>
              <w:t>25</w:t>
            </w:r>
          </w:p>
        </w:tc>
        <w:tc>
          <w:tcPr>
            <w:tcW w:w="789" w:type="dxa"/>
            <w:vAlign w:val="center"/>
          </w:tcPr>
          <w:p>
            <w:pPr>
              <w:jc w:val="center"/>
              <w:rPr>
                <w:sz w:val="24"/>
              </w:rPr>
            </w:pPr>
            <w:r>
              <w:rPr>
                <w:sz w:val="24"/>
              </w:rPr>
              <w:t>杭州</w:t>
            </w:r>
          </w:p>
        </w:tc>
        <w:tc>
          <w:tcPr>
            <w:tcW w:w="3193" w:type="dxa"/>
            <w:vAlign w:val="center"/>
          </w:tcPr>
          <w:p>
            <w:pPr>
              <w:widowControl/>
              <w:rPr>
                <w:sz w:val="24"/>
              </w:rPr>
            </w:pPr>
            <w:r>
              <w:rPr>
                <w:kern w:val="0"/>
                <w:sz w:val="24"/>
              </w:rPr>
              <w:t>公路驿站</w:t>
            </w:r>
          </w:p>
        </w:tc>
        <w:tc>
          <w:tcPr>
            <w:tcW w:w="4851" w:type="dxa"/>
            <w:vAlign w:val="center"/>
          </w:tcPr>
          <w:p>
            <w:pPr>
              <w:widowControl/>
              <w:rPr>
                <w:sz w:val="24"/>
              </w:rPr>
            </w:pPr>
            <w:r>
              <w:rPr>
                <w:kern w:val="0"/>
                <w:sz w:val="24"/>
              </w:rPr>
              <w:t>项目位于桐庐县百江镇联盟村，被赋予了艺术属性，总建筑面积2283.58平方米，规划停车位14个。建筑设计以人为本、多元、有特色及独创性、富有地域文化内涵和汇集自然、现代审美情趣、并能体现自然、艺术、</w:t>
            </w:r>
            <w:r>
              <w:rPr>
                <w:rFonts w:hint="eastAsia"/>
                <w:kern w:val="0"/>
                <w:sz w:val="24"/>
              </w:rPr>
              <w:t>人文</w:t>
            </w:r>
            <w:r>
              <w:rPr>
                <w:kern w:val="0"/>
                <w:sz w:val="24"/>
              </w:rPr>
              <w:t>三者完美结合的、有一定</w:t>
            </w:r>
            <w:r>
              <w:rPr>
                <w:rFonts w:hint="eastAsia"/>
                <w:kern w:val="0"/>
                <w:sz w:val="24"/>
              </w:rPr>
              <w:t>特色</w:t>
            </w:r>
            <w:r>
              <w:rPr>
                <w:kern w:val="0"/>
                <w:sz w:val="24"/>
              </w:rPr>
              <w:t>的农业孵化园，主要功能有餐饮、住宿</w:t>
            </w:r>
            <w:r>
              <w:rPr>
                <w:rFonts w:hint="eastAsia"/>
                <w:kern w:val="0"/>
                <w:sz w:val="24"/>
              </w:rPr>
              <w:t>、</w:t>
            </w:r>
            <w:r>
              <w:rPr>
                <w:kern w:val="0"/>
                <w:sz w:val="24"/>
              </w:rPr>
              <w:t>休憩。</w:t>
            </w:r>
          </w:p>
        </w:tc>
        <w:tc>
          <w:tcPr>
            <w:tcW w:w="1264" w:type="dxa"/>
            <w:vAlign w:val="center"/>
          </w:tcPr>
          <w:p>
            <w:pPr>
              <w:widowControl/>
              <w:jc w:val="center"/>
              <w:rPr>
                <w:sz w:val="24"/>
              </w:rPr>
            </w:pPr>
            <w:r>
              <w:rPr>
                <w:kern w:val="0"/>
                <w:sz w:val="24"/>
              </w:rPr>
              <w:t>2020-2021</w:t>
            </w:r>
          </w:p>
        </w:tc>
        <w:tc>
          <w:tcPr>
            <w:tcW w:w="995" w:type="dxa"/>
            <w:vAlign w:val="center"/>
          </w:tcPr>
          <w:p>
            <w:pPr>
              <w:widowControl/>
              <w:jc w:val="center"/>
              <w:rPr>
                <w:sz w:val="24"/>
              </w:rPr>
            </w:pPr>
            <w:r>
              <w:rPr>
                <w:kern w:val="0"/>
                <w:sz w:val="24"/>
              </w:rPr>
              <w:t>0.08</w:t>
            </w:r>
          </w:p>
        </w:tc>
        <w:tc>
          <w:tcPr>
            <w:tcW w:w="1498" w:type="dxa"/>
            <w:vAlign w:val="center"/>
          </w:tcPr>
          <w:p>
            <w:pPr>
              <w:widowControl/>
              <w:jc w:val="center"/>
              <w:rPr>
                <w:sz w:val="24"/>
              </w:rPr>
            </w:pPr>
            <w:r>
              <w:rPr>
                <w:kern w:val="0"/>
                <w:sz w:val="24"/>
              </w:rPr>
              <w:t>百江镇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240" w:hRule="atLeast"/>
          <w:jc w:val="center"/>
        </w:trPr>
        <w:tc>
          <w:tcPr>
            <w:tcW w:w="498" w:type="dxa"/>
            <w:vAlign w:val="center"/>
          </w:tcPr>
          <w:p>
            <w:pPr>
              <w:jc w:val="center"/>
              <w:rPr>
                <w:sz w:val="24"/>
              </w:rPr>
            </w:pPr>
            <w:r>
              <w:rPr>
                <w:sz w:val="24"/>
              </w:rPr>
              <w:t>26</w:t>
            </w:r>
          </w:p>
        </w:tc>
        <w:tc>
          <w:tcPr>
            <w:tcW w:w="789" w:type="dxa"/>
            <w:vAlign w:val="center"/>
          </w:tcPr>
          <w:p>
            <w:pPr>
              <w:jc w:val="center"/>
              <w:rPr>
                <w:sz w:val="24"/>
              </w:rPr>
            </w:pPr>
            <w:r>
              <w:rPr>
                <w:sz w:val="24"/>
              </w:rPr>
              <w:t>杭州</w:t>
            </w:r>
          </w:p>
        </w:tc>
        <w:tc>
          <w:tcPr>
            <w:tcW w:w="3193" w:type="dxa"/>
            <w:vAlign w:val="center"/>
          </w:tcPr>
          <w:p>
            <w:pPr>
              <w:rPr>
                <w:sz w:val="24"/>
              </w:rPr>
            </w:pPr>
            <w:r>
              <w:rPr>
                <w:sz w:val="24"/>
              </w:rPr>
              <w:t>杭政储出</w:t>
            </w:r>
            <w:r>
              <w:rPr>
                <w:rFonts w:hint="eastAsia" w:ascii="仿宋_GB2312"/>
                <w:sz w:val="24"/>
              </w:rPr>
              <w:t>〔</w:t>
            </w:r>
            <w:r>
              <w:rPr>
                <w:sz w:val="24"/>
              </w:rPr>
              <w:t>2020</w:t>
            </w:r>
            <w:r>
              <w:rPr>
                <w:rFonts w:hint="eastAsia" w:ascii="仿宋_GB2312"/>
                <w:sz w:val="24"/>
              </w:rPr>
              <w:t>〕</w:t>
            </w:r>
            <w:r>
              <w:rPr>
                <w:sz w:val="24"/>
              </w:rPr>
              <w:t>33号地块</w:t>
            </w:r>
          </w:p>
        </w:tc>
        <w:tc>
          <w:tcPr>
            <w:tcW w:w="4851" w:type="dxa"/>
            <w:vAlign w:val="center"/>
          </w:tcPr>
          <w:p>
            <w:pPr>
              <w:rPr>
                <w:sz w:val="24"/>
              </w:rPr>
            </w:pPr>
            <w:r>
              <w:rPr>
                <w:sz w:val="24"/>
              </w:rPr>
              <w:t>住宅、商业、酒店、办公等</w:t>
            </w:r>
          </w:p>
        </w:tc>
        <w:tc>
          <w:tcPr>
            <w:tcW w:w="1264" w:type="dxa"/>
            <w:vAlign w:val="center"/>
          </w:tcPr>
          <w:p>
            <w:pPr>
              <w:jc w:val="center"/>
              <w:rPr>
                <w:sz w:val="24"/>
              </w:rPr>
            </w:pPr>
            <w:r>
              <w:rPr>
                <w:sz w:val="24"/>
              </w:rPr>
              <w:t>5年</w:t>
            </w:r>
          </w:p>
        </w:tc>
        <w:tc>
          <w:tcPr>
            <w:tcW w:w="995" w:type="dxa"/>
            <w:vAlign w:val="center"/>
          </w:tcPr>
          <w:p>
            <w:pPr>
              <w:jc w:val="center"/>
              <w:rPr>
                <w:sz w:val="24"/>
              </w:rPr>
            </w:pPr>
            <w:r>
              <w:rPr>
                <w:sz w:val="24"/>
              </w:rPr>
              <w:t>120</w:t>
            </w:r>
          </w:p>
        </w:tc>
        <w:tc>
          <w:tcPr>
            <w:tcW w:w="1498" w:type="dxa"/>
            <w:vAlign w:val="center"/>
          </w:tcPr>
          <w:p>
            <w:pPr>
              <w:jc w:val="center"/>
              <w:rPr>
                <w:sz w:val="24"/>
              </w:rPr>
            </w:pPr>
            <w:r>
              <w:rPr>
                <w:sz w:val="24"/>
              </w:rPr>
              <w:t>杭州龙宇置业有限公司（滨江）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714" w:hRule="atLeast"/>
          <w:jc w:val="center"/>
        </w:trPr>
        <w:tc>
          <w:tcPr>
            <w:tcW w:w="498" w:type="dxa"/>
            <w:vAlign w:val="center"/>
          </w:tcPr>
          <w:p>
            <w:pPr>
              <w:jc w:val="center"/>
              <w:rPr>
                <w:sz w:val="24"/>
              </w:rPr>
            </w:pPr>
            <w:r>
              <w:rPr>
                <w:rFonts w:hint="eastAsia"/>
                <w:sz w:val="24"/>
              </w:rPr>
              <w:t>27</w:t>
            </w:r>
          </w:p>
        </w:tc>
        <w:tc>
          <w:tcPr>
            <w:tcW w:w="789" w:type="dxa"/>
            <w:vAlign w:val="center"/>
          </w:tcPr>
          <w:p>
            <w:pPr>
              <w:jc w:val="center"/>
              <w:rPr>
                <w:sz w:val="24"/>
              </w:rPr>
            </w:pPr>
            <w:r>
              <w:rPr>
                <w:sz w:val="24"/>
              </w:rPr>
              <w:t>宁波</w:t>
            </w:r>
          </w:p>
        </w:tc>
        <w:tc>
          <w:tcPr>
            <w:tcW w:w="3193" w:type="dxa"/>
            <w:vAlign w:val="center"/>
          </w:tcPr>
          <w:p>
            <w:pPr>
              <w:rPr>
                <w:sz w:val="24"/>
              </w:rPr>
            </w:pPr>
            <w:r>
              <w:rPr>
                <w:sz w:val="24"/>
              </w:rPr>
              <w:t>争取国家级步行街试点</w:t>
            </w:r>
          </w:p>
        </w:tc>
        <w:tc>
          <w:tcPr>
            <w:tcW w:w="4851" w:type="dxa"/>
            <w:vAlign w:val="center"/>
          </w:tcPr>
          <w:p>
            <w:pPr>
              <w:rPr>
                <w:sz w:val="24"/>
              </w:rPr>
            </w:pPr>
            <w:r>
              <w:rPr>
                <w:sz w:val="24"/>
              </w:rPr>
              <w:t>创建老外滩国家级步行街，优化街区环境，推进5G智慧街区建设，建设若干个滨水公园，打造商业、旅游地标。优化标识导视系统。推进商旅文融合，吸引国内外知名企业设立旗舰店、品牌首店，打造中东欧风情特色街区。</w:t>
            </w:r>
          </w:p>
        </w:tc>
        <w:tc>
          <w:tcPr>
            <w:tcW w:w="1264" w:type="dxa"/>
            <w:vAlign w:val="center"/>
          </w:tcPr>
          <w:p>
            <w:pPr>
              <w:jc w:val="center"/>
              <w:rPr>
                <w:sz w:val="24"/>
              </w:rPr>
            </w:pPr>
            <w:r>
              <w:rPr>
                <w:sz w:val="24"/>
              </w:rPr>
              <w:t>2021-2025</w:t>
            </w:r>
          </w:p>
        </w:tc>
        <w:tc>
          <w:tcPr>
            <w:tcW w:w="995" w:type="dxa"/>
            <w:vAlign w:val="center"/>
          </w:tcPr>
          <w:p>
            <w:pPr>
              <w:jc w:val="center"/>
              <w:rPr>
                <w:sz w:val="24"/>
              </w:rPr>
            </w:pPr>
            <w:r>
              <w:rPr>
                <w:sz w:val="24"/>
              </w:rPr>
              <w:t>—</w:t>
            </w:r>
          </w:p>
        </w:tc>
        <w:tc>
          <w:tcPr>
            <w:tcW w:w="1498" w:type="dxa"/>
            <w:vAlign w:val="center"/>
          </w:tcPr>
          <w:p>
            <w:pPr>
              <w:jc w:val="center"/>
              <w:rPr>
                <w:sz w:val="24"/>
              </w:rPr>
            </w:pPr>
            <w:r>
              <w:rPr>
                <w:sz w:val="24"/>
              </w:rPr>
              <w:t>江北区人民政府，宁波市商务局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834" w:hRule="atLeast"/>
          <w:jc w:val="center"/>
        </w:trPr>
        <w:tc>
          <w:tcPr>
            <w:tcW w:w="498" w:type="dxa"/>
            <w:vAlign w:val="center"/>
          </w:tcPr>
          <w:p>
            <w:pPr>
              <w:jc w:val="center"/>
              <w:rPr>
                <w:sz w:val="24"/>
              </w:rPr>
            </w:pPr>
            <w:r>
              <w:rPr>
                <w:sz w:val="24"/>
              </w:rPr>
              <w:t>28</w:t>
            </w:r>
          </w:p>
        </w:tc>
        <w:tc>
          <w:tcPr>
            <w:tcW w:w="789" w:type="dxa"/>
            <w:vAlign w:val="center"/>
          </w:tcPr>
          <w:p>
            <w:pPr>
              <w:jc w:val="center"/>
              <w:rPr>
                <w:sz w:val="24"/>
              </w:rPr>
            </w:pPr>
            <w:r>
              <w:rPr>
                <w:sz w:val="24"/>
              </w:rPr>
              <w:t>温州</w:t>
            </w:r>
          </w:p>
        </w:tc>
        <w:tc>
          <w:tcPr>
            <w:tcW w:w="3193" w:type="dxa"/>
            <w:vAlign w:val="center"/>
          </w:tcPr>
          <w:p>
            <w:pPr>
              <w:rPr>
                <w:sz w:val="24"/>
              </w:rPr>
            </w:pPr>
            <w:r>
              <w:rPr>
                <w:snapToGrid w:val="0"/>
                <w:spacing w:val="-4"/>
                <w:kern w:val="0"/>
                <w:sz w:val="24"/>
              </w:rPr>
              <w:t>印象城</w:t>
            </w:r>
          </w:p>
        </w:tc>
        <w:tc>
          <w:tcPr>
            <w:tcW w:w="4851" w:type="dxa"/>
            <w:vAlign w:val="center"/>
          </w:tcPr>
          <w:p>
            <w:pPr>
              <w:rPr>
                <w:sz w:val="24"/>
              </w:rPr>
            </w:pPr>
            <w:r>
              <w:rPr>
                <w:snapToGrid w:val="0"/>
                <w:spacing w:val="-4"/>
                <w:kern w:val="0"/>
                <w:sz w:val="24"/>
              </w:rPr>
              <w:t>打造集商业娱乐、都市旅游为一体的商业休闲广场。</w:t>
            </w:r>
          </w:p>
        </w:tc>
        <w:tc>
          <w:tcPr>
            <w:tcW w:w="1264" w:type="dxa"/>
            <w:vAlign w:val="center"/>
          </w:tcPr>
          <w:p>
            <w:pPr>
              <w:jc w:val="center"/>
              <w:rPr>
                <w:sz w:val="24"/>
              </w:rPr>
            </w:pPr>
            <w:r>
              <w:rPr>
                <w:snapToGrid w:val="0"/>
                <w:spacing w:val="-4"/>
                <w:kern w:val="0"/>
                <w:sz w:val="24"/>
              </w:rPr>
              <w:t>2018-2021</w:t>
            </w:r>
          </w:p>
        </w:tc>
        <w:tc>
          <w:tcPr>
            <w:tcW w:w="995" w:type="dxa"/>
            <w:vAlign w:val="center"/>
          </w:tcPr>
          <w:p>
            <w:pPr>
              <w:jc w:val="center"/>
              <w:rPr>
                <w:sz w:val="24"/>
              </w:rPr>
            </w:pPr>
            <w:r>
              <w:rPr>
                <w:snapToGrid w:val="0"/>
                <w:spacing w:val="-4"/>
                <w:kern w:val="0"/>
                <w:sz w:val="24"/>
              </w:rPr>
              <w:t>19.7</w:t>
            </w:r>
          </w:p>
        </w:tc>
        <w:tc>
          <w:tcPr>
            <w:tcW w:w="1498" w:type="dxa"/>
            <w:vAlign w:val="center"/>
          </w:tcPr>
          <w:p>
            <w:pPr>
              <w:jc w:val="center"/>
              <w:rPr>
                <w:sz w:val="24"/>
              </w:rPr>
            </w:pPr>
            <w:r>
              <w:rPr>
                <w:snapToGrid w:val="0"/>
                <w:spacing w:val="-4"/>
                <w:kern w:val="0"/>
                <w:sz w:val="24"/>
              </w:rPr>
              <w:t>温州万印置业有限公司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29</w:t>
            </w:r>
          </w:p>
        </w:tc>
        <w:tc>
          <w:tcPr>
            <w:tcW w:w="789" w:type="dxa"/>
            <w:vAlign w:val="center"/>
          </w:tcPr>
          <w:p>
            <w:pPr>
              <w:jc w:val="center"/>
              <w:rPr>
                <w:sz w:val="24"/>
              </w:rPr>
            </w:pPr>
            <w:r>
              <w:rPr>
                <w:sz w:val="24"/>
              </w:rPr>
              <w:t>温州</w:t>
            </w:r>
          </w:p>
        </w:tc>
        <w:tc>
          <w:tcPr>
            <w:tcW w:w="3193" w:type="dxa"/>
            <w:vAlign w:val="center"/>
          </w:tcPr>
          <w:p>
            <w:pPr>
              <w:rPr>
                <w:sz w:val="24"/>
              </w:rPr>
            </w:pPr>
            <w:r>
              <w:rPr>
                <w:snapToGrid w:val="0"/>
                <w:spacing w:val="-4"/>
                <w:kern w:val="0"/>
                <w:sz w:val="24"/>
              </w:rPr>
              <w:t>老港区万象城综合体</w:t>
            </w:r>
          </w:p>
        </w:tc>
        <w:tc>
          <w:tcPr>
            <w:tcW w:w="4851" w:type="dxa"/>
            <w:vAlign w:val="center"/>
          </w:tcPr>
          <w:p>
            <w:pPr>
              <w:rPr>
                <w:sz w:val="24"/>
              </w:rPr>
            </w:pPr>
            <w:r>
              <w:rPr>
                <w:snapToGrid w:val="0"/>
                <w:spacing w:val="-4"/>
                <w:kern w:val="0"/>
                <w:sz w:val="24"/>
              </w:rPr>
              <w:t>高端城市综合体，涉及高档酒店、写字楼、公寓，购物中心</w:t>
            </w:r>
          </w:p>
        </w:tc>
        <w:tc>
          <w:tcPr>
            <w:tcW w:w="1264" w:type="dxa"/>
            <w:vAlign w:val="center"/>
          </w:tcPr>
          <w:p>
            <w:pPr>
              <w:jc w:val="center"/>
              <w:rPr>
                <w:sz w:val="24"/>
              </w:rPr>
            </w:pPr>
            <w:r>
              <w:rPr>
                <w:snapToGrid w:val="0"/>
                <w:spacing w:val="-4"/>
                <w:kern w:val="0"/>
                <w:sz w:val="24"/>
              </w:rPr>
              <w:t>2019-2023</w:t>
            </w:r>
          </w:p>
        </w:tc>
        <w:tc>
          <w:tcPr>
            <w:tcW w:w="995" w:type="dxa"/>
            <w:vAlign w:val="center"/>
          </w:tcPr>
          <w:p>
            <w:pPr>
              <w:jc w:val="center"/>
              <w:rPr>
                <w:sz w:val="24"/>
              </w:rPr>
            </w:pPr>
            <w:r>
              <w:rPr>
                <w:snapToGrid w:val="0"/>
                <w:spacing w:val="-4"/>
                <w:kern w:val="0"/>
                <w:sz w:val="24"/>
              </w:rPr>
              <w:t>50</w:t>
            </w:r>
          </w:p>
        </w:tc>
        <w:tc>
          <w:tcPr>
            <w:tcW w:w="1498" w:type="dxa"/>
            <w:vAlign w:val="center"/>
          </w:tcPr>
          <w:p>
            <w:pPr>
              <w:jc w:val="center"/>
              <w:rPr>
                <w:rFonts w:hint="eastAsia"/>
                <w:snapToGrid w:val="0"/>
                <w:spacing w:val="-4"/>
                <w:kern w:val="0"/>
                <w:sz w:val="24"/>
              </w:rPr>
            </w:pPr>
            <w:r>
              <w:rPr>
                <w:snapToGrid w:val="0"/>
                <w:spacing w:val="-4"/>
                <w:kern w:val="0"/>
                <w:sz w:val="24"/>
              </w:rPr>
              <w:t>温州市悦港置业有限</w:t>
            </w:r>
          </w:p>
          <w:p>
            <w:pPr>
              <w:jc w:val="center"/>
              <w:rPr>
                <w:sz w:val="24"/>
              </w:rPr>
            </w:pPr>
            <w:r>
              <w:rPr>
                <w:snapToGrid w:val="0"/>
                <w:spacing w:val="-4"/>
                <w:kern w:val="0"/>
                <w:sz w:val="24"/>
              </w:rPr>
              <w:t>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141" w:hRule="atLeast"/>
          <w:jc w:val="center"/>
        </w:trPr>
        <w:tc>
          <w:tcPr>
            <w:tcW w:w="498" w:type="dxa"/>
            <w:vAlign w:val="center"/>
          </w:tcPr>
          <w:p>
            <w:pPr>
              <w:jc w:val="center"/>
              <w:rPr>
                <w:sz w:val="24"/>
              </w:rPr>
            </w:pPr>
            <w:r>
              <w:rPr>
                <w:sz w:val="24"/>
              </w:rPr>
              <w:t>30</w:t>
            </w:r>
          </w:p>
        </w:tc>
        <w:tc>
          <w:tcPr>
            <w:tcW w:w="789" w:type="dxa"/>
            <w:vAlign w:val="center"/>
          </w:tcPr>
          <w:p>
            <w:pPr>
              <w:jc w:val="center"/>
              <w:rPr>
                <w:sz w:val="24"/>
              </w:rPr>
            </w:pPr>
            <w:r>
              <w:rPr>
                <w:sz w:val="24"/>
              </w:rPr>
              <w:t>温州</w:t>
            </w:r>
          </w:p>
        </w:tc>
        <w:tc>
          <w:tcPr>
            <w:tcW w:w="3193" w:type="dxa"/>
            <w:vAlign w:val="center"/>
          </w:tcPr>
          <w:p>
            <w:pPr>
              <w:rPr>
                <w:snapToGrid w:val="0"/>
                <w:spacing w:val="-4"/>
                <w:kern w:val="0"/>
                <w:sz w:val="24"/>
              </w:rPr>
            </w:pPr>
            <w:r>
              <w:rPr>
                <w:snapToGrid w:val="0"/>
                <w:spacing w:val="-4"/>
                <w:kern w:val="0"/>
                <w:sz w:val="24"/>
              </w:rPr>
              <w:t>环贸港</w:t>
            </w:r>
          </w:p>
        </w:tc>
        <w:tc>
          <w:tcPr>
            <w:tcW w:w="4851" w:type="dxa"/>
            <w:vAlign w:val="center"/>
          </w:tcPr>
          <w:p>
            <w:pPr>
              <w:rPr>
                <w:snapToGrid w:val="0"/>
                <w:spacing w:val="-4"/>
                <w:kern w:val="0"/>
                <w:sz w:val="24"/>
              </w:rPr>
            </w:pPr>
            <w:r>
              <w:rPr>
                <w:snapToGrid w:val="0"/>
                <w:spacing w:val="-4"/>
                <w:kern w:val="0"/>
                <w:sz w:val="24"/>
              </w:rPr>
              <w:t>项目将建设市场采购贸易方式试点配套市场，及仓储物流、设计研发、产品展示等配套功能设施。</w:t>
            </w:r>
          </w:p>
        </w:tc>
        <w:tc>
          <w:tcPr>
            <w:tcW w:w="1264" w:type="dxa"/>
            <w:vAlign w:val="center"/>
          </w:tcPr>
          <w:p>
            <w:pPr>
              <w:jc w:val="center"/>
              <w:rPr>
                <w:snapToGrid w:val="0"/>
                <w:spacing w:val="-4"/>
                <w:kern w:val="0"/>
                <w:sz w:val="24"/>
              </w:rPr>
            </w:pPr>
            <w:r>
              <w:rPr>
                <w:snapToGrid w:val="0"/>
                <w:spacing w:val="-4"/>
                <w:kern w:val="0"/>
                <w:sz w:val="24"/>
              </w:rPr>
              <w:t>2019-2023</w:t>
            </w:r>
          </w:p>
        </w:tc>
        <w:tc>
          <w:tcPr>
            <w:tcW w:w="995" w:type="dxa"/>
            <w:vAlign w:val="center"/>
          </w:tcPr>
          <w:p>
            <w:pPr>
              <w:jc w:val="center"/>
              <w:rPr>
                <w:snapToGrid w:val="0"/>
                <w:spacing w:val="-4"/>
                <w:kern w:val="0"/>
                <w:sz w:val="24"/>
              </w:rPr>
            </w:pPr>
            <w:r>
              <w:rPr>
                <w:snapToGrid w:val="0"/>
                <w:spacing w:val="-4"/>
                <w:kern w:val="0"/>
                <w:sz w:val="24"/>
              </w:rPr>
              <w:t>20</w:t>
            </w:r>
          </w:p>
        </w:tc>
        <w:tc>
          <w:tcPr>
            <w:tcW w:w="1498" w:type="dxa"/>
            <w:vAlign w:val="center"/>
          </w:tcPr>
          <w:p>
            <w:pPr>
              <w:jc w:val="center"/>
              <w:rPr>
                <w:rFonts w:hint="eastAsia"/>
                <w:snapToGrid w:val="0"/>
                <w:spacing w:val="-4"/>
                <w:kern w:val="0"/>
                <w:sz w:val="24"/>
              </w:rPr>
            </w:pPr>
            <w:r>
              <w:rPr>
                <w:snapToGrid w:val="0"/>
                <w:spacing w:val="-4"/>
                <w:kern w:val="0"/>
                <w:sz w:val="24"/>
              </w:rPr>
              <w:t>温州环贸港商贸有限</w:t>
            </w:r>
          </w:p>
          <w:p>
            <w:pPr>
              <w:jc w:val="center"/>
              <w:rPr>
                <w:snapToGrid w:val="0"/>
                <w:spacing w:val="-4"/>
                <w:kern w:val="0"/>
                <w:sz w:val="24"/>
              </w:rPr>
            </w:pPr>
            <w:r>
              <w:rPr>
                <w:snapToGrid w:val="0"/>
                <w:spacing w:val="-4"/>
                <w:kern w:val="0"/>
                <w:sz w:val="24"/>
              </w:rPr>
              <w:t>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31</w:t>
            </w:r>
          </w:p>
        </w:tc>
        <w:tc>
          <w:tcPr>
            <w:tcW w:w="789" w:type="dxa"/>
            <w:vAlign w:val="center"/>
          </w:tcPr>
          <w:p>
            <w:pPr>
              <w:jc w:val="center"/>
              <w:rPr>
                <w:sz w:val="24"/>
              </w:rPr>
            </w:pPr>
            <w:r>
              <w:rPr>
                <w:sz w:val="24"/>
              </w:rPr>
              <w:t>嘉兴</w:t>
            </w:r>
          </w:p>
        </w:tc>
        <w:tc>
          <w:tcPr>
            <w:tcW w:w="3193" w:type="dxa"/>
            <w:vAlign w:val="center"/>
          </w:tcPr>
          <w:p>
            <w:pPr>
              <w:rPr>
                <w:snapToGrid w:val="0"/>
                <w:spacing w:val="-4"/>
                <w:kern w:val="0"/>
                <w:sz w:val="24"/>
              </w:rPr>
            </w:pPr>
            <w:r>
              <w:rPr>
                <w:snapToGrid w:val="0"/>
                <w:spacing w:val="-4"/>
                <w:kern w:val="0"/>
                <w:sz w:val="24"/>
              </w:rPr>
              <w:t>嘉兴月河步行街</w:t>
            </w:r>
          </w:p>
        </w:tc>
        <w:tc>
          <w:tcPr>
            <w:tcW w:w="4851" w:type="dxa"/>
            <w:vAlign w:val="center"/>
          </w:tcPr>
          <w:p>
            <w:pPr>
              <w:rPr>
                <w:snapToGrid w:val="0"/>
                <w:spacing w:val="-4"/>
                <w:kern w:val="0"/>
                <w:sz w:val="24"/>
              </w:rPr>
            </w:pPr>
            <w:r>
              <w:rPr>
                <w:snapToGrid w:val="0"/>
                <w:spacing w:val="-4"/>
                <w:kern w:val="0"/>
                <w:sz w:val="24"/>
              </w:rPr>
              <w:t>一期：主街月河环路和辅街勤俭路、中山东路改造提升，力争2020年12月底完成；</w:t>
            </w:r>
          </w:p>
          <w:p>
            <w:pPr>
              <w:rPr>
                <w:snapToGrid w:val="0"/>
                <w:spacing w:val="-4"/>
                <w:kern w:val="0"/>
                <w:sz w:val="24"/>
              </w:rPr>
            </w:pPr>
            <w:r>
              <w:rPr>
                <w:snapToGrid w:val="0"/>
                <w:spacing w:val="-4"/>
                <w:kern w:val="0"/>
                <w:sz w:val="24"/>
              </w:rPr>
              <w:t>二期：主街少年路改造提升，2021年6月初步成型</w:t>
            </w:r>
            <w:r>
              <w:rPr>
                <w:rFonts w:hint="eastAsia"/>
                <w:snapToGrid w:val="0"/>
                <w:spacing w:val="-4"/>
                <w:kern w:val="0"/>
                <w:sz w:val="24"/>
              </w:rPr>
              <w:t>。</w:t>
            </w:r>
          </w:p>
        </w:tc>
        <w:tc>
          <w:tcPr>
            <w:tcW w:w="1264" w:type="dxa"/>
            <w:vAlign w:val="center"/>
          </w:tcPr>
          <w:p>
            <w:pPr>
              <w:jc w:val="center"/>
              <w:rPr>
                <w:snapToGrid w:val="0"/>
                <w:spacing w:val="-4"/>
                <w:kern w:val="0"/>
                <w:sz w:val="24"/>
              </w:rPr>
            </w:pPr>
            <w:r>
              <w:rPr>
                <w:snapToGrid w:val="0"/>
                <w:spacing w:val="-4"/>
                <w:kern w:val="0"/>
                <w:sz w:val="24"/>
              </w:rPr>
              <w:t>2020-2021</w:t>
            </w:r>
          </w:p>
        </w:tc>
        <w:tc>
          <w:tcPr>
            <w:tcW w:w="995" w:type="dxa"/>
            <w:vAlign w:val="center"/>
          </w:tcPr>
          <w:p>
            <w:pPr>
              <w:jc w:val="center"/>
              <w:rPr>
                <w:snapToGrid w:val="0"/>
                <w:spacing w:val="-4"/>
                <w:kern w:val="0"/>
                <w:sz w:val="24"/>
              </w:rPr>
            </w:pPr>
          </w:p>
        </w:tc>
        <w:tc>
          <w:tcPr>
            <w:tcW w:w="1498" w:type="dxa"/>
            <w:vAlign w:val="center"/>
          </w:tcPr>
          <w:p>
            <w:pPr>
              <w:jc w:val="center"/>
              <w:rPr>
                <w:snapToGrid w:val="0"/>
                <w:spacing w:val="-8"/>
                <w:kern w:val="0"/>
                <w:sz w:val="24"/>
              </w:rPr>
            </w:pPr>
            <w:r>
              <w:rPr>
                <w:snapToGrid w:val="0"/>
                <w:spacing w:val="-8"/>
                <w:kern w:val="0"/>
                <w:sz w:val="24"/>
              </w:rPr>
              <w:t>嘉兴市商务局</w:t>
            </w:r>
          </w:p>
          <w:p>
            <w:pPr>
              <w:jc w:val="center"/>
              <w:rPr>
                <w:snapToGrid w:val="0"/>
                <w:spacing w:val="-4"/>
                <w:kern w:val="0"/>
                <w:sz w:val="24"/>
              </w:rPr>
            </w:pPr>
            <w:r>
              <w:rPr>
                <w:snapToGrid w:val="0"/>
                <w:spacing w:val="-4"/>
                <w:kern w:val="0"/>
                <w:sz w:val="24"/>
              </w:rPr>
              <w:t>嘉城集团</w:t>
            </w:r>
          </w:p>
          <w:p>
            <w:pPr>
              <w:jc w:val="center"/>
              <w:rPr>
                <w:snapToGrid w:val="0"/>
                <w:spacing w:val="-4"/>
                <w:kern w:val="0"/>
                <w:sz w:val="24"/>
              </w:rPr>
            </w:pPr>
            <w:r>
              <w:rPr>
                <w:snapToGrid w:val="0"/>
                <w:spacing w:val="-4"/>
                <w:kern w:val="0"/>
                <w:sz w:val="24"/>
              </w:rPr>
              <w:t>南湖区政府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32</w:t>
            </w:r>
          </w:p>
        </w:tc>
        <w:tc>
          <w:tcPr>
            <w:tcW w:w="789" w:type="dxa"/>
            <w:vAlign w:val="center"/>
          </w:tcPr>
          <w:p>
            <w:pPr>
              <w:jc w:val="center"/>
              <w:rPr>
                <w:sz w:val="24"/>
              </w:rPr>
            </w:pPr>
            <w:r>
              <w:rPr>
                <w:sz w:val="24"/>
              </w:rPr>
              <w:t>嘉兴</w:t>
            </w:r>
          </w:p>
        </w:tc>
        <w:tc>
          <w:tcPr>
            <w:tcW w:w="3193" w:type="dxa"/>
            <w:vAlign w:val="center"/>
          </w:tcPr>
          <w:p>
            <w:pPr>
              <w:rPr>
                <w:snapToGrid w:val="0"/>
                <w:spacing w:val="-4"/>
                <w:kern w:val="0"/>
                <w:sz w:val="24"/>
              </w:rPr>
            </w:pPr>
            <w:r>
              <w:rPr>
                <w:snapToGrid w:val="0"/>
                <w:spacing w:val="-4"/>
                <w:kern w:val="0"/>
                <w:sz w:val="24"/>
              </w:rPr>
              <w:t>省级智慧商圈</w:t>
            </w:r>
          </w:p>
        </w:tc>
        <w:tc>
          <w:tcPr>
            <w:tcW w:w="4851" w:type="dxa"/>
            <w:vAlign w:val="center"/>
          </w:tcPr>
          <w:p>
            <w:pPr>
              <w:rPr>
                <w:snapToGrid w:val="0"/>
                <w:spacing w:val="-4"/>
                <w:kern w:val="0"/>
                <w:sz w:val="24"/>
              </w:rPr>
            </w:pPr>
            <w:r>
              <w:rPr>
                <w:snapToGrid w:val="0"/>
                <w:spacing w:val="-4"/>
                <w:kern w:val="0"/>
                <w:sz w:val="24"/>
              </w:rPr>
              <w:t>以商圈商务场景、设施场景、服务场景、营销场景、环境场景、管理场景为整合提升，推动全市商圈服务大提升。</w:t>
            </w:r>
          </w:p>
        </w:tc>
        <w:tc>
          <w:tcPr>
            <w:tcW w:w="1264" w:type="dxa"/>
            <w:vAlign w:val="center"/>
          </w:tcPr>
          <w:p>
            <w:pPr>
              <w:jc w:val="center"/>
              <w:rPr>
                <w:snapToGrid w:val="0"/>
                <w:spacing w:val="-4"/>
                <w:kern w:val="0"/>
                <w:sz w:val="24"/>
              </w:rPr>
            </w:pPr>
            <w:r>
              <w:rPr>
                <w:snapToGrid w:val="0"/>
                <w:spacing w:val="-4"/>
                <w:kern w:val="0"/>
                <w:sz w:val="24"/>
              </w:rPr>
              <w:t>2020-2023</w:t>
            </w:r>
          </w:p>
        </w:tc>
        <w:tc>
          <w:tcPr>
            <w:tcW w:w="995" w:type="dxa"/>
            <w:vAlign w:val="center"/>
          </w:tcPr>
          <w:p>
            <w:pPr>
              <w:jc w:val="center"/>
              <w:rPr>
                <w:snapToGrid w:val="0"/>
                <w:spacing w:val="-4"/>
                <w:kern w:val="0"/>
                <w:sz w:val="24"/>
              </w:rPr>
            </w:pPr>
          </w:p>
        </w:tc>
        <w:tc>
          <w:tcPr>
            <w:tcW w:w="1498" w:type="dxa"/>
            <w:vAlign w:val="center"/>
          </w:tcPr>
          <w:p>
            <w:pPr>
              <w:jc w:val="center"/>
              <w:rPr>
                <w:snapToGrid w:val="0"/>
                <w:spacing w:val="-8"/>
                <w:kern w:val="0"/>
                <w:sz w:val="24"/>
              </w:rPr>
            </w:pPr>
            <w:r>
              <w:rPr>
                <w:snapToGrid w:val="0"/>
                <w:spacing w:val="-8"/>
                <w:kern w:val="0"/>
                <w:sz w:val="24"/>
              </w:rPr>
              <w:t>嘉兴市商务局</w:t>
            </w:r>
          </w:p>
          <w:p>
            <w:pPr>
              <w:jc w:val="center"/>
              <w:rPr>
                <w:snapToGrid w:val="0"/>
                <w:spacing w:val="-4"/>
                <w:kern w:val="0"/>
                <w:sz w:val="24"/>
              </w:rPr>
            </w:pPr>
            <w:r>
              <w:rPr>
                <w:snapToGrid w:val="0"/>
                <w:spacing w:val="-4"/>
                <w:kern w:val="0"/>
                <w:sz w:val="24"/>
              </w:rPr>
              <w:t>各县</w:t>
            </w:r>
            <w:r>
              <w:rPr>
                <w:rFonts w:hint="eastAsia"/>
                <w:snapToGrid w:val="0"/>
                <w:spacing w:val="-4"/>
                <w:kern w:val="0"/>
                <w:sz w:val="24"/>
              </w:rPr>
              <w:t>（</w:t>
            </w:r>
            <w:r>
              <w:rPr>
                <w:snapToGrid w:val="0"/>
                <w:spacing w:val="-4"/>
                <w:kern w:val="0"/>
                <w:sz w:val="24"/>
              </w:rPr>
              <w:t>市</w:t>
            </w:r>
            <w:r>
              <w:rPr>
                <w:rFonts w:hint="eastAsia"/>
                <w:snapToGrid w:val="0"/>
                <w:spacing w:val="-4"/>
                <w:kern w:val="0"/>
                <w:sz w:val="24"/>
              </w:rPr>
              <w:t>、</w:t>
            </w:r>
            <w:r>
              <w:rPr>
                <w:snapToGrid w:val="0"/>
                <w:spacing w:val="-4"/>
                <w:kern w:val="0"/>
                <w:sz w:val="24"/>
              </w:rPr>
              <w:t>区</w:t>
            </w:r>
            <w:r>
              <w:rPr>
                <w:rFonts w:hint="eastAsia"/>
                <w:snapToGrid w:val="0"/>
                <w:spacing w:val="-4"/>
                <w:kern w:val="0"/>
                <w:sz w:val="24"/>
              </w:rPr>
              <w:t>）</w:t>
            </w:r>
            <w:r>
              <w:rPr>
                <w:snapToGrid w:val="0"/>
                <w:spacing w:val="-4"/>
                <w:kern w:val="0"/>
                <w:sz w:val="24"/>
              </w:rPr>
              <w:t>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33</w:t>
            </w:r>
          </w:p>
        </w:tc>
        <w:tc>
          <w:tcPr>
            <w:tcW w:w="789" w:type="dxa"/>
            <w:vAlign w:val="center"/>
          </w:tcPr>
          <w:p>
            <w:pPr>
              <w:jc w:val="center"/>
              <w:rPr>
                <w:sz w:val="24"/>
              </w:rPr>
            </w:pPr>
            <w:r>
              <w:rPr>
                <w:sz w:val="24"/>
              </w:rPr>
              <w:t>嘉兴</w:t>
            </w:r>
          </w:p>
        </w:tc>
        <w:tc>
          <w:tcPr>
            <w:tcW w:w="3193" w:type="dxa"/>
            <w:vAlign w:val="center"/>
          </w:tcPr>
          <w:p>
            <w:pPr>
              <w:rPr>
                <w:snapToGrid w:val="0"/>
                <w:spacing w:val="-4"/>
                <w:kern w:val="0"/>
                <w:sz w:val="24"/>
              </w:rPr>
            </w:pPr>
            <w:r>
              <w:rPr>
                <w:snapToGrid w:val="0"/>
                <w:spacing w:val="-4"/>
                <w:kern w:val="0"/>
                <w:sz w:val="24"/>
              </w:rPr>
              <w:t>桐乡市崇福镇横街改造项目</w:t>
            </w:r>
          </w:p>
        </w:tc>
        <w:tc>
          <w:tcPr>
            <w:tcW w:w="4851" w:type="dxa"/>
            <w:vAlign w:val="center"/>
          </w:tcPr>
          <w:p>
            <w:pPr>
              <w:rPr>
                <w:snapToGrid w:val="0"/>
                <w:spacing w:val="-4"/>
                <w:kern w:val="0"/>
                <w:sz w:val="24"/>
              </w:rPr>
            </w:pPr>
            <w:r>
              <w:rPr>
                <w:snapToGrid w:val="0"/>
                <w:spacing w:val="-4"/>
                <w:kern w:val="0"/>
                <w:sz w:val="24"/>
              </w:rPr>
              <w:t>项目主要进行横街历史街区的外立面、路面修复和管线、消防设施的改造，对部分名人厅堂进行征收和修缮。</w:t>
            </w:r>
          </w:p>
        </w:tc>
        <w:tc>
          <w:tcPr>
            <w:tcW w:w="1264" w:type="dxa"/>
            <w:vAlign w:val="center"/>
          </w:tcPr>
          <w:p>
            <w:pPr>
              <w:jc w:val="center"/>
              <w:rPr>
                <w:snapToGrid w:val="0"/>
                <w:spacing w:val="-4"/>
                <w:kern w:val="0"/>
                <w:sz w:val="24"/>
              </w:rPr>
            </w:pPr>
            <w:r>
              <w:rPr>
                <w:snapToGrid w:val="0"/>
                <w:spacing w:val="-4"/>
                <w:kern w:val="0"/>
                <w:sz w:val="24"/>
              </w:rPr>
              <w:t>2020-2022</w:t>
            </w:r>
          </w:p>
        </w:tc>
        <w:tc>
          <w:tcPr>
            <w:tcW w:w="995" w:type="dxa"/>
            <w:vAlign w:val="center"/>
          </w:tcPr>
          <w:p>
            <w:pPr>
              <w:jc w:val="center"/>
              <w:rPr>
                <w:snapToGrid w:val="0"/>
                <w:spacing w:val="-4"/>
                <w:kern w:val="0"/>
                <w:sz w:val="24"/>
              </w:rPr>
            </w:pPr>
          </w:p>
        </w:tc>
        <w:tc>
          <w:tcPr>
            <w:tcW w:w="1498" w:type="dxa"/>
            <w:vAlign w:val="center"/>
          </w:tcPr>
          <w:p>
            <w:pPr>
              <w:jc w:val="center"/>
              <w:rPr>
                <w:snapToGrid w:val="0"/>
                <w:spacing w:val="-4"/>
                <w:kern w:val="0"/>
                <w:sz w:val="24"/>
              </w:rPr>
            </w:pPr>
            <w:r>
              <w:rPr>
                <w:snapToGrid w:val="0"/>
                <w:spacing w:val="-8"/>
                <w:kern w:val="0"/>
                <w:sz w:val="24"/>
              </w:rPr>
              <w:t>桐乡市崇福镇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2036" w:hRule="atLeast"/>
          <w:jc w:val="center"/>
        </w:trPr>
        <w:tc>
          <w:tcPr>
            <w:tcW w:w="498" w:type="dxa"/>
            <w:vAlign w:val="center"/>
          </w:tcPr>
          <w:p>
            <w:pPr>
              <w:jc w:val="center"/>
              <w:rPr>
                <w:sz w:val="24"/>
              </w:rPr>
            </w:pPr>
            <w:r>
              <w:rPr>
                <w:sz w:val="24"/>
              </w:rPr>
              <w:t>34</w:t>
            </w:r>
          </w:p>
        </w:tc>
        <w:tc>
          <w:tcPr>
            <w:tcW w:w="789" w:type="dxa"/>
            <w:vAlign w:val="center"/>
          </w:tcPr>
          <w:p>
            <w:pPr>
              <w:jc w:val="center"/>
              <w:rPr>
                <w:sz w:val="24"/>
              </w:rPr>
            </w:pPr>
            <w:r>
              <w:rPr>
                <w:sz w:val="24"/>
              </w:rPr>
              <w:t>嘉兴</w:t>
            </w:r>
          </w:p>
        </w:tc>
        <w:tc>
          <w:tcPr>
            <w:tcW w:w="3193" w:type="dxa"/>
            <w:vAlign w:val="center"/>
          </w:tcPr>
          <w:p>
            <w:pPr>
              <w:rPr>
                <w:snapToGrid w:val="0"/>
                <w:spacing w:val="-4"/>
                <w:kern w:val="0"/>
                <w:sz w:val="24"/>
              </w:rPr>
            </w:pPr>
            <w:r>
              <w:rPr>
                <w:snapToGrid w:val="0"/>
                <w:spacing w:val="-4"/>
                <w:kern w:val="0"/>
                <w:sz w:val="24"/>
              </w:rPr>
              <w:t>顺腾国际商业街建设</w:t>
            </w:r>
          </w:p>
        </w:tc>
        <w:tc>
          <w:tcPr>
            <w:tcW w:w="4851" w:type="dxa"/>
            <w:vAlign w:val="center"/>
          </w:tcPr>
          <w:p>
            <w:pPr>
              <w:rPr>
                <w:snapToGrid w:val="0"/>
                <w:spacing w:val="-4"/>
                <w:kern w:val="0"/>
                <w:sz w:val="24"/>
              </w:rPr>
            </w:pPr>
            <w:r>
              <w:rPr>
                <w:snapToGrid w:val="0"/>
                <w:spacing w:val="-4"/>
                <w:kern w:val="0"/>
                <w:sz w:val="24"/>
              </w:rPr>
              <w:t>该项目将建2幢高层商务楼及1个配套多层商业街区，作为园区沿环城河商业带开发的重点先头项目，将提供更加完善基础设施与功能配套，提升区域文化体验水平，尤其可为正在打造的中德产业园营造更好的投资环境、建设环境和企业创业环境。</w:t>
            </w:r>
          </w:p>
        </w:tc>
        <w:tc>
          <w:tcPr>
            <w:tcW w:w="1264" w:type="dxa"/>
            <w:vAlign w:val="center"/>
          </w:tcPr>
          <w:p>
            <w:pPr>
              <w:jc w:val="center"/>
              <w:rPr>
                <w:snapToGrid w:val="0"/>
                <w:spacing w:val="-4"/>
                <w:kern w:val="0"/>
                <w:sz w:val="24"/>
              </w:rPr>
            </w:pPr>
            <w:r>
              <w:rPr>
                <w:snapToGrid w:val="0"/>
                <w:spacing w:val="-4"/>
                <w:kern w:val="0"/>
                <w:sz w:val="24"/>
              </w:rPr>
              <w:t>2021-2023</w:t>
            </w:r>
          </w:p>
        </w:tc>
        <w:tc>
          <w:tcPr>
            <w:tcW w:w="995" w:type="dxa"/>
            <w:vAlign w:val="center"/>
          </w:tcPr>
          <w:p>
            <w:pPr>
              <w:jc w:val="center"/>
              <w:rPr>
                <w:snapToGrid w:val="0"/>
                <w:spacing w:val="-4"/>
                <w:kern w:val="0"/>
                <w:sz w:val="24"/>
              </w:rPr>
            </w:pPr>
            <w:r>
              <w:rPr>
                <w:snapToGrid w:val="0"/>
                <w:spacing w:val="-4"/>
                <w:kern w:val="0"/>
                <w:sz w:val="24"/>
              </w:rPr>
              <w:t>3</w:t>
            </w:r>
          </w:p>
        </w:tc>
        <w:tc>
          <w:tcPr>
            <w:tcW w:w="1498" w:type="dxa"/>
            <w:vAlign w:val="center"/>
          </w:tcPr>
          <w:p>
            <w:pPr>
              <w:jc w:val="center"/>
              <w:rPr>
                <w:snapToGrid w:val="0"/>
                <w:spacing w:val="-4"/>
                <w:kern w:val="0"/>
                <w:sz w:val="24"/>
              </w:rPr>
            </w:pPr>
            <w:r>
              <w:rPr>
                <w:snapToGrid w:val="0"/>
                <w:spacing w:val="-4"/>
                <w:kern w:val="0"/>
                <w:sz w:val="24"/>
              </w:rPr>
              <w:t>海宁嘉宇顺腾有限公司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086" w:hRule="atLeast"/>
          <w:jc w:val="center"/>
        </w:trPr>
        <w:tc>
          <w:tcPr>
            <w:tcW w:w="498" w:type="dxa"/>
            <w:vAlign w:val="center"/>
          </w:tcPr>
          <w:p>
            <w:pPr>
              <w:jc w:val="center"/>
              <w:rPr>
                <w:sz w:val="24"/>
              </w:rPr>
            </w:pPr>
            <w:r>
              <w:rPr>
                <w:sz w:val="24"/>
              </w:rPr>
              <w:t>35</w:t>
            </w:r>
          </w:p>
        </w:tc>
        <w:tc>
          <w:tcPr>
            <w:tcW w:w="789" w:type="dxa"/>
            <w:vAlign w:val="center"/>
          </w:tcPr>
          <w:p>
            <w:pPr>
              <w:jc w:val="center"/>
              <w:rPr>
                <w:sz w:val="24"/>
              </w:rPr>
            </w:pPr>
            <w:r>
              <w:rPr>
                <w:sz w:val="24"/>
              </w:rPr>
              <w:t>嘉兴</w:t>
            </w:r>
          </w:p>
        </w:tc>
        <w:tc>
          <w:tcPr>
            <w:tcW w:w="3193" w:type="dxa"/>
            <w:vAlign w:val="center"/>
          </w:tcPr>
          <w:p>
            <w:pPr>
              <w:rPr>
                <w:snapToGrid w:val="0"/>
                <w:spacing w:val="-4"/>
                <w:kern w:val="0"/>
                <w:sz w:val="24"/>
              </w:rPr>
            </w:pPr>
            <w:r>
              <w:rPr>
                <w:snapToGrid w:val="0"/>
                <w:spacing w:val="-4"/>
                <w:kern w:val="0"/>
                <w:sz w:val="24"/>
              </w:rPr>
              <w:t>浙江奥特莱斯广场二期及意大利风情街</w:t>
            </w:r>
          </w:p>
        </w:tc>
        <w:tc>
          <w:tcPr>
            <w:tcW w:w="4851" w:type="dxa"/>
            <w:vAlign w:val="center"/>
          </w:tcPr>
          <w:p>
            <w:pPr>
              <w:rPr>
                <w:snapToGrid w:val="0"/>
                <w:spacing w:val="-4"/>
                <w:kern w:val="0"/>
                <w:sz w:val="24"/>
              </w:rPr>
            </w:pPr>
            <w:r>
              <w:rPr>
                <w:snapToGrid w:val="0"/>
                <w:spacing w:val="-4"/>
                <w:kern w:val="0"/>
                <w:sz w:val="24"/>
              </w:rPr>
              <w:t>本项目将打造一条以商业文化交流为主的国际街区，包含欧洲风格的餐饮、咖啡厅、进口商品零售、青少年图书馆、大型多功能展示厅等。</w:t>
            </w:r>
          </w:p>
        </w:tc>
        <w:tc>
          <w:tcPr>
            <w:tcW w:w="1264" w:type="dxa"/>
            <w:vAlign w:val="center"/>
          </w:tcPr>
          <w:p>
            <w:pPr>
              <w:jc w:val="center"/>
              <w:rPr>
                <w:snapToGrid w:val="0"/>
                <w:spacing w:val="-4"/>
                <w:kern w:val="0"/>
                <w:sz w:val="24"/>
              </w:rPr>
            </w:pPr>
            <w:r>
              <w:rPr>
                <w:snapToGrid w:val="0"/>
                <w:spacing w:val="-4"/>
                <w:kern w:val="0"/>
                <w:sz w:val="24"/>
              </w:rPr>
              <w:t>2020-2021</w:t>
            </w:r>
          </w:p>
        </w:tc>
        <w:tc>
          <w:tcPr>
            <w:tcW w:w="995" w:type="dxa"/>
            <w:vAlign w:val="center"/>
          </w:tcPr>
          <w:p>
            <w:pPr>
              <w:jc w:val="center"/>
              <w:rPr>
                <w:snapToGrid w:val="0"/>
                <w:spacing w:val="-4"/>
                <w:kern w:val="0"/>
                <w:sz w:val="24"/>
              </w:rPr>
            </w:pPr>
            <w:r>
              <w:rPr>
                <w:snapToGrid w:val="0"/>
                <w:spacing w:val="-4"/>
                <w:kern w:val="0"/>
                <w:sz w:val="24"/>
              </w:rPr>
              <w:t>6.2</w:t>
            </w:r>
          </w:p>
        </w:tc>
        <w:tc>
          <w:tcPr>
            <w:tcW w:w="1498" w:type="dxa"/>
            <w:vAlign w:val="center"/>
          </w:tcPr>
          <w:p>
            <w:pPr>
              <w:jc w:val="center"/>
              <w:rPr>
                <w:snapToGrid w:val="0"/>
                <w:spacing w:val="-4"/>
                <w:kern w:val="0"/>
                <w:sz w:val="24"/>
              </w:rPr>
            </w:pPr>
            <w:r>
              <w:rPr>
                <w:snapToGrid w:val="0"/>
                <w:spacing w:val="-4"/>
                <w:kern w:val="0"/>
                <w:sz w:val="24"/>
              </w:rPr>
              <w:t>浙江奥特莱斯广场有限公司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36</w:t>
            </w:r>
          </w:p>
        </w:tc>
        <w:tc>
          <w:tcPr>
            <w:tcW w:w="789" w:type="dxa"/>
            <w:vAlign w:val="center"/>
          </w:tcPr>
          <w:p>
            <w:pPr>
              <w:jc w:val="center"/>
              <w:rPr>
                <w:sz w:val="24"/>
              </w:rPr>
            </w:pPr>
            <w:r>
              <w:rPr>
                <w:sz w:val="24"/>
              </w:rPr>
              <w:t>嘉兴</w:t>
            </w:r>
          </w:p>
        </w:tc>
        <w:tc>
          <w:tcPr>
            <w:tcW w:w="3193" w:type="dxa"/>
            <w:vAlign w:val="center"/>
          </w:tcPr>
          <w:p>
            <w:pPr>
              <w:rPr>
                <w:snapToGrid w:val="0"/>
                <w:spacing w:val="-4"/>
                <w:kern w:val="0"/>
                <w:sz w:val="24"/>
              </w:rPr>
            </w:pPr>
            <w:r>
              <w:rPr>
                <w:snapToGrid w:val="0"/>
                <w:spacing w:val="-4"/>
                <w:kern w:val="0"/>
                <w:sz w:val="24"/>
              </w:rPr>
              <w:t>杭海城际铁路皮革城站地下空间一期</w:t>
            </w:r>
          </w:p>
        </w:tc>
        <w:tc>
          <w:tcPr>
            <w:tcW w:w="4851" w:type="dxa"/>
            <w:vAlign w:val="center"/>
          </w:tcPr>
          <w:p>
            <w:pPr>
              <w:rPr>
                <w:snapToGrid w:val="0"/>
                <w:spacing w:val="-4"/>
                <w:kern w:val="0"/>
                <w:sz w:val="24"/>
              </w:rPr>
            </w:pPr>
            <w:r>
              <w:rPr>
                <w:snapToGrid w:val="0"/>
                <w:spacing w:val="-4"/>
                <w:kern w:val="0"/>
                <w:sz w:val="24"/>
              </w:rPr>
              <w:t>该项目拟建设地下商业广场和公共停车场，以完善杭海城际铁路皮革城站周边的商业和社会公共停车配套功能。</w:t>
            </w:r>
          </w:p>
        </w:tc>
        <w:tc>
          <w:tcPr>
            <w:tcW w:w="1264" w:type="dxa"/>
            <w:vAlign w:val="center"/>
          </w:tcPr>
          <w:p>
            <w:pPr>
              <w:jc w:val="center"/>
              <w:rPr>
                <w:snapToGrid w:val="0"/>
                <w:spacing w:val="-4"/>
                <w:kern w:val="0"/>
                <w:sz w:val="24"/>
              </w:rPr>
            </w:pPr>
            <w:r>
              <w:rPr>
                <w:snapToGrid w:val="0"/>
                <w:spacing w:val="-4"/>
                <w:kern w:val="0"/>
                <w:sz w:val="24"/>
              </w:rPr>
              <w:t>2019-2021</w:t>
            </w:r>
          </w:p>
        </w:tc>
        <w:tc>
          <w:tcPr>
            <w:tcW w:w="995" w:type="dxa"/>
            <w:vAlign w:val="center"/>
          </w:tcPr>
          <w:p>
            <w:pPr>
              <w:jc w:val="center"/>
              <w:rPr>
                <w:snapToGrid w:val="0"/>
                <w:spacing w:val="-4"/>
                <w:kern w:val="0"/>
                <w:sz w:val="24"/>
              </w:rPr>
            </w:pPr>
            <w:r>
              <w:rPr>
                <w:snapToGrid w:val="0"/>
                <w:spacing w:val="-4"/>
                <w:kern w:val="0"/>
                <w:sz w:val="24"/>
              </w:rPr>
              <w:t>3.57</w:t>
            </w:r>
          </w:p>
        </w:tc>
        <w:tc>
          <w:tcPr>
            <w:tcW w:w="1498" w:type="dxa"/>
            <w:vAlign w:val="center"/>
          </w:tcPr>
          <w:p>
            <w:pPr>
              <w:jc w:val="center"/>
              <w:rPr>
                <w:snapToGrid w:val="0"/>
                <w:spacing w:val="-4"/>
                <w:kern w:val="0"/>
                <w:sz w:val="24"/>
              </w:rPr>
            </w:pPr>
            <w:r>
              <w:rPr>
                <w:snapToGrid w:val="0"/>
                <w:spacing w:val="-4"/>
                <w:kern w:val="0"/>
                <w:sz w:val="24"/>
              </w:rPr>
              <w:t>海宁皮革时尚小镇投资</w:t>
            </w:r>
            <w:r>
              <w:rPr>
                <w:snapToGrid w:val="0"/>
                <w:spacing w:val="-8"/>
                <w:kern w:val="0"/>
                <w:sz w:val="24"/>
              </w:rPr>
              <w:t>开发有限公司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37</w:t>
            </w:r>
          </w:p>
        </w:tc>
        <w:tc>
          <w:tcPr>
            <w:tcW w:w="789" w:type="dxa"/>
            <w:vAlign w:val="center"/>
          </w:tcPr>
          <w:p>
            <w:pPr>
              <w:jc w:val="center"/>
              <w:rPr>
                <w:sz w:val="24"/>
              </w:rPr>
            </w:pPr>
            <w:r>
              <w:rPr>
                <w:sz w:val="24"/>
              </w:rPr>
              <w:t>嘉兴</w:t>
            </w:r>
          </w:p>
        </w:tc>
        <w:tc>
          <w:tcPr>
            <w:tcW w:w="3193" w:type="dxa"/>
            <w:vAlign w:val="center"/>
          </w:tcPr>
          <w:p>
            <w:pPr>
              <w:rPr>
                <w:snapToGrid w:val="0"/>
                <w:spacing w:val="-4"/>
                <w:kern w:val="0"/>
                <w:sz w:val="24"/>
              </w:rPr>
            </w:pPr>
            <w:r>
              <w:rPr>
                <w:snapToGrid w:val="0"/>
                <w:spacing w:val="-4"/>
                <w:kern w:val="0"/>
                <w:sz w:val="24"/>
              </w:rPr>
              <w:t>硖石商会大厦</w:t>
            </w:r>
          </w:p>
        </w:tc>
        <w:tc>
          <w:tcPr>
            <w:tcW w:w="4851" w:type="dxa"/>
            <w:vAlign w:val="center"/>
          </w:tcPr>
          <w:p>
            <w:pPr>
              <w:rPr>
                <w:snapToGrid w:val="0"/>
                <w:spacing w:val="-4"/>
                <w:kern w:val="0"/>
                <w:sz w:val="24"/>
              </w:rPr>
            </w:pPr>
            <w:r>
              <w:rPr>
                <w:snapToGrid w:val="0"/>
                <w:spacing w:val="-4"/>
                <w:kern w:val="0"/>
                <w:sz w:val="24"/>
              </w:rPr>
              <w:t>该项目将主要引入硖石商会企业入驻，建设集商业办公、文体休闲于一体的总部经济中心，利用绿化平台打造的花园式办公场所和空中体育运动场所。</w:t>
            </w:r>
          </w:p>
        </w:tc>
        <w:tc>
          <w:tcPr>
            <w:tcW w:w="1264" w:type="dxa"/>
            <w:vAlign w:val="center"/>
          </w:tcPr>
          <w:p>
            <w:pPr>
              <w:jc w:val="center"/>
              <w:rPr>
                <w:snapToGrid w:val="0"/>
                <w:spacing w:val="-4"/>
                <w:kern w:val="0"/>
                <w:sz w:val="24"/>
              </w:rPr>
            </w:pPr>
            <w:r>
              <w:rPr>
                <w:snapToGrid w:val="0"/>
                <w:spacing w:val="-4"/>
                <w:kern w:val="0"/>
                <w:sz w:val="24"/>
              </w:rPr>
              <w:t>2021-2023</w:t>
            </w:r>
          </w:p>
        </w:tc>
        <w:tc>
          <w:tcPr>
            <w:tcW w:w="995" w:type="dxa"/>
            <w:vAlign w:val="center"/>
          </w:tcPr>
          <w:p>
            <w:pPr>
              <w:jc w:val="center"/>
              <w:rPr>
                <w:snapToGrid w:val="0"/>
                <w:spacing w:val="-4"/>
                <w:kern w:val="0"/>
                <w:sz w:val="24"/>
              </w:rPr>
            </w:pPr>
            <w:r>
              <w:rPr>
                <w:snapToGrid w:val="0"/>
                <w:spacing w:val="-4"/>
                <w:kern w:val="0"/>
                <w:sz w:val="24"/>
              </w:rPr>
              <w:t>6.0</w:t>
            </w:r>
          </w:p>
        </w:tc>
        <w:tc>
          <w:tcPr>
            <w:tcW w:w="1498" w:type="dxa"/>
            <w:vAlign w:val="center"/>
          </w:tcPr>
          <w:p>
            <w:pPr>
              <w:jc w:val="center"/>
              <w:rPr>
                <w:snapToGrid w:val="0"/>
                <w:spacing w:val="-4"/>
                <w:kern w:val="0"/>
                <w:sz w:val="24"/>
              </w:rPr>
            </w:pPr>
            <w:r>
              <w:rPr>
                <w:snapToGrid w:val="0"/>
                <w:spacing w:val="-4"/>
                <w:kern w:val="0"/>
                <w:sz w:val="24"/>
              </w:rPr>
              <w:t>海宁中辰实业有限公司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38</w:t>
            </w:r>
          </w:p>
        </w:tc>
        <w:tc>
          <w:tcPr>
            <w:tcW w:w="789" w:type="dxa"/>
            <w:vAlign w:val="center"/>
          </w:tcPr>
          <w:p>
            <w:pPr>
              <w:jc w:val="center"/>
              <w:rPr>
                <w:snapToGrid w:val="0"/>
                <w:spacing w:val="-4"/>
                <w:kern w:val="0"/>
                <w:sz w:val="24"/>
              </w:rPr>
            </w:pPr>
            <w:r>
              <w:rPr>
                <w:snapToGrid w:val="0"/>
                <w:spacing w:val="-4"/>
                <w:kern w:val="0"/>
                <w:sz w:val="24"/>
              </w:rPr>
              <w:t>湖州</w:t>
            </w:r>
          </w:p>
        </w:tc>
        <w:tc>
          <w:tcPr>
            <w:tcW w:w="3193" w:type="dxa"/>
            <w:vAlign w:val="center"/>
          </w:tcPr>
          <w:p>
            <w:pPr>
              <w:rPr>
                <w:snapToGrid w:val="0"/>
                <w:spacing w:val="-4"/>
                <w:kern w:val="0"/>
                <w:sz w:val="24"/>
              </w:rPr>
            </w:pPr>
            <w:r>
              <w:rPr>
                <w:snapToGrid w:val="0"/>
                <w:spacing w:val="-4"/>
                <w:kern w:val="0"/>
                <w:sz w:val="24"/>
              </w:rPr>
              <w:t>吾悦商业综合体</w:t>
            </w:r>
          </w:p>
        </w:tc>
        <w:tc>
          <w:tcPr>
            <w:tcW w:w="4851" w:type="dxa"/>
            <w:vAlign w:val="center"/>
          </w:tcPr>
          <w:p>
            <w:pPr>
              <w:rPr>
                <w:snapToGrid w:val="0"/>
                <w:spacing w:val="-4"/>
                <w:kern w:val="0"/>
                <w:sz w:val="24"/>
              </w:rPr>
            </w:pPr>
            <w:r>
              <w:rPr>
                <w:snapToGrid w:val="0"/>
                <w:spacing w:val="-4"/>
                <w:kern w:val="0"/>
                <w:sz w:val="24"/>
              </w:rPr>
              <w:t>商业综合体，总建筑面积695838.3平方米</w:t>
            </w:r>
          </w:p>
        </w:tc>
        <w:tc>
          <w:tcPr>
            <w:tcW w:w="1264" w:type="dxa"/>
            <w:vAlign w:val="center"/>
          </w:tcPr>
          <w:p>
            <w:pPr>
              <w:jc w:val="center"/>
              <w:rPr>
                <w:snapToGrid w:val="0"/>
                <w:spacing w:val="-4"/>
                <w:kern w:val="0"/>
                <w:sz w:val="24"/>
              </w:rPr>
            </w:pPr>
            <w:r>
              <w:rPr>
                <w:snapToGrid w:val="0"/>
                <w:spacing w:val="-4"/>
                <w:kern w:val="0"/>
                <w:sz w:val="24"/>
              </w:rPr>
              <w:t>2023</w:t>
            </w:r>
          </w:p>
        </w:tc>
        <w:tc>
          <w:tcPr>
            <w:tcW w:w="995" w:type="dxa"/>
            <w:vAlign w:val="center"/>
          </w:tcPr>
          <w:p>
            <w:pPr>
              <w:jc w:val="center"/>
              <w:rPr>
                <w:snapToGrid w:val="0"/>
                <w:spacing w:val="-4"/>
                <w:kern w:val="0"/>
                <w:sz w:val="24"/>
              </w:rPr>
            </w:pPr>
            <w:r>
              <w:rPr>
                <w:snapToGrid w:val="0"/>
                <w:spacing w:val="-4"/>
                <w:kern w:val="0"/>
                <w:sz w:val="24"/>
              </w:rPr>
              <w:t>50.07</w:t>
            </w:r>
          </w:p>
        </w:tc>
        <w:tc>
          <w:tcPr>
            <w:tcW w:w="1498" w:type="dxa"/>
            <w:vAlign w:val="center"/>
          </w:tcPr>
          <w:p>
            <w:pPr>
              <w:jc w:val="center"/>
              <w:rPr>
                <w:snapToGrid w:val="0"/>
                <w:spacing w:val="-4"/>
                <w:kern w:val="0"/>
                <w:sz w:val="24"/>
              </w:rPr>
            </w:pPr>
            <w:r>
              <w:rPr>
                <w:snapToGrid w:val="0"/>
                <w:spacing w:val="-4"/>
                <w:kern w:val="0"/>
                <w:sz w:val="24"/>
              </w:rPr>
              <w:t>吴兴区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39</w:t>
            </w:r>
          </w:p>
        </w:tc>
        <w:tc>
          <w:tcPr>
            <w:tcW w:w="789" w:type="dxa"/>
            <w:vAlign w:val="center"/>
          </w:tcPr>
          <w:p>
            <w:pPr>
              <w:jc w:val="center"/>
              <w:rPr>
                <w:sz w:val="24"/>
              </w:rPr>
            </w:pPr>
            <w:r>
              <w:rPr>
                <w:sz w:val="24"/>
              </w:rPr>
              <w:t>湖州</w:t>
            </w:r>
          </w:p>
        </w:tc>
        <w:tc>
          <w:tcPr>
            <w:tcW w:w="3193" w:type="dxa"/>
            <w:vAlign w:val="center"/>
          </w:tcPr>
          <w:p>
            <w:pPr>
              <w:rPr>
                <w:snapToGrid w:val="0"/>
                <w:spacing w:val="-4"/>
                <w:kern w:val="0"/>
                <w:sz w:val="24"/>
              </w:rPr>
            </w:pPr>
            <w:r>
              <w:rPr>
                <w:snapToGrid w:val="0"/>
                <w:spacing w:val="-4"/>
                <w:kern w:val="0"/>
                <w:sz w:val="24"/>
              </w:rPr>
              <w:t>吾悦广场</w:t>
            </w:r>
          </w:p>
        </w:tc>
        <w:tc>
          <w:tcPr>
            <w:tcW w:w="4851" w:type="dxa"/>
            <w:vAlign w:val="center"/>
          </w:tcPr>
          <w:p>
            <w:pPr>
              <w:rPr>
                <w:snapToGrid w:val="0"/>
                <w:spacing w:val="-4"/>
                <w:kern w:val="0"/>
                <w:sz w:val="24"/>
              </w:rPr>
            </w:pPr>
            <w:r>
              <w:rPr>
                <w:snapToGrid w:val="0"/>
                <w:spacing w:val="-4"/>
                <w:kern w:val="0"/>
                <w:sz w:val="24"/>
              </w:rPr>
              <w:t>商业综合体，占地面积88亩，建筑面积209430平方米</w:t>
            </w:r>
          </w:p>
        </w:tc>
        <w:tc>
          <w:tcPr>
            <w:tcW w:w="1264" w:type="dxa"/>
            <w:vAlign w:val="center"/>
          </w:tcPr>
          <w:p>
            <w:pPr>
              <w:jc w:val="center"/>
              <w:rPr>
                <w:snapToGrid w:val="0"/>
                <w:spacing w:val="-4"/>
                <w:kern w:val="0"/>
                <w:sz w:val="24"/>
              </w:rPr>
            </w:pPr>
            <w:r>
              <w:rPr>
                <w:snapToGrid w:val="0"/>
                <w:spacing w:val="-4"/>
                <w:kern w:val="0"/>
                <w:sz w:val="24"/>
              </w:rPr>
              <w:t>2021</w:t>
            </w:r>
          </w:p>
        </w:tc>
        <w:tc>
          <w:tcPr>
            <w:tcW w:w="995" w:type="dxa"/>
            <w:vAlign w:val="center"/>
          </w:tcPr>
          <w:p>
            <w:pPr>
              <w:jc w:val="center"/>
              <w:rPr>
                <w:snapToGrid w:val="0"/>
                <w:spacing w:val="-4"/>
                <w:kern w:val="0"/>
                <w:sz w:val="24"/>
              </w:rPr>
            </w:pPr>
            <w:r>
              <w:rPr>
                <w:snapToGrid w:val="0"/>
                <w:spacing w:val="-4"/>
                <w:kern w:val="0"/>
                <w:sz w:val="24"/>
              </w:rPr>
              <w:t>10.99</w:t>
            </w:r>
          </w:p>
        </w:tc>
        <w:tc>
          <w:tcPr>
            <w:tcW w:w="1498" w:type="dxa"/>
            <w:vAlign w:val="center"/>
          </w:tcPr>
          <w:p>
            <w:pPr>
              <w:jc w:val="center"/>
              <w:rPr>
                <w:snapToGrid w:val="0"/>
                <w:spacing w:val="-4"/>
                <w:kern w:val="0"/>
                <w:sz w:val="24"/>
              </w:rPr>
            </w:pPr>
            <w:r>
              <w:rPr>
                <w:snapToGrid w:val="0"/>
                <w:spacing w:val="-4"/>
                <w:kern w:val="0"/>
                <w:sz w:val="24"/>
              </w:rPr>
              <w:t>南浔区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40</w:t>
            </w:r>
          </w:p>
        </w:tc>
        <w:tc>
          <w:tcPr>
            <w:tcW w:w="789" w:type="dxa"/>
            <w:vAlign w:val="center"/>
          </w:tcPr>
          <w:p>
            <w:pPr>
              <w:jc w:val="center"/>
              <w:rPr>
                <w:sz w:val="24"/>
              </w:rPr>
            </w:pPr>
            <w:r>
              <w:rPr>
                <w:sz w:val="24"/>
              </w:rPr>
              <w:t>湖州</w:t>
            </w:r>
          </w:p>
        </w:tc>
        <w:tc>
          <w:tcPr>
            <w:tcW w:w="3193" w:type="dxa"/>
            <w:vAlign w:val="center"/>
          </w:tcPr>
          <w:p>
            <w:pPr>
              <w:rPr>
                <w:snapToGrid w:val="0"/>
                <w:spacing w:val="-4"/>
                <w:kern w:val="0"/>
                <w:sz w:val="24"/>
              </w:rPr>
            </w:pPr>
            <w:r>
              <w:rPr>
                <w:snapToGrid w:val="0"/>
                <w:spacing w:val="-4"/>
                <w:kern w:val="0"/>
                <w:sz w:val="24"/>
              </w:rPr>
              <w:t>南浔古镇东大街</w:t>
            </w:r>
          </w:p>
        </w:tc>
        <w:tc>
          <w:tcPr>
            <w:tcW w:w="4851" w:type="dxa"/>
            <w:vAlign w:val="center"/>
          </w:tcPr>
          <w:p>
            <w:pPr>
              <w:rPr>
                <w:snapToGrid w:val="0"/>
                <w:spacing w:val="-4"/>
                <w:kern w:val="0"/>
                <w:sz w:val="24"/>
              </w:rPr>
            </w:pPr>
            <w:r>
              <w:rPr>
                <w:snapToGrid w:val="0"/>
                <w:spacing w:val="-4"/>
                <w:kern w:val="0"/>
                <w:sz w:val="24"/>
              </w:rPr>
              <w:t>步行街，占地面积60000平方米，建筑面积45000平方米</w:t>
            </w:r>
          </w:p>
        </w:tc>
        <w:tc>
          <w:tcPr>
            <w:tcW w:w="1264" w:type="dxa"/>
            <w:vAlign w:val="center"/>
          </w:tcPr>
          <w:p>
            <w:pPr>
              <w:jc w:val="center"/>
              <w:rPr>
                <w:snapToGrid w:val="0"/>
                <w:spacing w:val="-4"/>
                <w:kern w:val="0"/>
                <w:sz w:val="24"/>
              </w:rPr>
            </w:pPr>
            <w:r>
              <w:rPr>
                <w:snapToGrid w:val="0"/>
                <w:spacing w:val="-4"/>
                <w:kern w:val="0"/>
                <w:sz w:val="24"/>
              </w:rPr>
              <w:t>2021</w:t>
            </w:r>
          </w:p>
        </w:tc>
        <w:tc>
          <w:tcPr>
            <w:tcW w:w="995" w:type="dxa"/>
            <w:vAlign w:val="center"/>
          </w:tcPr>
          <w:p>
            <w:pPr>
              <w:jc w:val="center"/>
              <w:rPr>
                <w:snapToGrid w:val="0"/>
                <w:spacing w:val="-4"/>
                <w:kern w:val="0"/>
                <w:sz w:val="24"/>
              </w:rPr>
            </w:pPr>
            <w:r>
              <w:rPr>
                <w:snapToGrid w:val="0"/>
                <w:spacing w:val="-4"/>
                <w:kern w:val="0"/>
                <w:sz w:val="24"/>
              </w:rPr>
              <w:t>2.5</w:t>
            </w:r>
          </w:p>
        </w:tc>
        <w:tc>
          <w:tcPr>
            <w:tcW w:w="1498" w:type="dxa"/>
            <w:vAlign w:val="center"/>
          </w:tcPr>
          <w:p>
            <w:pPr>
              <w:jc w:val="center"/>
              <w:rPr>
                <w:snapToGrid w:val="0"/>
                <w:spacing w:val="-4"/>
                <w:kern w:val="0"/>
                <w:sz w:val="24"/>
              </w:rPr>
            </w:pPr>
            <w:r>
              <w:rPr>
                <w:snapToGrid w:val="0"/>
                <w:spacing w:val="-4"/>
                <w:kern w:val="0"/>
                <w:sz w:val="24"/>
              </w:rPr>
              <w:t>南浔区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41</w:t>
            </w:r>
          </w:p>
        </w:tc>
        <w:tc>
          <w:tcPr>
            <w:tcW w:w="789" w:type="dxa"/>
            <w:vAlign w:val="center"/>
          </w:tcPr>
          <w:p>
            <w:pPr>
              <w:jc w:val="center"/>
              <w:rPr>
                <w:sz w:val="24"/>
              </w:rPr>
            </w:pPr>
            <w:r>
              <w:rPr>
                <w:sz w:val="24"/>
              </w:rPr>
              <w:t>湖州</w:t>
            </w:r>
          </w:p>
        </w:tc>
        <w:tc>
          <w:tcPr>
            <w:tcW w:w="3193" w:type="dxa"/>
            <w:vAlign w:val="center"/>
          </w:tcPr>
          <w:p>
            <w:pPr>
              <w:rPr>
                <w:snapToGrid w:val="0"/>
                <w:spacing w:val="-4"/>
                <w:kern w:val="0"/>
                <w:sz w:val="24"/>
              </w:rPr>
            </w:pPr>
            <w:r>
              <w:rPr>
                <w:snapToGrid w:val="0"/>
                <w:spacing w:val="-4"/>
                <w:kern w:val="0"/>
                <w:sz w:val="24"/>
              </w:rPr>
              <w:t>湖州市南太湖未来城CBD中心</w:t>
            </w:r>
          </w:p>
        </w:tc>
        <w:tc>
          <w:tcPr>
            <w:tcW w:w="4851" w:type="dxa"/>
            <w:vAlign w:val="center"/>
          </w:tcPr>
          <w:p>
            <w:pPr>
              <w:rPr>
                <w:snapToGrid w:val="0"/>
                <w:spacing w:val="-4"/>
                <w:kern w:val="0"/>
                <w:sz w:val="24"/>
              </w:rPr>
            </w:pPr>
            <w:r>
              <w:rPr>
                <w:snapToGrid w:val="0"/>
                <w:spacing w:val="-4"/>
                <w:kern w:val="0"/>
                <w:sz w:val="24"/>
              </w:rPr>
              <w:t>商业综合体，建筑面积380000平方米</w:t>
            </w:r>
          </w:p>
        </w:tc>
        <w:tc>
          <w:tcPr>
            <w:tcW w:w="1264" w:type="dxa"/>
            <w:vAlign w:val="center"/>
          </w:tcPr>
          <w:p>
            <w:pPr>
              <w:jc w:val="center"/>
              <w:rPr>
                <w:snapToGrid w:val="0"/>
                <w:spacing w:val="-4"/>
                <w:kern w:val="0"/>
                <w:sz w:val="24"/>
              </w:rPr>
            </w:pPr>
            <w:r>
              <w:rPr>
                <w:snapToGrid w:val="0"/>
                <w:spacing w:val="-4"/>
                <w:kern w:val="0"/>
                <w:sz w:val="24"/>
              </w:rPr>
              <w:t>2025</w:t>
            </w:r>
          </w:p>
        </w:tc>
        <w:tc>
          <w:tcPr>
            <w:tcW w:w="995" w:type="dxa"/>
            <w:vAlign w:val="center"/>
          </w:tcPr>
          <w:p>
            <w:pPr>
              <w:jc w:val="center"/>
              <w:rPr>
                <w:snapToGrid w:val="0"/>
                <w:spacing w:val="-4"/>
                <w:kern w:val="0"/>
                <w:sz w:val="24"/>
              </w:rPr>
            </w:pPr>
            <w:r>
              <w:rPr>
                <w:snapToGrid w:val="0"/>
                <w:spacing w:val="-4"/>
                <w:kern w:val="0"/>
                <w:sz w:val="24"/>
              </w:rPr>
              <w:t>60</w:t>
            </w:r>
          </w:p>
        </w:tc>
        <w:tc>
          <w:tcPr>
            <w:tcW w:w="1498" w:type="dxa"/>
            <w:vAlign w:val="center"/>
          </w:tcPr>
          <w:p>
            <w:pPr>
              <w:jc w:val="center"/>
              <w:rPr>
                <w:snapToGrid w:val="0"/>
                <w:spacing w:val="-4"/>
                <w:kern w:val="0"/>
                <w:sz w:val="24"/>
              </w:rPr>
            </w:pPr>
            <w:r>
              <w:rPr>
                <w:snapToGrid w:val="0"/>
                <w:spacing w:val="-4"/>
                <w:kern w:val="0"/>
                <w:sz w:val="24"/>
              </w:rPr>
              <w:t>南太湖新区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42</w:t>
            </w:r>
          </w:p>
        </w:tc>
        <w:tc>
          <w:tcPr>
            <w:tcW w:w="789" w:type="dxa"/>
            <w:vAlign w:val="center"/>
          </w:tcPr>
          <w:p>
            <w:pPr>
              <w:jc w:val="center"/>
              <w:rPr>
                <w:sz w:val="24"/>
              </w:rPr>
            </w:pPr>
            <w:r>
              <w:rPr>
                <w:sz w:val="24"/>
              </w:rPr>
              <w:t>湖州</w:t>
            </w:r>
          </w:p>
        </w:tc>
        <w:tc>
          <w:tcPr>
            <w:tcW w:w="3193" w:type="dxa"/>
            <w:vAlign w:val="center"/>
          </w:tcPr>
          <w:p>
            <w:pPr>
              <w:rPr>
                <w:snapToGrid w:val="0"/>
                <w:spacing w:val="-4"/>
                <w:kern w:val="0"/>
                <w:sz w:val="24"/>
              </w:rPr>
            </w:pPr>
            <w:r>
              <w:rPr>
                <w:snapToGrid w:val="0"/>
                <w:spacing w:val="-4"/>
                <w:kern w:val="0"/>
                <w:sz w:val="24"/>
              </w:rPr>
              <w:t>联合国地理信息会址配套工程</w:t>
            </w:r>
          </w:p>
        </w:tc>
        <w:tc>
          <w:tcPr>
            <w:tcW w:w="4851" w:type="dxa"/>
            <w:vAlign w:val="center"/>
          </w:tcPr>
          <w:p>
            <w:pPr>
              <w:rPr>
                <w:snapToGrid w:val="0"/>
                <w:spacing w:val="-4"/>
                <w:kern w:val="0"/>
                <w:sz w:val="24"/>
              </w:rPr>
            </w:pPr>
            <w:r>
              <w:rPr>
                <w:snapToGrid w:val="0"/>
                <w:spacing w:val="-4"/>
                <w:kern w:val="0"/>
                <w:sz w:val="24"/>
              </w:rPr>
              <w:t>商业综合体，建筑面积97440平方米</w:t>
            </w:r>
          </w:p>
        </w:tc>
        <w:tc>
          <w:tcPr>
            <w:tcW w:w="1264" w:type="dxa"/>
            <w:vAlign w:val="center"/>
          </w:tcPr>
          <w:p>
            <w:pPr>
              <w:jc w:val="center"/>
              <w:rPr>
                <w:snapToGrid w:val="0"/>
                <w:spacing w:val="-4"/>
                <w:kern w:val="0"/>
                <w:sz w:val="24"/>
              </w:rPr>
            </w:pPr>
            <w:r>
              <w:rPr>
                <w:snapToGrid w:val="0"/>
                <w:spacing w:val="-4"/>
                <w:kern w:val="0"/>
                <w:sz w:val="24"/>
              </w:rPr>
              <w:t>2025</w:t>
            </w:r>
          </w:p>
        </w:tc>
        <w:tc>
          <w:tcPr>
            <w:tcW w:w="995" w:type="dxa"/>
            <w:vAlign w:val="center"/>
          </w:tcPr>
          <w:p>
            <w:pPr>
              <w:jc w:val="center"/>
              <w:rPr>
                <w:snapToGrid w:val="0"/>
                <w:spacing w:val="-4"/>
                <w:kern w:val="0"/>
                <w:sz w:val="24"/>
              </w:rPr>
            </w:pPr>
            <w:r>
              <w:rPr>
                <w:snapToGrid w:val="0"/>
                <w:spacing w:val="-4"/>
                <w:kern w:val="0"/>
                <w:sz w:val="24"/>
              </w:rPr>
              <w:t>40.72</w:t>
            </w:r>
          </w:p>
        </w:tc>
        <w:tc>
          <w:tcPr>
            <w:tcW w:w="1498" w:type="dxa"/>
            <w:vAlign w:val="center"/>
          </w:tcPr>
          <w:p>
            <w:pPr>
              <w:jc w:val="center"/>
              <w:rPr>
                <w:snapToGrid w:val="0"/>
                <w:spacing w:val="-4"/>
                <w:kern w:val="0"/>
                <w:sz w:val="24"/>
              </w:rPr>
            </w:pPr>
            <w:r>
              <w:rPr>
                <w:snapToGrid w:val="0"/>
                <w:spacing w:val="-4"/>
                <w:kern w:val="0"/>
                <w:sz w:val="24"/>
              </w:rPr>
              <w:t>德清县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43</w:t>
            </w:r>
          </w:p>
        </w:tc>
        <w:tc>
          <w:tcPr>
            <w:tcW w:w="789" w:type="dxa"/>
            <w:vAlign w:val="center"/>
          </w:tcPr>
          <w:p>
            <w:pPr>
              <w:jc w:val="center"/>
              <w:rPr>
                <w:sz w:val="24"/>
              </w:rPr>
            </w:pPr>
            <w:r>
              <w:rPr>
                <w:sz w:val="24"/>
              </w:rPr>
              <w:t>湖州</w:t>
            </w:r>
          </w:p>
        </w:tc>
        <w:tc>
          <w:tcPr>
            <w:tcW w:w="3193" w:type="dxa"/>
            <w:vAlign w:val="center"/>
          </w:tcPr>
          <w:p>
            <w:pPr>
              <w:rPr>
                <w:snapToGrid w:val="0"/>
                <w:spacing w:val="-4"/>
                <w:kern w:val="0"/>
                <w:sz w:val="24"/>
              </w:rPr>
            </w:pPr>
            <w:r>
              <w:rPr>
                <w:snapToGrid w:val="0"/>
                <w:spacing w:val="-4"/>
                <w:kern w:val="0"/>
                <w:sz w:val="24"/>
              </w:rPr>
              <w:t>龙之梦购物中心</w:t>
            </w:r>
          </w:p>
        </w:tc>
        <w:tc>
          <w:tcPr>
            <w:tcW w:w="4851" w:type="dxa"/>
            <w:vAlign w:val="center"/>
          </w:tcPr>
          <w:p>
            <w:pPr>
              <w:rPr>
                <w:snapToGrid w:val="0"/>
                <w:spacing w:val="-4"/>
                <w:kern w:val="0"/>
                <w:sz w:val="24"/>
              </w:rPr>
            </w:pPr>
            <w:r>
              <w:rPr>
                <w:snapToGrid w:val="0"/>
                <w:spacing w:val="-4"/>
                <w:kern w:val="0"/>
                <w:sz w:val="24"/>
              </w:rPr>
              <w:t>商业综合体，建筑面积490000平方米</w:t>
            </w:r>
          </w:p>
        </w:tc>
        <w:tc>
          <w:tcPr>
            <w:tcW w:w="1264" w:type="dxa"/>
            <w:vAlign w:val="center"/>
          </w:tcPr>
          <w:p>
            <w:pPr>
              <w:jc w:val="center"/>
              <w:rPr>
                <w:snapToGrid w:val="0"/>
                <w:spacing w:val="-4"/>
                <w:kern w:val="0"/>
                <w:sz w:val="24"/>
              </w:rPr>
            </w:pPr>
            <w:r>
              <w:rPr>
                <w:snapToGrid w:val="0"/>
                <w:spacing w:val="-4"/>
                <w:kern w:val="0"/>
                <w:sz w:val="24"/>
              </w:rPr>
              <w:t>2022</w:t>
            </w:r>
          </w:p>
        </w:tc>
        <w:tc>
          <w:tcPr>
            <w:tcW w:w="995" w:type="dxa"/>
            <w:vAlign w:val="center"/>
          </w:tcPr>
          <w:p>
            <w:pPr>
              <w:jc w:val="center"/>
              <w:rPr>
                <w:snapToGrid w:val="0"/>
                <w:spacing w:val="-4"/>
                <w:kern w:val="0"/>
                <w:sz w:val="24"/>
              </w:rPr>
            </w:pPr>
            <w:r>
              <w:rPr>
                <w:snapToGrid w:val="0"/>
                <w:spacing w:val="-4"/>
                <w:kern w:val="0"/>
                <w:sz w:val="24"/>
              </w:rPr>
              <w:t>15</w:t>
            </w:r>
          </w:p>
        </w:tc>
        <w:tc>
          <w:tcPr>
            <w:tcW w:w="1498" w:type="dxa"/>
            <w:vAlign w:val="center"/>
          </w:tcPr>
          <w:p>
            <w:pPr>
              <w:jc w:val="center"/>
              <w:rPr>
                <w:snapToGrid w:val="0"/>
                <w:spacing w:val="-4"/>
                <w:kern w:val="0"/>
                <w:sz w:val="24"/>
              </w:rPr>
            </w:pPr>
            <w:r>
              <w:rPr>
                <w:snapToGrid w:val="0"/>
                <w:spacing w:val="-4"/>
                <w:kern w:val="0"/>
                <w:sz w:val="24"/>
              </w:rPr>
              <w:t>长兴县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44</w:t>
            </w:r>
          </w:p>
        </w:tc>
        <w:tc>
          <w:tcPr>
            <w:tcW w:w="789" w:type="dxa"/>
            <w:vAlign w:val="center"/>
          </w:tcPr>
          <w:p>
            <w:pPr>
              <w:jc w:val="center"/>
              <w:rPr>
                <w:sz w:val="24"/>
              </w:rPr>
            </w:pPr>
            <w:r>
              <w:rPr>
                <w:sz w:val="24"/>
              </w:rPr>
              <w:t>绍兴</w:t>
            </w:r>
          </w:p>
        </w:tc>
        <w:tc>
          <w:tcPr>
            <w:tcW w:w="3193" w:type="dxa"/>
            <w:vAlign w:val="center"/>
          </w:tcPr>
          <w:p>
            <w:pPr>
              <w:widowControl/>
              <w:textAlignment w:val="center"/>
              <w:rPr>
                <w:snapToGrid w:val="0"/>
                <w:spacing w:val="-4"/>
                <w:kern w:val="0"/>
                <w:sz w:val="24"/>
              </w:rPr>
            </w:pPr>
            <w:r>
              <w:rPr>
                <w:kern w:val="0"/>
                <w:sz w:val="24"/>
                <w:lang w:bidi="ar"/>
              </w:rPr>
              <w:t>“英台故里·春风蝶语”乡村版度假型未来度假社区项目</w:t>
            </w:r>
          </w:p>
        </w:tc>
        <w:tc>
          <w:tcPr>
            <w:tcW w:w="4851" w:type="dxa"/>
            <w:vAlign w:val="center"/>
          </w:tcPr>
          <w:p>
            <w:pPr>
              <w:widowControl/>
              <w:textAlignment w:val="center"/>
              <w:rPr>
                <w:snapToGrid w:val="0"/>
                <w:spacing w:val="-4"/>
                <w:kern w:val="0"/>
                <w:sz w:val="24"/>
              </w:rPr>
            </w:pPr>
            <w:r>
              <w:rPr>
                <w:kern w:val="0"/>
                <w:sz w:val="24"/>
                <w:lang w:bidi="ar"/>
              </w:rPr>
              <w:t>以基础教育、人文旅游、文化科创、生态养生、运动休闲、健康养老等六大产业为基础，重点开发建设绿城育华学校、大健康服务中心、丰惠小吃汇、春风蝶语度假大酒店、亲子运动基地、旅游休闲等六大业态，力争创建成全省乡村版未来度假社区示范区及长三角有影响力的综合性康养度假中心。建设用地约495亩左右，建筑面积70万方左右。</w:t>
            </w:r>
          </w:p>
        </w:tc>
        <w:tc>
          <w:tcPr>
            <w:tcW w:w="1264" w:type="dxa"/>
            <w:vAlign w:val="center"/>
          </w:tcPr>
          <w:p>
            <w:pPr>
              <w:widowControl/>
              <w:jc w:val="center"/>
              <w:textAlignment w:val="center"/>
              <w:rPr>
                <w:snapToGrid w:val="0"/>
                <w:spacing w:val="-4"/>
                <w:kern w:val="0"/>
                <w:sz w:val="24"/>
              </w:rPr>
            </w:pPr>
            <w:r>
              <w:rPr>
                <w:kern w:val="0"/>
                <w:sz w:val="24"/>
                <w:lang w:bidi="ar"/>
              </w:rPr>
              <w:t>2020-2025</w:t>
            </w:r>
          </w:p>
        </w:tc>
        <w:tc>
          <w:tcPr>
            <w:tcW w:w="995" w:type="dxa"/>
            <w:vAlign w:val="center"/>
          </w:tcPr>
          <w:p>
            <w:pPr>
              <w:widowControl/>
              <w:jc w:val="center"/>
              <w:textAlignment w:val="center"/>
              <w:rPr>
                <w:snapToGrid w:val="0"/>
                <w:spacing w:val="-4"/>
                <w:kern w:val="0"/>
                <w:sz w:val="24"/>
              </w:rPr>
            </w:pPr>
            <w:r>
              <w:rPr>
                <w:kern w:val="0"/>
                <w:sz w:val="24"/>
                <w:lang w:bidi="ar"/>
              </w:rPr>
              <w:t>53.4</w:t>
            </w:r>
          </w:p>
        </w:tc>
        <w:tc>
          <w:tcPr>
            <w:tcW w:w="1498" w:type="dxa"/>
            <w:vAlign w:val="center"/>
          </w:tcPr>
          <w:p>
            <w:pPr>
              <w:widowControl/>
              <w:jc w:val="center"/>
              <w:textAlignment w:val="center"/>
              <w:rPr>
                <w:snapToGrid w:val="0"/>
                <w:spacing w:val="-4"/>
                <w:kern w:val="0"/>
                <w:sz w:val="24"/>
              </w:rPr>
            </w:pPr>
            <w:r>
              <w:rPr>
                <w:kern w:val="0"/>
                <w:sz w:val="24"/>
                <w:lang w:bidi="ar"/>
              </w:rPr>
              <w:t>浙江兴合春风文旅开发有限公司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45</w:t>
            </w:r>
          </w:p>
        </w:tc>
        <w:tc>
          <w:tcPr>
            <w:tcW w:w="789" w:type="dxa"/>
            <w:vAlign w:val="center"/>
          </w:tcPr>
          <w:p>
            <w:pPr>
              <w:jc w:val="center"/>
              <w:rPr>
                <w:sz w:val="24"/>
              </w:rPr>
            </w:pPr>
            <w:r>
              <w:rPr>
                <w:sz w:val="24"/>
              </w:rPr>
              <w:t>绍兴</w:t>
            </w:r>
          </w:p>
        </w:tc>
        <w:tc>
          <w:tcPr>
            <w:tcW w:w="3193" w:type="dxa"/>
            <w:vAlign w:val="center"/>
          </w:tcPr>
          <w:p>
            <w:pPr>
              <w:widowControl/>
              <w:textAlignment w:val="center"/>
              <w:rPr>
                <w:sz w:val="24"/>
              </w:rPr>
            </w:pPr>
            <w:r>
              <w:rPr>
                <w:kern w:val="0"/>
                <w:sz w:val="24"/>
                <w:lang w:bidi="ar"/>
              </w:rPr>
              <w:t>钱清宝龙综合体项目</w:t>
            </w:r>
          </w:p>
        </w:tc>
        <w:tc>
          <w:tcPr>
            <w:tcW w:w="4851" w:type="dxa"/>
            <w:vAlign w:val="center"/>
          </w:tcPr>
          <w:p>
            <w:pPr>
              <w:widowControl/>
              <w:textAlignment w:val="center"/>
              <w:rPr>
                <w:sz w:val="24"/>
              </w:rPr>
            </w:pPr>
            <w:r>
              <w:rPr>
                <w:kern w:val="0"/>
                <w:sz w:val="24"/>
                <w:lang w:bidi="ar"/>
              </w:rPr>
              <w:t>项目新增用地196亩，建设购物中心、商业步行街、精品社区等，商业建筑面积达17万平方米。建成后约250个以上一线品牌进入钱清，融合区域传统文化将形成商业新IP。</w:t>
            </w:r>
          </w:p>
        </w:tc>
        <w:tc>
          <w:tcPr>
            <w:tcW w:w="1264" w:type="dxa"/>
            <w:vAlign w:val="center"/>
          </w:tcPr>
          <w:p>
            <w:pPr>
              <w:widowControl/>
              <w:jc w:val="center"/>
              <w:textAlignment w:val="center"/>
              <w:rPr>
                <w:sz w:val="24"/>
              </w:rPr>
            </w:pPr>
            <w:r>
              <w:rPr>
                <w:kern w:val="0"/>
                <w:sz w:val="24"/>
                <w:lang w:bidi="ar"/>
              </w:rPr>
              <w:t>2020-2023</w:t>
            </w:r>
          </w:p>
        </w:tc>
        <w:tc>
          <w:tcPr>
            <w:tcW w:w="995" w:type="dxa"/>
            <w:vAlign w:val="center"/>
          </w:tcPr>
          <w:p>
            <w:pPr>
              <w:widowControl/>
              <w:jc w:val="center"/>
              <w:textAlignment w:val="center"/>
              <w:rPr>
                <w:sz w:val="24"/>
              </w:rPr>
            </w:pPr>
            <w:r>
              <w:rPr>
                <w:kern w:val="0"/>
                <w:sz w:val="24"/>
                <w:lang w:bidi="ar"/>
              </w:rPr>
              <w:t>55</w:t>
            </w:r>
          </w:p>
        </w:tc>
        <w:tc>
          <w:tcPr>
            <w:tcW w:w="1498" w:type="dxa"/>
            <w:vAlign w:val="center"/>
          </w:tcPr>
          <w:p>
            <w:pPr>
              <w:widowControl/>
              <w:jc w:val="center"/>
              <w:textAlignment w:val="center"/>
              <w:rPr>
                <w:sz w:val="24"/>
              </w:rPr>
            </w:pPr>
            <w:r>
              <w:rPr>
                <w:kern w:val="0"/>
                <w:sz w:val="24"/>
                <w:lang w:bidi="ar"/>
              </w:rPr>
              <w:t>宝龙地产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46</w:t>
            </w:r>
          </w:p>
        </w:tc>
        <w:tc>
          <w:tcPr>
            <w:tcW w:w="789" w:type="dxa"/>
            <w:vAlign w:val="center"/>
          </w:tcPr>
          <w:p>
            <w:pPr>
              <w:jc w:val="center"/>
              <w:rPr>
                <w:sz w:val="24"/>
              </w:rPr>
            </w:pPr>
            <w:r>
              <w:rPr>
                <w:sz w:val="24"/>
              </w:rPr>
              <w:t>绍兴</w:t>
            </w:r>
          </w:p>
        </w:tc>
        <w:tc>
          <w:tcPr>
            <w:tcW w:w="3193" w:type="dxa"/>
            <w:vAlign w:val="center"/>
          </w:tcPr>
          <w:p>
            <w:pPr>
              <w:widowControl/>
              <w:textAlignment w:val="center"/>
              <w:rPr>
                <w:kern w:val="0"/>
                <w:sz w:val="24"/>
                <w:lang w:bidi="ar"/>
              </w:rPr>
            </w:pPr>
            <w:r>
              <w:rPr>
                <w:kern w:val="0"/>
                <w:sz w:val="24"/>
                <w:lang w:bidi="ar"/>
              </w:rPr>
              <w:t>绍兴龙之梦大厦</w:t>
            </w:r>
          </w:p>
        </w:tc>
        <w:tc>
          <w:tcPr>
            <w:tcW w:w="4851" w:type="dxa"/>
            <w:vAlign w:val="center"/>
          </w:tcPr>
          <w:p>
            <w:pPr>
              <w:widowControl/>
              <w:textAlignment w:val="center"/>
              <w:rPr>
                <w:kern w:val="0"/>
                <w:sz w:val="24"/>
                <w:lang w:bidi="ar"/>
              </w:rPr>
            </w:pPr>
            <w:r>
              <w:rPr>
                <w:kern w:val="0"/>
                <w:sz w:val="24"/>
                <w:lang w:bidi="ar"/>
              </w:rPr>
              <w:t>项目新增用地28亩，建筑高度约300米，共计72层，总建筑面积约28万平方米，包括2000间房间的综合性酒店和10万方以上的办公用房。</w:t>
            </w:r>
          </w:p>
        </w:tc>
        <w:tc>
          <w:tcPr>
            <w:tcW w:w="1264" w:type="dxa"/>
            <w:vAlign w:val="center"/>
          </w:tcPr>
          <w:p>
            <w:pPr>
              <w:widowControl/>
              <w:jc w:val="center"/>
              <w:textAlignment w:val="center"/>
              <w:rPr>
                <w:kern w:val="0"/>
                <w:sz w:val="24"/>
                <w:lang w:bidi="ar"/>
              </w:rPr>
            </w:pPr>
            <w:r>
              <w:rPr>
                <w:kern w:val="0"/>
                <w:sz w:val="24"/>
                <w:lang w:bidi="ar"/>
              </w:rPr>
              <w:t>2018-2022</w:t>
            </w:r>
          </w:p>
        </w:tc>
        <w:tc>
          <w:tcPr>
            <w:tcW w:w="995" w:type="dxa"/>
            <w:vAlign w:val="center"/>
          </w:tcPr>
          <w:p>
            <w:pPr>
              <w:widowControl/>
              <w:jc w:val="center"/>
              <w:textAlignment w:val="center"/>
              <w:rPr>
                <w:kern w:val="0"/>
                <w:sz w:val="24"/>
                <w:lang w:bidi="ar"/>
              </w:rPr>
            </w:pPr>
            <w:r>
              <w:rPr>
                <w:kern w:val="0"/>
                <w:sz w:val="24"/>
                <w:lang w:bidi="ar"/>
              </w:rPr>
              <w:t>53.3</w:t>
            </w:r>
          </w:p>
        </w:tc>
        <w:tc>
          <w:tcPr>
            <w:tcW w:w="1498" w:type="dxa"/>
            <w:vAlign w:val="center"/>
          </w:tcPr>
          <w:p>
            <w:pPr>
              <w:widowControl/>
              <w:jc w:val="center"/>
              <w:textAlignment w:val="center"/>
              <w:rPr>
                <w:kern w:val="0"/>
                <w:sz w:val="24"/>
                <w:lang w:bidi="ar"/>
              </w:rPr>
            </w:pPr>
            <w:r>
              <w:rPr>
                <w:kern w:val="0"/>
                <w:sz w:val="24"/>
                <w:lang w:bidi="ar"/>
              </w:rPr>
              <w:t>上海长峰（集团）有限公司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2357" w:hRule="atLeast"/>
          <w:jc w:val="center"/>
        </w:trPr>
        <w:tc>
          <w:tcPr>
            <w:tcW w:w="498" w:type="dxa"/>
            <w:vAlign w:val="center"/>
          </w:tcPr>
          <w:p>
            <w:pPr>
              <w:jc w:val="center"/>
              <w:rPr>
                <w:sz w:val="24"/>
              </w:rPr>
            </w:pPr>
            <w:r>
              <w:rPr>
                <w:sz w:val="24"/>
              </w:rPr>
              <w:t>47</w:t>
            </w:r>
          </w:p>
        </w:tc>
        <w:tc>
          <w:tcPr>
            <w:tcW w:w="789" w:type="dxa"/>
            <w:vAlign w:val="center"/>
          </w:tcPr>
          <w:p>
            <w:pPr>
              <w:jc w:val="center"/>
              <w:rPr>
                <w:sz w:val="24"/>
              </w:rPr>
            </w:pPr>
            <w:r>
              <w:rPr>
                <w:sz w:val="24"/>
              </w:rPr>
              <w:t>金华</w:t>
            </w:r>
          </w:p>
        </w:tc>
        <w:tc>
          <w:tcPr>
            <w:tcW w:w="3193" w:type="dxa"/>
            <w:vAlign w:val="center"/>
          </w:tcPr>
          <w:p>
            <w:pPr>
              <w:widowControl/>
              <w:textAlignment w:val="center"/>
              <w:rPr>
                <w:kern w:val="0"/>
                <w:sz w:val="24"/>
                <w:lang w:bidi="ar"/>
              </w:rPr>
            </w:pPr>
            <w:r>
              <w:rPr>
                <w:kern w:val="0"/>
                <w:sz w:val="24"/>
                <w:lang w:bidi="ar"/>
              </w:rPr>
              <w:t>汽车城项目</w:t>
            </w:r>
          </w:p>
        </w:tc>
        <w:tc>
          <w:tcPr>
            <w:tcW w:w="4851" w:type="dxa"/>
            <w:vAlign w:val="center"/>
          </w:tcPr>
          <w:p>
            <w:pPr>
              <w:widowControl/>
              <w:textAlignment w:val="center"/>
              <w:rPr>
                <w:spacing w:val="-2"/>
                <w:kern w:val="0"/>
                <w:sz w:val="24"/>
                <w:lang w:bidi="ar"/>
              </w:rPr>
            </w:pPr>
            <w:r>
              <w:rPr>
                <w:spacing w:val="-2"/>
                <w:kern w:val="0"/>
                <w:sz w:val="24"/>
                <w:lang w:bidi="ar"/>
              </w:rPr>
              <w:t>项目占地117亩，位于兰江街道西环路西侧、农产品批发市场南侧，总投资3.5亿元，项目容积率1.1，总建设面积逾9万平方米。项目规划完全实践国际化标准模块功能单元，融合汽车综合展销（含4S店及新车零售）、汽车后市场、二手车市场、政府管理服务、社会公共服务、商务商业综合配套服务等六大功能区块</w:t>
            </w:r>
          </w:p>
        </w:tc>
        <w:tc>
          <w:tcPr>
            <w:tcW w:w="1264" w:type="dxa"/>
            <w:vAlign w:val="center"/>
          </w:tcPr>
          <w:p>
            <w:pPr>
              <w:widowControl/>
              <w:jc w:val="center"/>
              <w:textAlignment w:val="center"/>
              <w:rPr>
                <w:kern w:val="0"/>
                <w:sz w:val="24"/>
                <w:lang w:bidi="ar"/>
              </w:rPr>
            </w:pPr>
            <w:r>
              <w:rPr>
                <w:kern w:val="0"/>
                <w:sz w:val="24"/>
                <w:lang w:bidi="ar"/>
              </w:rPr>
              <w:t>2020-2021</w:t>
            </w:r>
          </w:p>
        </w:tc>
        <w:tc>
          <w:tcPr>
            <w:tcW w:w="995" w:type="dxa"/>
            <w:vAlign w:val="center"/>
          </w:tcPr>
          <w:p>
            <w:pPr>
              <w:widowControl/>
              <w:jc w:val="center"/>
              <w:textAlignment w:val="center"/>
              <w:rPr>
                <w:kern w:val="0"/>
                <w:sz w:val="24"/>
                <w:lang w:bidi="ar"/>
              </w:rPr>
            </w:pPr>
            <w:r>
              <w:rPr>
                <w:kern w:val="0"/>
                <w:sz w:val="24"/>
                <w:lang w:bidi="ar"/>
              </w:rPr>
              <w:t>3.5</w:t>
            </w:r>
          </w:p>
        </w:tc>
        <w:tc>
          <w:tcPr>
            <w:tcW w:w="1498" w:type="dxa"/>
            <w:vAlign w:val="center"/>
          </w:tcPr>
          <w:p>
            <w:pPr>
              <w:jc w:val="center"/>
              <w:rPr>
                <w:snapToGrid w:val="0"/>
                <w:spacing w:val="-8"/>
                <w:kern w:val="0"/>
                <w:sz w:val="24"/>
              </w:rPr>
            </w:pPr>
            <w:r>
              <w:rPr>
                <w:snapToGrid w:val="0"/>
                <w:spacing w:val="-8"/>
                <w:kern w:val="0"/>
                <w:sz w:val="24"/>
              </w:rPr>
              <w:t>兰溪市商务局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48</w:t>
            </w:r>
          </w:p>
        </w:tc>
        <w:tc>
          <w:tcPr>
            <w:tcW w:w="789" w:type="dxa"/>
            <w:vAlign w:val="center"/>
          </w:tcPr>
          <w:p>
            <w:pPr>
              <w:jc w:val="center"/>
              <w:rPr>
                <w:sz w:val="24"/>
              </w:rPr>
            </w:pPr>
            <w:r>
              <w:rPr>
                <w:sz w:val="24"/>
              </w:rPr>
              <w:t>金华</w:t>
            </w:r>
          </w:p>
        </w:tc>
        <w:tc>
          <w:tcPr>
            <w:tcW w:w="3193" w:type="dxa"/>
            <w:vAlign w:val="center"/>
          </w:tcPr>
          <w:p>
            <w:pPr>
              <w:widowControl/>
              <w:textAlignment w:val="center"/>
              <w:rPr>
                <w:kern w:val="0"/>
                <w:sz w:val="24"/>
                <w:lang w:bidi="ar"/>
              </w:rPr>
            </w:pPr>
            <w:r>
              <w:rPr>
                <w:kern w:val="0"/>
                <w:sz w:val="24"/>
                <w:lang w:bidi="ar"/>
              </w:rPr>
              <w:t>宝龙商业综合体</w:t>
            </w:r>
          </w:p>
        </w:tc>
        <w:tc>
          <w:tcPr>
            <w:tcW w:w="4851" w:type="dxa"/>
            <w:vAlign w:val="center"/>
          </w:tcPr>
          <w:p>
            <w:pPr>
              <w:widowControl/>
              <w:textAlignment w:val="center"/>
              <w:rPr>
                <w:kern w:val="0"/>
                <w:sz w:val="24"/>
                <w:lang w:bidi="ar"/>
              </w:rPr>
            </w:pPr>
            <w:r>
              <w:rPr>
                <w:kern w:val="0"/>
                <w:sz w:val="24"/>
                <w:lang w:bidi="ar"/>
              </w:rPr>
              <w:t>9万平方米商业及住宅。其中商业区块项目总建筑面积约15万平方米，容积率1.8，其中包括地上4层，约8万平方米、地下一层，约1万平方米的自持商业MALL</w:t>
            </w:r>
          </w:p>
        </w:tc>
        <w:tc>
          <w:tcPr>
            <w:tcW w:w="1264" w:type="dxa"/>
            <w:vAlign w:val="center"/>
          </w:tcPr>
          <w:p>
            <w:pPr>
              <w:widowControl/>
              <w:jc w:val="center"/>
              <w:textAlignment w:val="center"/>
              <w:rPr>
                <w:kern w:val="0"/>
                <w:sz w:val="24"/>
                <w:lang w:bidi="ar"/>
              </w:rPr>
            </w:pPr>
            <w:r>
              <w:rPr>
                <w:kern w:val="0"/>
                <w:sz w:val="24"/>
                <w:lang w:bidi="ar"/>
              </w:rPr>
              <w:t>2020-2023</w:t>
            </w:r>
          </w:p>
        </w:tc>
        <w:tc>
          <w:tcPr>
            <w:tcW w:w="995" w:type="dxa"/>
            <w:vAlign w:val="center"/>
          </w:tcPr>
          <w:p>
            <w:pPr>
              <w:widowControl/>
              <w:jc w:val="center"/>
              <w:textAlignment w:val="center"/>
              <w:rPr>
                <w:kern w:val="0"/>
                <w:sz w:val="24"/>
                <w:lang w:bidi="ar"/>
              </w:rPr>
            </w:pPr>
            <w:r>
              <w:rPr>
                <w:kern w:val="0"/>
                <w:sz w:val="24"/>
                <w:lang w:bidi="ar"/>
              </w:rPr>
              <w:t>23.52</w:t>
            </w:r>
          </w:p>
        </w:tc>
        <w:tc>
          <w:tcPr>
            <w:tcW w:w="1498" w:type="dxa"/>
            <w:vAlign w:val="center"/>
          </w:tcPr>
          <w:p>
            <w:pPr>
              <w:jc w:val="center"/>
              <w:rPr>
                <w:snapToGrid w:val="0"/>
                <w:spacing w:val="-8"/>
                <w:kern w:val="0"/>
                <w:sz w:val="24"/>
              </w:rPr>
            </w:pPr>
            <w:r>
              <w:rPr>
                <w:snapToGrid w:val="0"/>
                <w:spacing w:val="-8"/>
                <w:kern w:val="0"/>
                <w:sz w:val="24"/>
              </w:rPr>
              <w:t>兰溪市商务局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49</w:t>
            </w:r>
          </w:p>
        </w:tc>
        <w:tc>
          <w:tcPr>
            <w:tcW w:w="789" w:type="dxa"/>
            <w:vAlign w:val="center"/>
          </w:tcPr>
          <w:p>
            <w:pPr>
              <w:jc w:val="center"/>
              <w:rPr>
                <w:sz w:val="24"/>
              </w:rPr>
            </w:pPr>
            <w:r>
              <w:rPr>
                <w:sz w:val="24"/>
              </w:rPr>
              <w:t>金华</w:t>
            </w:r>
          </w:p>
        </w:tc>
        <w:tc>
          <w:tcPr>
            <w:tcW w:w="3193" w:type="dxa"/>
            <w:vAlign w:val="center"/>
          </w:tcPr>
          <w:p>
            <w:pPr>
              <w:widowControl/>
              <w:textAlignment w:val="center"/>
              <w:rPr>
                <w:sz w:val="24"/>
              </w:rPr>
            </w:pPr>
            <w:r>
              <w:rPr>
                <w:kern w:val="0"/>
                <w:sz w:val="24"/>
                <w:lang w:bidi="ar"/>
              </w:rPr>
              <w:t>磐安青创园</w:t>
            </w:r>
          </w:p>
        </w:tc>
        <w:tc>
          <w:tcPr>
            <w:tcW w:w="4851" w:type="dxa"/>
            <w:vAlign w:val="center"/>
          </w:tcPr>
          <w:p>
            <w:pPr>
              <w:widowControl/>
              <w:textAlignment w:val="center"/>
              <w:rPr>
                <w:sz w:val="24"/>
              </w:rPr>
            </w:pPr>
            <w:r>
              <w:rPr>
                <w:kern w:val="0"/>
                <w:sz w:val="24"/>
                <w:lang w:bidi="ar"/>
              </w:rPr>
              <w:t>占地面积66亩，建筑面积约35000平方米，园区范围内的水、电、排水排污、通讯等管网建设及主干道路建设，室外立面改造、室内装修改造</w:t>
            </w:r>
          </w:p>
        </w:tc>
        <w:tc>
          <w:tcPr>
            <w:tcW w:w="1264" w:type="dxa"/>
            <w:vAlign w:val="center"/>
          </w:tcPr>
          <w:p>
            <w:pPr>
              <w:widowControl/>
              <w:jc w:val="center"/>
              <w:textAlignment w:val="center"/>
              <w:rPr>
                <w:sz w:val="24"/>
              </w:rPr>
            </w:pPr>
            <w:r>
              <w:rPr>
                <w:kern w:val="0"/>
                <w:sz w:val="24"/>
                <w:lang w:bidi="ar"/>
              </w:rPr>
              <w:t>2020-2021</w:t>
            </w:r>
          </w:p>
        </w:tc>
        <w:tc>
          <w:tcPr>
            <w:tcW w:w="995" w:type="dxa"/>
            <w:vAlign w:val="center"/>
          </w:tcPr>
          <w:p>
            <w:pPr>
              <w:widowControl/>
              <w:jc w:val="center"/>
              <w:textAlignment w:val="center"/>
              <w:rPr>
                <w:sz w:val="24"/>
              </w:rPr>
            </w:pPr>
            <w:r>
              <w:rPr>
                <w:kern w:val="0"/>
                <w:sz w:val="24"/>
                <w:lang w:bidi="ar"/>
              </w:rPr>
              <w:t>1.2</w:t>
            </w:r>
          </w:p>
        </w:tc>
        <w:tc>
          <w:tcPr>
            <w:tcW w:w="1498" w:type="dxa"/>
            <w:vAlign w:val="center"/>
          </w:tcPr>
          <w:p>
            <w:pPr>
              <w:jc w:val="center"/>
              <w:rPr>
                <w:snapToGrid w:val="0"/>
                <w:spacing w:val="-8"/>
                <w:kern w:val="0"/>
                <w:sz w:val="24"/>
              </w:rPr>
            </w:pPr>
            <w:r>
              <w:rPr>
                <w:snapToGrid w:val="0"/>
                <w:spacing w:val="-8"/>
                <w:kern w:val="0"/>
                <w:sz w:val="24"/>
              </w:rPr>
              <w:t>磐安县经商局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50</w:t>
            </w:r>
          </w:p>
        </w:tc>
        <w:tc>
          <w:tcPr>
            <w:tcW w:w="789" w:type="dxa"/>
            <w:vAlign w:val="center"/>
          </w:tcPr>
          <w:p>
            <w:pPr>
              <w:jc w:val="center"/>
              <w:rPr>
                <w:sz w:val="24"/>
              </w:rPr>
            </w:pPr>
            <w:r>
              <w:rPr>
                <w:sz w:val="24"/>
              </w:rPr>
              <w:t>金华</w:t>
            </w:r>
          </w:p>
        </w:tc>
        <w:tc>
          <w:tcPr>
            <w:tcW w:w="3193" w:type="dxa"/>
            <w:vAlign w:val="center"/>
          </w:tcPr>
          <w:p>
            <w:pPr>
              <w:widowControl/>
              <w:textAlignment w:val="center"/>
              <w:rPr>
                <w:sz w:val="24"/>
              </w:rPr>
            </w:pPr>
            <w:r>
              <w:rPr>
                <w:kern w:val="0"/>
                <w:sz w:val="24"/>
                <w:lang w:bidi="ar"/>
              </w:rPr>
              <w:t>金开服投</w:t>
            </w:r>
            <w:r>
              <w:rPr>
                <w:rFonts w:hint="eastAsia"/>
                <w:kern w:val="0"/>
                <w:sz w:val="24"/>
                <w:lang w:bidi="ar"/>
              </w:rPr>
              <w:t>·</w:t>
            </w:r>
            <w:r>
              <w:rPr>
                <w:kern w:val="0"/>
                <w:sz w:val="24"/>
                <w:lang w:bidi="ar"/>
              </w:rPr>
              <w:t>和悦邻里中心项目</w:t>
            </w:r>
          </w:p>
        </w:tc>
        <w:tc>
          <w:tcPr>
            <w:tcW w:w="4851" w:type="dxa"/>
            <w:vAlign w:val="center"/>
          </w:tcPr>
          <w:p>
            <w:pPr>
              <w:widowControl/>
              <w:textAlignment w:val="center"/>
              <w:rPr>
                <w:sz w:val="24"/>
              </w:rPr>
            </w:pPr>
            <w:r>
              <w:rPr>
                <w:kern w:val="0"/>
                <w:sz w:val="24"/>
                <w:lang w:bidi="ar"/>
              </w:rPr>
              <w:t>总建筑面积36116平方米，地上总建筑面积为19300平方米，地下建筑面积为19816平方米，配套316个地下停车泊位</w:t>
            </w:r>
          </w:p>
        </w:tc>
        <w:tc>
          <w:tcPr>
            <w:tcW w:w="1264" w:type="dxa"/>
            <w:vAlign w:val="center"/>
          </w:tcPr>
          <w:p>
            <w:pPr>
              <w:widowControl/>
              <w:jc w:val="center"/>
              <w:textAlignment w:val="center"/>
              <w:rPr>
                <w:sz w:val="24"/>
              </w:rPr>
            </w:pPr>
            <w:r>
              <w:rPr>
                <w:kern w:val="0"/>
                <w:sz w:val="24"/>
                <w:lang w:bidi="ar"/>
              </w:rPr>
              <w:t>2020-2022</w:t>
            </w:r>
          </w:p>
        </w:tc>
        <w:tc>
          <w:tcPr>
            <w:tcW w:w="995" w:type="dxa"/>
            <w:vAlign w:val="center"/>
          </w:tcPr>
          <w:p>
            <w:pPr>
              <w:widowControl/>
              <w:jc w:val="center"/>
              <w:textAlignment w:val="center"/>
              <w:rPr>
                <w:sz w:val="24"/>
              </w:rPr>
            </w:pPr>
            <w:r>
              <w:rPr>
                <w:kern w:val="0"/>
                <w:sz w:val="24"/>
                <w:lang w:bidi="ar"/>
              </w:rPr>
              <w:t>2.7</w:t>
            </w:r>
          </w:p>
        </w:tc>
        <w:tc>
          <w:tcPr>
            <w:tcW w:w="1498" w:type="dxa"/>
            <w:vAlign w:val="center"/>
          </w:tcPr>
          <w:p>
            <w:pPr>
              <w:widowControl/>
              <w:jc w:val="center"/>
              <w:textAlignment w:val="center"/>
              <w:rPr>
                <w:sz w:val="24"/>
              </w:rPr>
            </w:pPr>
            <w:r>
              <w:rPr>
                <w:kern w:val="0"/>
                <w:sz w:val="24"/>
                <w:lang w:bidi="ar"/>
              </w:rPr>
              <w:t>金华金开现代服务业投资集团有限公司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498" w:type="dxa"/>
            <w:vAlign w:val="center"/>
          </w:tcPr>
          <w:p>
            <w:pPr>
              <w:spacing w:line="300" w:lineRule="exact"/>
              <w:jc w:val="center"/>
              <w:rPr>
                <w:sz w:val="24"/>
              </w:rPr>
            </w:pPr>
            <w:r>
              <w:rPr>
                <w:sz w:val="24"/>
              </w:rPr>
              <w:t>51</w:t>
            </w:r>
          </w:p>
        </w:tc>
        <w:tc>
          <w:tcPr>
            <w:tcW w:w="789" w:type="dxa"/>
            <w:vAlign w:val="center"/>
          </w:tcPr>
          <w:p>
            <w:pPr>
              <w:spacing w:line="300" w:lineRule="exact"/>
              <w:jc w:val="center"/>
              <w:rPr>
                <w:sz w:val="24"/>
              </w:rPr>
            </w:pPr>
            <w:r>
              <w:rPr>
                <w:sz w:val="24"/>
              </w:rPr>
              <w:t>金华</w:t>
            </w:r>
          </w:p>
        </w:tc>
        <w:tc>
          <w:tcPr>
            <w:tcW w:w="3193" w:type="dxa"/>
            <w:vAlign w:val="center"/>
          </w:tcPr>
          <w:p>
            <w:pPr>
              <w:widowControl/>
              <w:spacing w:line="300" w:lineRule="exact"/>
              <w:textAlignment w:val="center"/>
              <w:rPr>
                <w:sz w:val="24"/>
              </w:rPr>
            </w:pPr>
            <w:r>
              <w:rPr>
                <w:kern w:val="0"/>
                <w:sz w:val="24"/>
                <w:lang w:bidi="ar"/>
              </w:rPr>
              <w:t>金华未来财富中心项目</w:t>
            </w:r>
          </w:p>
        </w:tc>
        <w:tc>
          <w:tcPr>
            <w:tcW w:w="4851" w:type="dxa"/>
            <w:vAlign w:val="center"/>
          </w:tcPr>
          <w:p>
            <w:pPr>
              <w:widowControl/>
              <w:spacing w:line="300" w:lineRule="exact"/>
              <w:textAlignment w:val="center"/>
              <w:rPr>
                <w:sz w:val="24"/>
              </w:rPr>
            </w:pPr>
            <w:r>
              <w:rPr>
                <w:kern w:val="0"/>
                <w:sz w:val="24"/>
                <w:lang w:bidi="ar"/>
              </w:rPr>
              <w:t>金华市未来财富中心建设项目，红线用地面积24770.1平方米，总建筑面积49700平方米</w:t>
            </w:r>
          </w:p>
        </w:tc>
        <w:tc>
          <w:tcPr>
            <w:tcW w:w="1264" w:type="dxa"/>
            <w:vAlign w:val="center"/>
          </w:tcPr>
          <w:p>
            <w:pPr>
              <w:widowControl/>
              <w:spacing w:line="300" w:lineRule="exact"/>
              <w:jc w:val="center"/>
              <w:textAlignment w:val="center"/>
              <w:rPr>
                <w:sz w:val="24"/>
              </w:rPr>
            </w:pPr>
            <w:r>
              <w:rPr>
                <w:kern w:val="0"/>
                <w:sz w:val="24"/>
                <w:lang w:bidi="ar"/>
              </w:rPr>
              <w:t>2020-2023</w:t>
            </w:r>
          </w:p>
        </w:tc>
        <w:tc>
          <w:tcPr>
            <w:tcW w:w="995" w:type="dxa"/>
            <w:vAlign w:val="center"/>
          </w:tcPr>
          <w:p>
            <w:pPr>
              <w:widowControl/>
              <w:spacing w:line="300" w:lineRule="exact"/>
              <w:jc w:val="center"/>
              <w:textAlignment w:val="center"/>
              <w:rPr>
                <w:sz w:val="24"/>
              </w:rPr>
            </w:pPr>
            <w:r>
              <w:rPr>
                <w:kern w:val="0"/>
                <w:sz w:val="24"/>
                <w:lang w:bidi="ar"/>
              </w:rPr>
              <w:t>5.78</w:t>
            </w:r>
          </w:p>
        </w:tc>
        <w:tc>
          <w:tcPr>
            <w:tcW w:w="1498" w:type="dxa"/>
            <w:vAlign w:val="center"/>
          </w:tcPr>
          <w:p>
            <w:pPr>
              <w:widowControl/>
              <w:spacing w:line="300" w:lineRule="exact"/>
              <w:jc w:val="center"/>
              <w:textAlignment w:val="center"/>
              <w:rPr>
                <w:sz w:val="24"/>
              </w:rPr>
            </w:pPr>
            <w:r>
              <w:rPr>
                <w:kern w:val="0"/>
                <w:sz w:val="24"/>
                <w:lang w:bidi="ar"/>
              </w:rPr>
              <w:t>金华市国控资产管理有限公司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498" w:type="dxa"/>
            <w:vAlign w:val="center"/>
          </w:tcPr>
          <w:p>
            <w:pPr>
              <w:spacing w:line="300" w:lineRule="exact"/>
              <w:jc w:val="center"/>
              <w:rPr>
                <w:sz w:val="24"/>
              </w:rPr>
            </w:pPr>
            <w:r>
              <w:rPr>
                <w:sz w:val="24"/>
              </w:rPr>
              <w:t>52</w:t>
            </w:r>
          </w:p>
        </w:tc>
        <w:tc>
          <w:tcPr>
            <w:tcW w:w="789" w:type="dxa"/>
            <w:vAlign w:val="center"/>
          </w:tcPr>
          <w:p>
            <w:pPr>
              <w:spacing w:line="300" w:lineRule="exact"/>
              <w:jc w:val="center"/>
              <w:rPr>
                <w:sz w:val="24"/>
              </w:rPr>
            </w:pPr>
            <w:r>
              <w:rPr>
                <w:sz w:val="24"/>
              </w:rPr>
              <w:t>金华</w:t>
            </w:r>
          </w:p>
        </w:tc>
        <w:tc>
          <w:tcPr>
            <w:tcW w:w="3193" w:type="dxa"/>
            <w:vAlign w:val="center"/>
          </w:tcPr>
          <w:p>
            <w:pPr>
              <w:widowControl/>
              <w:spacing w:line="300" w:lineRule="exact"/>
              <w:textAlignment w:val="center"/>
              <w:rPr>
                <w:sz w:val="24"/>
              </w:rPr>
            </w:pPr>
            <w:r>
              <w:rPr>
                <w:kern w:val="0"/>
                <w:sz w:val="24"/>
                <w:lang w:bidi="ar"/>
              </w:rPr>
              <w:t>金华金融发展大厦（原加敦科技地块）</w:t>
            </w:r>
          </w:p>
        </w:tc>
        <w:tc>
          <w:tcPr>
            <w:tcW w:w="4851" w:type="dxa"/>
            <w:vAlign w:val="center"/>
          </w:tcPr>
          <w:p>
            <w:pPr>
              <w:widowControl/>
              <w:spacing w:line="300" w:lineRule="exact"/>
              <w:textAlignment w:val="center"/>
              <w:rPr>
                <w:sz w:val="24"/>
              </w:rPr>
            </w:pPr>
            <w:r>
              <w:rPr>
                <w:kern w:val="0"/>
                <w:sz w:val="24"/>
                <w:lang w:bidi="ar"/>
              </w:rPr>
              <w:t>总建筑面积约31733平方米，其中地上建筑面积约22667平方米，地下二层面积约9066平方米，金华金融总部中心、金融业总部等业态</w:t>
            </w:r>
          </w:p>
        </w:tc>
        <w:tc>
          <w:tcPr>
            <w:tcW w:w="1264" w:type="dxa"/>
            <w:vAlign w:val="center"/>
          </w:tcPr>
          <w:p>
            <w:pPr>
              <w:widowControl/>
              <w:spacing w:line="300" w:lineRule="exact"/>
              <w:jc w:val="center"/>
              <w:textAlignment w:val="center"/>
              <w:rPr>
                <w:sz w:val="24"/>
              </w:rPr>
            </w:pPr>
            <w:r>
              <w:rPr>
                <w:kern w:val="0"/>
                <w:sz w:val="24"/>
                <w:lang w:bidi="ar"/>
              </w:rPr>
              <w:t>2020-2022</w:t>
            </w:r>
          </w:p>
        </w:tc>
        <w:tc>
          <w:tcPr>
            <w:tcW w:w="995" w:type="dxa"/>
            <w:vAlign w:val="center"/>
          </w:tcPr>
          <w:p>
            <w:pPr>
              <w:widowControl/>
              <w:spacing w:line="300" w:lineRule="exact"/>
              <w:jc w:val="center"/>
              <w:textAlignment w:val="center"/>
              <w:rPr>
                <w:sz w:val="24"/>
              </w:rPr>
            </w:pPr>
            <w:r>
              <w:rPr>
                <w:kern w:val="0"/>
                <w:sz w:val="24"/>
                <w:lang w:bidi="ar"/>
              </w:rPr>
              <w:t>2.5</w:t>
            </w:r>
          </w:p>
        </w:tc>
        <w:tc>
          <w:tcPr>
            <w:tcW w:w="1498" w:type="dxa"/>
            <w:vAlign w:val="center"/>
          </w:tcPr>
          <w:p>
            <w:pPr>
              <w:widowControl/>
              <w:spacing w:line="300" w:lineRule="exact"/>
              <w:jc w:val="center"/>
              <w:textAlignment w:val="center"/>
              <w:rPr>
                <w:sz w:val="24"/>
              </w:rPr>
            </w:pPr>
            <w:r>
              <w:rPr>
                <w:kern w:val="0"/>
                <w:sz w:val="24"/>
                <w:lang w:bidi="ar"/>
              </w:rPr>
              <w:t>金华金开产业发展集团有限公司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498" w:type="dxa"/>
            <w:vAlign w:val="center"/>
          </w:tcPr>
          <w:p>
            <w:pPr>
              <w:spacing w:line="300" w:lineRule="exact"/>
              <w:jc w:val="center"/>
              <w:rPr>
                <w:sz w:val="24"/>
              </w:rPr>
            </w:pPr>
            <w:r>
              <w:rPr>
                <w:sz w:val="24"/>
              </w:rPr>
              <w:t>53</w:t>
            </w:r>
          </w:p>
        </w:tc>
        <w:tc>
          <w:tcPr>
            <w:tcW w:w="789" w:type="dxa"/>
            <w:vAlign w:val="center"/>
          </w:tcPr>
          <w:p>
            <w:pPr>
              <w:spacing w:line="300" w:lineRule="exact"/>
              <w:jc w:val="center"/>
              <w:rPr>
                <w:sz w:val="24"/>
              </w:rPr>
            </w:pPr>
            <w:r>
              <w:rPr>
                <w:sz w:val="24"/>
              </w:rPr>
              <w:t>金华</w:t>
            </w:r>
          </w:p>
        </w:tc>
        <w:tc>
          <w:tcPr>
            <w:tcW w:w="3193" w:type="dxa"/>
            <w:vAlign w:val="center"/>
          </w:tcPr>
          <w:p>
            <w:pPr>
              <w:widowControl/>
              <w:spacing w:line="300" w:lineRule="exact"/>
              <w:textAlignment w:val="center"/>
              <w:rPr>
                <w:sz w:val="24"/>
              </w:rPr>
            </w:pPr>
            <w:r>
              <w:rPr>
                <w:kern w:val="0"/>
                <w:sz w:val="24"/>
                <w:lang w:bidi="ar"/>
              </w:rPr>
              <w:t>朗朗文化信息产业园二期</w:t>
            </w:r>
          </w:p>
        </w:tc>
        <w:tc>
          <w:tcPr>
            <w:tcW w:w="4851" w:type="dxa"/>
            <w:vAlign w:val="center"/>
          </w:tcPr>
          <w:p>
            <w:pPr>
              <w:widowControl/>
              <w:spacing w:line="300" w:lineRule="exact"/>
              <w:textAlignment w:val="center"/>
              <w:rPr>
                <w:sz w:val="24"/>
              </w:rPr>
            </w:pPr>
            <w:r>
              <w:rPr>
                <w:kern w:val="0"/>
                <w:sz w:val="24"/>
                <w:lang w:bidi="ar"/>
              </w:rPr>
              <w:t>美和路以北，壶源路以南区块现有朗朗文化信息产业园，占地30亩，本区块规划为金帆街文化创意街区服务业和商业配套，可将其打造成特色大学生创业、文化创意、旅游休闲、信息经济、广告制作、餐饮配套于一体的综合性产业园区。项目分两期建设，一期已建成面积约2万多平方米，二期约4万多平方米。</w:t>
            </w:r>
          </w:p>
        </w:tc>
        <w:tc>
          <w:tcPr>
            <w:tcW w:w="1264" w:type="dxa"/>
            <w:vAlign w:val="center"/>
          </w:tcPr>
          <w:p>
            <w:pPr>
              <w:widowControl/>
              <w:spacing w:line="300" w:lineRule="exact"/>
              <w:jc w:val="center"/>
              <w:textAlignment w:val="center"/>
              <w:rPr>
                <w:sz w:val="24"/>
              </w:rPr>
            </w:pPr>
            <w:r>
              <w:rPr>
                <w:kern w:val="0"/>
                <w:sz w:val="24"/>
                <w:lang w:bidi="ar"/>
              </w:rPr>
              <w:t>2020-2022</w:t>
            </w:r>
          </w:p>
        </w:tc>
        <w:tc>
          <w:tcPr>
            <w:tcW w:w="995" w:type="dxa"/>
            <w:vAlign w:val="center"/>
          </w:tcPr>
          <w:p>
            <w:pPr>
              <w:widowControl/>
              <w:spacing w:line="300" w:lineRule="exact"/>
              <w:jc w:val="center"/>
              <w:textAlignment w:val="center"/>
              <w:rPr>
                <w:sz w:val="24"/>
              </w:rPr>
            </w:pPr>
            <w:r>
              <w:rPr>
                <w:kern w:val="0"/>
                <w:sz w:val="24"/>
                <w:lang w:bidi="ar"/>
              </w:rPr>
              <w:t>0.98</w:t>
            </w:r>
          </w:p>
        </w:tc>
        <w:tc>
          <w:tcPr>
            <w:tcW w:w="1498" w:type="dxa"/>
            <w:vAlign w:val="center"/>
          </w:tcPr>
          <w:p>
            <w:pPr>
              <w:widowControl/>
              <w:spacing w:line="300" w:lineRule="exact"/>
              <w:jc w:val="center"/>
              <w:textAlignment w:val="center"/>
              <w:rPr>
                <w:sz w:val="24"/>
              </w:rPr>
            </w:pPr>
            <w:r>
              <w:rPr>
                <w:kern w:val="0"/>
                <w:sz w:val="24"/>
                <w:lang w:bidi="ar"/>
              </w:rPr>
              <w:t>金华富丽华家用纺织有限公司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498" w:type="dxa"/>
            <w:vAlign w:val="center"/>
          </w:tcPr>
          <w:p>
            <w:pPr>
              <w:spacing w:line="300" w:lineRule="exact"/>
              <w:jc w:val="center"/>
              <w:rPr>
                <w:sz w:val="24"/>
              </w:rPr>
            </w:pPr>
            <w:r>
              <w:rPr>
                <w:sz w:val="24"/>
              </w:rPr>
              <w:t>54</w:t>
            </w:r>
          </w:p>
        </w:tc>
        <w:tc>
          <w:tcPr>
            <w:tcW w:w="789" w:type="dxa"/>
            <w:vAlign w:val="center"/>
          </w:tcPr>
          <w:p>
            <w:pPr>
              <w:spacing w:line="300" w:lineRule="exact"/>
              <w:jc w:val="center"/>
              <w:rPr>
                <w:sz w:val="24"/>
              </w:rPr>
            </w:pPr>
            <w:r>
              <w:rPr>
                <w:sz w:val="24"/>
              </w:rPr>
              <w:t>金华</w:t>
            </w:r>
          </w:p>
        </w:tc>
        <w:tc>
          <w:tcPr>
            <w:tcW w:w="3193" w:type="dxa"/>
            <w:vAlign w:val="center"/>
          </w:tcPr>
          <w:p>
            <w:pPr>
              <w:widowControl/>
              <w:spacing w:line="300" w:lineRule="exact"/>
              <w:textAlignment w:val="center"/>
              <w:rPr>
                <w:sz w:val="24"/>
              </w:rPr>
            </w:pPr>
            <w:r>
              <w:rPr>
                <w:kern w:val="0"/>
                <w:sz w:val="24"/>
                <w:lang w:bidi="ar"/>
              </w:rPr>
              <w:t>金华信息经济产业园二期</w:t>
            </w:r>
          </w:p>
        </w:tc>
        <w:tc>
          <w:tcPr>
            <w:tcW w:w="4851" w:type="dxa"/>
            <w:vAlign w:val="center"/>
          </w:tcPr>
          <w:p>
            <w:pPr>
              <w:widowControl/>
              <w:spacing w:line="300" w:lineRule="exact"/>
              <w:textAlignment w:val="center"/>
              <w:rPr>
                <w:sz w:val="24"/>
              </w:rPr>
            </w:pPr>
            <w:r>
              <w:rPr>
                <w:kern w:val="0"/>
                <w:sz w:val="24"/>
                <w:lang w:bidi="ar"/>
              </w:rPr>
              <w:t>项目总投资约50亿元，二期共建设7幢楼，分别用于商务办公、酒店、SOHO办公和商业商务等</w:t>
            </w:r>
          </w:p>
        </w:tc>
        <w:tc>
          <w:tcPr>
            <w:tcW w:w="1264" w:type="dxa"/>
            <w:vAlign w:val="center"/>
          </w:tcPr>
          <w:p>
            <w:pPr>
              <w:widowControl/>
              <w:spacing w:line="300" w:lineRule="exact"/>
              <w:jc w:val="center"/>
              <w:textAlignment w:val="center"/>
              <w:rPr>
                <w:sz w:val="24"/>
              </w:rPr>
            </w:pPr>
            <w:r>
              <w:rPr>
                <w:kern w:val="0"/>
                <w:sz w:val="24"/>
                <w:lang w:bidi="ar"/>
              </w:rPr>
              <w:t>2017-2022</w:t>
            </w:r>
          </w:p>
        </w:tc>
        <w:tc>
          <w:tcPr>
            <w:tcW w:w="995" w:type="dxa"/>
            <w:vAlign w:val="center"/>
          </w:tcPr>
          <w:p>
            <w:pPr>
              <w:widowControl/>
              <w:spacing w:line="300" w:lineRule="exact"/>
              <w:jc w:val="center"/>
              <w:textAlignment w:val="center"/>
              <w:rPr>
                <w:sz w:val="24"/>
              </w:rPr>
            </w:pPr>
            <w:r>
              <w:rPr>
                <w:kern w:val="0"/>
                <w:sz w:val="24"/>
                <w:lang w:bidi="ar"/>
              </w:rPr>
              <w:t>3.0</w:t>
            </w:r>
          </w:p>
        </w:tc>
        <w:tc>
          <w:tcPr>
            <w:tcW w:w="1498" w:type="dxa"/>
            <w:vAlign w:val="center"/>
          </w:tcPr>
          <w:p>
            <w:pPr>
              <w:widowControl/>
              <w:spacing w:line="300" w:lineRule="exact"/>
              <w:jc w:val="center"/>
              <w:textAlignment w:val="center"/>
              <w:rPr>
                <w:sz w:val="24"/>
              </w:rPr>
            </w:pPr>
            <w:r>
              <w:rPr>
                <w:kern w:val="0"/>
                <w:sz w:val="24"/>
                <w:lang w:bidi="ar"/>
              </w:rPr>
              <w:t>金华智科信息经济产业园开发有限公司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498" w:type="dxa"/>
            <w:vAlign w:val="center"/>
          </w:tcPr>
          <w:p>
            <w:pPr>
              <w:spacing w:line="300" w:lineRule="exact"/>
              <w:jc w:val="center"/>
              <w:rPr>
                <w:sz w:val="24"/>
              </w:rPr>
            </w:pPr>
            <w:r>
              <w:rPr>
                <w:sz w:val="24"/>
              </w:rPr>
              <w:t>55</w:t>
            </w:r>
          </w:p>
        </w:tc>
        <w:tc>
          <w:tcPr>
            <w:tcW w:w="789" w:type="dxa"/>
            <w:vAlign w:val="center"/>
          </w:tcPr>
          <w:p>
            <w:pPr>
              <w:spacing w:line="300" w:lineRule="exact"/>
              <w:jc w:val="center"/>
              <w:rPr>
                <w:sz w:val="24"/>
              </w:rPr>
            </w:pPr>
            <w:r>
              <w:rPr>
                <w:sz w:val="24"/>
              </w:rPr>
              <w:t>金华</w:t>
            </w:r>
          </w:p>
        </w:tc>
        <w:tc>
          <w:tcPr>
            <w:tcW w:w="3193" w:type="dxa"/>
            <w:vAlign w:val="center"/>
          </w:tcPr>
          <w:p>
            <w:pPr>
              <w:widowControl/>
              <w:spacing w:line="300" w:lineRule="exact"/>
              <w:textAlignment w:val="center"/>
              <w:rPr>
                <w:sz w:val="24"/>
              </w:rPr>
            </w:pPr>
            <w:r>
              <w:rPr>
                <w:kern w:val="0"/>
                <w:sz w:val="24"/>
                <w:lang w:bidi="ar"/>
              </w:rPr>
              <w:t>云安全科创产业基地建设项目</w:t>
            </w:r>
          </w:p>
        </w:tc>
        <w:tc>
          <w:tcPr>
            <w:tcW w:w="4851" w:type="dxa"/>
            <w:vAlign w:val="center"/>
          </w:tcPr>
          <w:p>
            <w:pPr>
              <w:widowControl/>
              <w:spacing w:line="300" w:lineRule="exact"/>
              <w:textAlignment w:val="center"/>
              <w:rPr>
                <w:sz w:val="24"/>
              </w:rPr>
            </w:pPr>
            <w:r>
              <w:rPr>
                <w:kern w:val="0"/>
                <w:sz w:val="24"/>
                <w:lang w:bidi="ar"/>
              </w:rPr>
              <w:t>项目新建云安全科创产业基地，占地面积52亩，总建设面积24020</w:t>
            </w:r>
            <w:r>
              <w:rPr>
                <w:rFonts w:hint="eastAsia"/>
                <w:kern w:val="0"/>
                <w:sz w:val="24"/>
                <w:lang w:bidi="ar"/>
              </w:rPr>
              <w:t>平方米</w:t>
            </w:r>
          </w:p>
        </w:tc>
        <w:tc>
          <w:tcPr>
            <w:tcW w:w="1264" w:type="dxa"/>
            <w:vAlign w:val="center"/>
          </w:tcPr>
          <w:p>
            <w:pPr>
              <w:widowControl/>
              <w:spacing w:line="300" w:lineRule="exact"/>
              <w:jc w:val="center"/>
              <w:textAlignment w:val="center"/>
              <w:rPr>
                <w:sz w:val="24"/>
              </w:rPr>
            </w:pPr>
            <w:r>
              <w:rPr>
                <w:kern w:val="0"/>
                <w:sz w:val="24"/>
                <w:lang w:bidi="ar"/>
              </w:rPr>
              <w:t>2019-2021</w:t>
            </w:r>
          </w:p>
        </w:tc>
        <w:tc>
          <w:tcPr>
            <w:tcW w:w="995" w:type="dxa"/>
            <w:vAlign w:val="center"/>
          </w:tcPr>
          <w:p>
            <w:pPr>
              <w:widowControl/>
              <w:spacing w:line="300" w:lineRule="exact"/>
              <w:jc w:val="center"/>
              <w:textAlignment w:val="center"/>
              <w:rPr>
                <w:sz w:val="24"/>
              </w:rPr>
            </w:pPr>
            <w:r>
              <w:rPr>
                <w:kern w:val="0"/>
                <w:sz w:val="24"/>
                <w:lang w:bidi="ar"/>
              </w:rPr>
              <w:t>8.0</w:t>
            </w:r>
          </w:p>
        </w:tc>
        <w:tc>
          <w:tcPr>
            <w:tcW w:w="1498" w:type="dxa"/>
            <w:vAlign w:val="center"/>
          </w:tcPr>
          <w:p>
            <w:pPr>
              <w:widowControl/>
              <w:spacing w:line="300" w:lineRule="exact"/>
              <w:jc w:val="center"/>
              <w:textAlignment w:val="center"/>
              <w:rPr>
                <w:sz w:val="24"/>
              </w:rPr>
            </w:pPr>
            <w:r>
              <w:rPr>
                <w:kern w:val="0"/>
                <w:sz w:val="24"/>
                <w:lang w:bidi="ar"/>
              </w:rPr>
              <w:t>光通天下网络科技股份有限公司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498" w:type="dxa"/>
            <w:vAlign w:val="center"/>
          </w:tcPr>
          <w:p>
            <w:pPr>
              <w:spacing w:line="300" w:lineRule="exact"/>
              <w:jc w:val="center"/>
              <w:rPr>
                <w:sz w:val="24"/>
              </w:rPr>
            </w:pPr>
            <w:r>
              <w:rPr>
                <w:sz w:val="24"/>
              </w:rPr>
              <w:t>56</w:t>
            </w:r>
          </w:p>
        </w:tc>
        <w:tc>
          <w:tcPr>
            <w:tcW w:w="789" w:type="dxa"/>
            <w:vAlign w:val="center"/>
          </w:tcPr>
          <w:p>
            <w:pPr>
              <w:spacing w:line="300" w:lineRule="exact"/>
              <w:jc w:val="center"/>
              <w:rPr>
                <w:sz w:val="24"/>
              </w:rPr>
            </w:pPr>
            <w:r>
              <w:rPr>
                <w:sz w:val="24"/>
              </w:rPr>
              <w:t>金华</w:t>
            </w:r>
          </w:p>
        </w:tc>
        <w:tc>
          <w:tcPr>
            <w:tcW w:w="3193" w:type="dxa"/>
            <w:vAlign w:val="center"/>
          </w:tcPr>
          <w:p>
            <w:pPr>
              <w:widowControl/>
              <w:spacing w:line="300" w:lineRule="exact"/>
              <w:textAlignment w:val="center"/>
              <w:rPr>
                <w:sz w:val="24"/>
              </w:rPr>
            </w:pPr>
            <w:r>
              <w:rPr>
                <w:kern w:val="0"/>
                <w:sz w:val="24"/>
                <w:lang w:bidi="ar"/>
              </w:rPr>
              <w:t>金西康养综合体</w:t>
            </w:r>
          </w:p>
        </w:tc>
        <w:tc>
          <w:tcPr>
            <w:tcW w:w="4851" w:type="dxa"/>
            <w:vAlign w:val="center"/>
          </w:tcPr>
          <w:p>
            <w:pPr>
              <w:widowControl/>
              <w:spacing w:line="300" w:lineRule="exact"/>
              <w:textAlignment w:val="center"/>
              <w:rPr>
                <w:sz w:val="24"/>
              </w:rPr>
            </w:pPr>
            <w:r>
              <w:rPr>
                <w:kern w:val="0"/>
                <w:sz w:val="24"/>
                <w:lang w:bidi="ar"/>
              </w:rPr>
              <w:t>总建筑面积20000</w:t>
            </w:r>
            <w:r>
              <w:rPr>
                <w:rFonts w:hint="eastAsia"/>
                <w:kern w:val="0"/>
                <w:sz w:val="24"/>
                <w:lang w:bidi="ar"/>
              </w:rPr>
              <w:t>平方米</w:t>
            </w:r>
            <w:r>
              <w:rPr>
                <w:kern w:val="0"/>
                <w:sz w:val="24"/>
                <w:lang w:bidi="ar"/>
              </w:rPr>
              <w:t>，地上建筑面积17000平方米，地下建筑面积3000</w:t>
            </w:r>
            <w:r>
              <w:rPr>
                <w:rFonts w:hint="eastAsia"/>
                <w:kern w:val="0"/>
                <w:sz w:val="24"/>
                <w:lang w:bidi="ar"/>
              </w:rPr>
              <w:t>平方米</w:t>
            </w:r>
            <w:r>
              <w:rPr>
                <w:kern w:val="0"/>
                <w:sz w:val="24"/>
                <w:lang w:bidi="ar"/>
              </w:rPr>
              <w:t>。建筑占地面积2563.4</w:t>
            </w:r>
            <w:r>
              <w:rPr>
                <w:rFonts w:hint="eastAsia"/>
                <w:kern w:val="0"/>
                <w:sz w:val="24"/>
                <w:lang w:bidi="ar"/>
              </w:rPr>
              <w:t>平方米</w:t>
            </w:r>
            <w:r>
              <w:rPr>
                <w:kern w:val="0"/>
                <w:sz w:val="24"/>
                <w:lang w:bidi="ar"/>
              </w:rPr>
              <w:t>。其中标准病区312床，护理病区312床</w:t>
            </w:r>
          </w:p>
        </w:tc>
        <w:tc>
          <w:tcPr>
            <w:tcW w:w="1264" w:type="dxa"/>
            <w:vAlign w:val="center"/>
          </w:tcPr>
          <w:p>
            <w:pPr>
              <w:widowControl/>
              <w:spacing w:line="300" w:lineRule="exact"/>
              <w:jc w:val="center"/>
              <w:textAlignment w:val="center"/>
              <w:rPr>
                <w:sz w:val="24"/>
              </w:rPr>
            </w:pPr>
            <w:r>
              <w:rPr>
                <w:kern w:val="0"/>
                <w:sz w:val="24"/>
                <w:lang w:bidi="ar"/>
              </w:rPr>
              <w:t>2019-2021</w:t>
            </w:r>
          </w:p>
        </w:tc>
        <w:tc>
          <w:tcPr>
            <w:tcW w:w="995" w:type="dxa"/>
            <w:vAlign w:val="center"/>
          </w:tcPr>
          <w:p>
            <w:pPr>
              <w:widowControl/>
              <w:spacing w:line="300" w:lineRule="exact"/>
              <w:jc w:val="center"/>
              <w:textAlignment w:val="center"/>
              <w:rPr>
                <w:sz w:val="24"/>
              </w:rPr>
            </w:pPr>
            <w:r>
              <w:rPr>
                <w:kern w:val="0"/>
                <w:sz w:val="24"/>
                <w:lang w:bidi="ar"/>
              </w:rPr>
              <w:t>0.93</w:t>
            </w:r>
          </w:p>
        </w:tc>
        <w:tc>
          <w:tcPr>
            <w:tcW w:w="1498" w:type="dxa"/>
            <w:vAlign w:val="center"/>
          </w:tcPr>
          <w:p>
            <w:pPr>
              <w:widowControl/>
              <w:spacing w:line="300" w:lineRule="exact"/>
              <w:jc w:val="center"/>
              <w:textAlignment w:val="center"/>
              <w:rPr>
                <w:sz w:val="24"/>
              </w:rPr>
            </w:pPr>
            <w:r>
              <w:rPr>
                <w:kern w:val="0"/>
                <w:sz w:val="24"/>
                <w:lang w:bidi="ar"/>
              </w:rPr>
              <w:t>金华恒合置业有限公司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57</w:t>
            </w:r>
          </w:p>
        </w:tc>
        <w:tc>
          <w:tcPr>
            <w:tcW w:w="789" w:type="dxa"/>
            <w:vAlign w:val="center"/>
          </w:tcPr>
          <w:p>
            <w:pPr>
              <w:jc w:val="center"/>
              <w:rPr>
                <w:sz w:val="24"/>
              </w:rPr>
            </w:pPr>
            <w:r>
              <w:rPr>
                <w:sz w:val="24"/>
              </w:rPr>
              <w:t>金华</w:t>
            </w:r>
          </w:p>
        </w:tc>
        <w:tc>
          <w:tcPr>
            <w:tcW w:w="3193" w:type="dxa"/>
            <w:vAlign w:val="center"/>
          </w:tcPr>
          <w:p>
            <w:pPr>
              <w:widowControl/>
              <w:textAlignment w:val="center"/>
              <w:rPr>
                <w:sz w:val="24"/>
              </w:rPr>
            </w:pPr>
            <w:r>
              <w:rPr>
                <w:kern w:val="0"/>
                <w:sz w:val="24"/>
                <w:lang w:bidi="ar"/>
              </w:rPr>
              <w:t>湖畔里（暂用名）</w:t>
            </w:r>
          </w:p>
        </w:tc>
        <w:tc>
          <w:tcPr>
            <w:tcW w:w="4851" w:type="dxa"/>
            <w:vAlign w:val="center"/>
          </w:tcPr>
          <w:p>
            <w:pPr>
              <w:widowControl/>
              <w:textAlignment w:val="center"/>
              <w:rPr>
                <w:sz w:val="24"/>
              </w:rPr>
            </w:pPr>
            <w:r>
              <w:rPr>
                <w:kern w:val="0"/>
                <w:sz w:val="24"/>
                <w:lang w:bidi="ar"/>
              </w:rPr>
              <w:t>项目总用地面积28612.47平方米，总建筑面积71906平方米，其中地上建筑面积51502平方米，地下建筑面积20404平方米，为酒店商业综合体</w:t>
            </w:r>
          </w:p>
        </w:tc>
        <w:tc>
          <w:tcPr>
            <w:tcW w:w="1264" w:type="dxa"/>
            <w:vAlign w:val="center"/>
          </w:tcPr>
          <w:p>
            <w:pPr>
              <w:widowControl/>
              <w:jc w:val="center"/>
              <w:textAlignment w:val="center"/>
              <w:rPr>
                <w:sz w:val="24"/>
              </w:rPr>
            </w:pPr>
            <w:r>
              <w:rPr>
                <w:kern w:val="0"/>
                <w:sz w:val="24"/>
                <w:lang w:bidi="ar"/>
              </w:rPr>
              <w:t>2020-2024</w:t>
            </w:r>
          </w:p>
        </w:tc>
        <w:tc>
          <w:tcPr>
            <w:tcW w:w="995" w:type="dxa"/>
            <w:vAlign w:val="center"/>
          </w:tcPr>
          <w:p>
            <w:pPr>
              <w:widowControl/>
              <w:jc w:val="center"/>
              <w:textAlignment w:val="center"/>
              <w:rPr>
                <w:sz w:val="24"/>
              </w:rPr>
            </w:pPr>
            <w:r>
              <w:rPr>
                <w:kern w:val="0"/>
                <w:sz w:val="24"/>
                <w:lang w:bidi="ar"/>
              </w:rPr>
              <w:t>9.25</w:t>
            </w:r>
          </w:p>
        </w:tc>
        <w:tc>
          <w:tcPr>
            <w:tcW w:w="1498" w:type="dxa"/>
            <w:vAlign w:val="center"/>
          </w:tcPr>
          <w:p>
            <w:pPr>
              <w:widowControl/>
              <w:jc w:val="center"/>
              <w:textAlignment w:val="center"/>
              <w:rPr>
                <w:sz w:val="24"/>
              </w:rPr>
            </w:pPr>
            <w:r>
              <w:rPr>
                <w:kern w:val="0"/>
                <w:sz w:val="24"/>
                <w:lang w:bidi="ar"/>
              </w:rPr>
              <w:t>金华智园置业有限公司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212" w:hRule="atLeast"/>
          <w:jc w:val="center"/>
        </w:trPr>
        <w:tc>
          <w:tcPr>
            <w:tcW w:w="498" w:type="dxa"/>
            <w:vAlign w:val="center"/>
          </w:tcPr>
          <w:p>
            <w:pPr>
              <w:jc w:val="center"/>
              <w:rPr>
                <w:sz w:val="24"/>
              </w:rPr>
            </w:pPr>
            <w:r>
              <w:rPr>
                <w:sz w:val="24"/>
              </w:rPr>
              <w:t>58</w:t>
            </w:r>
          </w:p>
        </w:tc>
        <w:tc>
          <w:tcPr>
            <w:tcW w:w="789" w:type="dxa"/>
            <w:vAlign w:val="center"/>
          </w:tcPr>
          <w:p>
            <w:pPr>
              <w:jc w:val="center"/>
              <w:rPr>
                <w:sz w:val="24"/>
              </w:rPr>
            </w:pPr>
            <w:r>
              <w:rPr>
                <w:sz w:val="24"/>
              </w:rPr>
              <w:t>金华</w:t>
            </w:r>
          </w:p>
        </w:tc>
        <w:tc>
          <w:tcPr>
            <w:tcW w:w="3193" w:type="dxa"/>
            <w:vAlign w:val="center"/>
          </w:tcPr>
          <w:p>
            <w:pPr>
              <w:widowControl/>
              <w:textAlignment w:val="center"/>
              <w:rPr>
                <w:sz w:val="24"/>
              </w:rPr>
            </w:pPr>
            <w:r>
              <w:rPr>
                <w:kern w:val="0"/>
                <w:sz w:val="24"/>
                <w:lang w:bidi="ar"/>
              </w:rPr>
              <w:t>金华信息经济产业园项目</w:t>
            </w:r>
          </w:p>
        </w:tc>
        <w:tc>
          <w:tcPr>
            <w:tcW w:w="4851" w:type="dxa"/>
            <w:vAlign w:val="center"/>
          </w:tcPr>
          <w:p>
            <w:pPr>
              <w:widowControl/>
              <w:textAlignment w:val="center"/>
              <w:rPr>
                <w:sz w:val="24"/>
              </w:rPr>
            </w:pPr>
            <w:r>
              <w:rPr>
                <w:kern w:val="0"/>
                <w:sz w:val="24"/>
                <w:lang w:bidi="ar"/>
              </w:rPr>
              <w:t>新建商业商务楼，占地面积135578平方米，地上建筑面积501638.6平方米</w:t>
            </w:r>
          </w:p>
        </w:tc>
        <w:tc>
          <w:tcPr>
            <w:tcW w:w="1264" w:type="dxa"/>
            <w:vAlign w:val="center"/>
          </w:tcPr>
          <w:p>
            <w:pPr>
              <w:widowControl/>
              <w:jc w:val="center"/>
              <w:textAlignment w:val="center"/>
              <w:rPr>
                <w:sz w:val="24"/>
              </w:rPr>
            </w:pPr>
            <w:r>
              <w:rPr>
                <w:kern w:val="0"/>
                <w:sz w:val="24"/>
                <w:lang w:bidi="ar"/>
              </w:rPr>
              <w:t>2016-2024</w:t>
            </w:r>
          </w:p>
        </w:tc>
        <w:tc>
          <w:tcPr>
            <w:tcW w:w="995" w:type="dxa"/>
            <w:vAlign w:val="center"/>
          </w:tcPr>
          <w:p>
            <w:pPr>
              <w:widowControl/>
              <w:jc w:val="center"/>
              <w:textAlignment w:val="center"/>
              <w:rPr>
                <w:sz w:val="24"/>
              </w:rPr>
            </w:pPr>
            <w:r>
              <w:rPr>
                <w:kern w:val="0"/>
                <w:sz w:val="24"/>
                <w:lang w:bidi="ar"/>
              </w:rPr>
              <w:t>50</w:t>
            </w:r>
          </w:p>
        </w:tc>
        <w:tc>
          <w:tcPr>
            <w:tcW w:w="1498" w:type="dxa"/>
            <w:vAlign w:val="center"/>
          </w:tcPr>
          <w:p>
            <w:pPr>
              <w:widowControl/>
              <w:jc w:val="center"/>
              <w:textAlignment w:val="center"/>
              <w:rPr>
                <w:sz w:val="24"/>
              </w:rPr>
            </w:pPr>
            <w:r>
              <w:rPr>
                <w:kern w:val="0"/>
                <w:sz w:val="24"/>
                <w:lang w:bidi="ar"/>
              </w:rPr>
              <w:t>金华智科信息经济产业园开发有限公司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820" w:hRule="atLeast"/>
          <w:jc w:val="center"/>
        </w:trPr>
        <w:tc>
          <w:tcPr>
            <w:tcW w:w="498" w:type="dxa"/>
            <w:vAlign w:val="center"/>
          </w:tcPr>
          <w:p>
            <w:pPr>
              <w:jc w:val="center"/>
              <w:rPr>
                <w:sz w:val="24"/>
              </w:rPr>
            </w:pPr>
            <w:r>
              <w:rPr>
                <w:sz w:val="24"/>
              </w:rPr>
              <w:t>59</w:t>
            </w:r>
          </w:p>
        </w:tc>
        <w:tc>
          <w:tcPr>
            <w:tcW w:w="789" w:type="dxa"/>
            <w:vAlign w:val="center"/>
          </w:tcPr>
          <w:p>
            <w:pPr>
              <w:jc w:val="center"/>
              <w:rPr>
                <w:sz w:val="24"/>
              </w:rPr>
            </w:pPr>
            <w:r>
              <w:rPr>
                <w:sz w:val="24"/>
              </w:rPr>
              <w:t>金华</w:t>
            </w:r>
          </w:p>
        </w:tc>
        <w:tc>
          <w:tcPr>
            <w:tcW w:w="3193" w:type="dxa"/>
            <w:vAlign w:val="center"/>
          </w:tcPr>
          <w:p>
            <w:pPr>
              <w:widowControl/>
              <w:textAlignment w:val="center"/>
              <w:rPr>
                <w:sz w:val="24"/>
              </w:rPr>
            </w:pPr>
            <w:r>
              <w:rPr>
                <w:kern w:val="0"/>
                <w:sz w:val="24"/>
                <w:lang w:bidi="ar"/>
              </w:rPr>
              <w:t>解放街重建地块</w:t>
            </w:r>
          </w:p>
        </w:tc>
        <w:tc>
          <w:tcPr>
            <w:tcW w:w="4851" w:type="dxa"/>
            <w:vAlign w:val="center"/>
          </w:tcPr>
          <w:p>
            <w:pPr>
              <w:widowControl/>
              <w:textAlignment w:val="center"/>
              <w:rPr>
                <w:sz w:val="24"/>
              </w:rPr>
            </w:pPr>
            <w:r>
              <w:rPr>
                <w:kern w:val="0"/>
                <w:sz w:val="24"/>
                <w:lang w:bidi="ar"/>
              </w:rPr>
              <w:t>地上MALL建筑4.5万平方米，地下商业1.8万平方米；配套地下停车场等2.7万平方米</w:t>
            </w:r>
          </w:p>
        </w:tc>
        <w:tc>
          <w:tcPr>
            <w:tcW w:w="1264" w:type="dxa"/>
            <w:vAlign w:val="center"/>
          </w:tcPr>
          <w:p>
            <w:pPr>
              <w:widowControl/>
              <w:jc w:val="center"/>
              <w:textAlignment w:val="center"/>
              <w:rPr>
                <w:sz w:val="24"/>
              </w:rPr>
            </w:pPr>
            <w:r>
              <w:rPr>
                <w:kern w:val="0"/>
                <w:sz w:val="24"/>
                <w:lang w:bidi="ar"/>
              </w:rPr>
              <w:t>2019-2021</w:t>
            </w:r>
          </w:p>
        </w:tc>
        <w:tc>
          <w:tcPr>
            <w:tcW w:w="995" w:type="dxa"/>
            <w:vAlign w:val="center"/>
          </w:tcPr>
          <w:p>
            <w:pPr>
              <w:widowControl/>
              <w:jc w:val="center"/>
              <w:textAlignment w:val="center"/>
              <w:rPr>
                <w:sz w:val="24"/>
              </w:rPr>
            </w:pPr>
            <w:r>
              <w:rPr>
                <w:kern w:val="0"/>
                <w:sz w:val="24"/>
                <w:lang w:bidi="ar"/>
              </w:rPr>
              <w:t>28.95</w:t>
            </w:r>
          </w:p>
        </w:tc>
        <w:tc>
          <w:tcPr>
            <w:tcW w:w="1498" w:type="dxa"/>
            <w:vAlign w:val="center"/>
          </w:tcPr>
          <w:p>
            <w:pPr>
              <w:widowControl/>
              <w:jc w:val="center"/>
              <w:textAlignment w:val="center"/>
              <w:rPr>
                <w:sz w:val="24"/>
              </w:rPr>
            </w:pPr>
            <w:r>
              <w:rPr>
                <w:kern w:val="0"/>
                <w:sz w:val="24"/>
                <w:lang w:bidi="ar"/>
              </w:rPr>
              <w:t>永康中梁宝龙置业有限公司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60</w:t>
            </w:r>
          </w:p>
        </w:tc>
        <w:tc>
          <w:tcPr>
            <w:tcW w:w="789" w:type="dxa"/>
            <w:vAlign w:val="center"/>
          </w:tcPr>
          <w:p>
            <w:pPr>
              <w:jc w:val="center"/>
              <w:rPr>
                <w:sz w:val="24"/>
              </w:rPr>
            </w:pPr>
            <w:r>
              <w:rPr>
                <w:sz w:val="24"/>
              </w:rPr>
              <w:t>金华</w:t>
            </w:r>
          </w:p>
        </w:tc>
        <w:tc>
          <w:tcPr>
            <w:tcW w:w="3193" w:type="dxa"/>
            <w:vAlign w:val="center"/>
          </w:tcPr>
          <w:p>
            <w:pPr>
              <w:widowControl/>
              <w:textAlignment w:val="center"/>
              <w:rPr>
                <w:sz w:val="24"/>
              </w:rPr>
            </w:pPr>
            <w:r>
              <w:rPr>
                <w:kern w:val="0"/>
                <w:sz w:val="24"/>
                <w:lang w:bidi="ar"/>
              </w:rPr>
              <w:t>永康市粮食储备中心</w:t>
            </w:r>
          </w:p>
        </w:tc>
        <w:tc>
          <w:tcPr>
            <w:tcW w:w="4851" w:type="dxa"/>
            <w:vAlign w:val="center"/>
          </w:tcPr>
          <w:p>
            <w:pPr>
              <w:widowControl/>
              <w:textAlignment w:val="center"/>
              <w:rPr>
                <w:sz w:val="24"/>
              </w:rPr>
            </w:pPr>
            <w:r>
              <w:rPr>
                <w:kern w:val="0"/>
                <w:sz w:val="24"/>
                <w:lang w:bidi="ar"/>
              </w:rPr>
              <w:t>储备仓库6万吨，食用油脂库300吨，烘干中心一座及相关辅助用房</w:t>
            </w:r>
          </w:p>
        </w:tc>
        <w:tc>
          <w:tcPr>
            <w:tcW w:w="1264" w:type="dxa"/>
            <w:vAlign w:val="center"/>
          </w:tcPr>
          <w:p>
            <w:pPr>
              <w:widowControl/>
              <w:jc w:val="center"/>
              <w:textAlignment w:val="center"/>
              <w:rPr>
                <w:sz w:val="24"/>
              </w:rPr>
            </w:pPr>
            <w:r>
              <w:rPr>
                <w:kern w:val="0"/>
                <w:sz w:val="24"/>
                <w:lang w:bidi="ar"/>
              </w:rPr>
              <w:t>2019-2021</w:t>
            </w:r>
          </w:p>
        </w:tc>
        <w:tc>
          <w:tcPr>
            <w:tcW w:w="995" w:type="dxa"/>
            <w:vAlign w:val="center"/>
          </w:tcPr>
          <w:p>
            <w:pPr>
              <w:widowControl/>
              <w:jc w:val="center"/>
              <w:textAlignment w:val="center"/>
              <w:rPr>
                <w:sz w:val="24"/>
              </w:rPr>
            </w:pPr>
            <w:r>
              <w:rPr>
                <w:kern w:val="0"/>
                <w:sz w:val="24"/>
                <w:lang w:bidi="ar"/>
              </w:rPr>
              <w:t>1.95</w:t>
            </w:r>
          </w:p>
        </w:tc>
        <w:tc>
          <w:tcPr>
            <w:tcW w:w="1498" w:type="dxa"/>
            <w:vAlign w:val="center"/>
          </w:tcPr>
          <w:p>
            <w:pPr>
              <w:widowControl/>
              <w:jc w:val="center"/>
              <w:textAlignment w:val="center"/>
              <w:rPr>
                <w:sz w:val="24"/>
              </w:rPr>
            </w:pPr>
            <w:r>
              <w:rPr>
                <w:kern w:val="0"/>
                <w:sz w:val="24"/>
                <w:lang w:bidi="ar"/>
              </w:rPr>
              <w:t>收储公司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085" w:hRule="atLeast"/>
          <w:jc w:val="center"/>
        </w:trPr>
        <w:tc>
          <w:tcPr>
            <w:tcW w:w="498" w:type="dxa"/>
            <w:vAlign w:val="center"/>
          </w:tcPr>
          <w:p>
            <w:pPr>
              <w:jc w:val="center"/>
              <w:rPr>
                <w:sz w:val="24"/>
              </w:rPr>
            </w:pPr>
            <w:r>
              <w:rPr>
                <w:sz w:val="24"/>
              </w:rPr>
              <w:t>61</w:t>
            </w:r>
          </w:p>
        </w:tc>
        <w:tc>
          <w:tcPr>
            <w:tcW w:w="789" w:type="dxa"/>
            <w:vAlign w:val="center"/>
          </w:tcPr>
          <w:p>
            <w:pPr>
              <w:jc w:val="center"/>
              <w:rPr>
                <w:sz w:val="24"/>
              </w:rPr>
            </w:pPr>
            <w:r>
              <w:rPr>
                <w:sz w:val="24"/>
              </w:rPr>
              <w:t>金华</w:t>
            </w:r>
          </w:p>
        </w:tc>
        <w:tc>
          <w:tcPr>
            <w:tcW w:w="3193" w:type="dxa"/>
            <w:vAlign w:val="center"/>
          </w:tcPr>
          <w:p>
            <w:pPr>
              <w:widowControl/>
              <w:textAlignment w:val="center"/>
              <w:rPr>
                <w:sz w:val="24"/>
              </w:rPr>
            </w:pPr>
            <w:r>
              <w:rPr>
                <w:kern w:val="0"/>
                <w:sz w:val="24"/>
                <w:lang w:bidi="ar"/>
              </w:rPr>
              <w:t>永康一方万达广场项目</w:t>
            </w:r>
          </w:p>
        </w:tc>
        <w:tc>
          <w:tcPr>
            <w:tcW w:w="4851" w:type="dxa"/>
            <w:vAlign w:val="center"/>
          </w:tcPr>
          <w:p>
            <w:pPr>
              <w:widowControl/>
              <w:textAlignment w:val="center"/>
              <w:rPr>
                <w:sz w:val="24"/>
              </w:rPr>
            </w:pPr>
            <w:r>
              <w:rPr>
                <w:kern w:val="0"/>
                <w:sz w:val="24"/>
                <w:lang w:bidi="ar"/>
              </w:rPr>
              <w:t>商贸综合体</w:t>
            </w:r>
          </w:p>
        </w:tc>
        <w:tc>
          <w:tcPr>
            <w:tcW w:w="1264" w:type="dxa"/>
            <w:vAlign w:val="center"/>
          </w:tcPr>
          <w:p>
            <w:pPr>
              <w:widowControl/>
              <w:jc w:val="center"/>
              <w:textAlignment w:val="center"/>
              <w:rPr>
                <w:sz w:val="24"/>
              </w:rPr>
            </w:pPr>
            <w:r>
              <w:rPr>
                <w:kern w:val="0"/>
                <w:sz w:val="24"/>
                <w:lang w:bidi="ar"/>
              </w:rPr>
              <w:t>2020-2022</w:t>
            </w:r>
          </w:p>
        </w:tc>
        <w:tc>
          <w:tcPr>
            <w:tcW w:w="995" w:type="dxa"/>
            <w:vAlign w:val="center"/>
          </w:tcPr>
          <w:p>
            <w:pPr>
              <w:widowControl/>
              <w:jc w:val="center"/>
              <w:textAlignment w:val="center"/>
              <w:rPr>
                <w:sz w:val="24"/>
              </w:rPr>
            </w:pPr>
            <w:r>
              <w:rPr>
                <w:kern w:val="0"/>
                <w:sz w:val="24"/>
                <w:lang w:bidi="ar"/>
              </w:rPr>
              <w:t>17.5</w:t>
            </w:r>
          </w:p>
        </w:tc>
        <w:tc>
          <w:tcPr>
            <w:tcW w:w="1498" w:type="dxa"/>
            <w:vAlign w:val="center"/>
          </w:tcPr>
          <w:p>
            <w:pPr>
              <w:widowControl/>
              <w:jc w:val="center"/>
              <w:textAlignment w:val="center"/>
              <w:rPr>
                <w:sz w:val="24"/>
              </w:rPr>
            </w:pPr>
            <w:r>
              <w:rPr>
                <w:kern w:val="0"/>
                <w:sz w:val="24"/>
                <w:lang w:bidi="ar"/>
              </w:rPr>
              <w:t>浙江荣城房地产开发有限公司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62</w:t>
            </w:r>
          </w:p>
        </w:tc>
        <w:tc>
          <w:tcPr>
            <w:tcW w:w="789" w:type="dxa"/>
            <w:vAlign w:val="center"/>
          </w:tcPr>
          <w:p>
            <w:pPr>
              <w:jc w:val="center"/>
              <w:rPr>
                <w:sz w:val="24"/>
              </w:rPr>
            </w:pPr>
            <w:r>
              <w:rPr>
                <w:sz w:val="24"/>
              </w:rPr>
              <w:t>金华</w:t>
            </w:r>
          </w:p>
        </w:tc>
        <w:tc>
          <w:tcPr>
            <w:tcW w:w="3193" w:type="dxa"/>
            <w:vAlign w:val="center"/>
          </w:tcPr>
          <w:p>
            <w:pPr>
              <w:widowControl/>
              <w:textAlignment w:val="center"/>
              <w:rPr>
                <w:sz w:val="24"/>
              </w:rPr>
            </w:pPr>
            <w:r>
              <w:rPr>
                <w:kern w:val="0"/>
                <w:sz w:val="24"/>
                <w:lang w:bidi="ar"/>
              </w:rPr>
              <w:t>永康古山小城市培育试点综合开发一期项目-紫金广场</w:t>
            </w:r>
          </w:p>
        </w:tc>
        <w:tc>
          <w:tcPr>
            <w:tcW w:w="4851" w:type="dxa"/>
            <w:vAlign w:val="center"/>
          </w:tcPr>
          <w:p>
            <w:pPr>
              <w:widowControl/>
              <w:textAlignment w:val="center"/>
              <w:rPr>
                <w:sz w:val="24"/>
              </w:rPr>
            </w:pPr>
            <w:r>
              <w:rPr>
                <w:kern w:val="0"/>
                <w:sz w:val="24"/>
                <w:lang w:bidi="ar"/>
              </w:rPr>
              <w:t>紫金广场幢式街铺一二层商业部分</w:t>
            </w:r>
          </w:p>
        </w:tc>
        <w:tc>
          <w:tcPr>
            <w:tcW w:w="1264" w:type="dxa"/>
            <w:vAlign w:val="center"/>
          </w:tcPr>
          <w:p>
            <w:pPr>
              <w:widowControl/>
              <w:jc w:val="center"/>
              <w:textAlignment w:val="center"/>
              <w:rPr>
                <w:sz w:val="24"/>
              </w:rPr>
            </w:pPr>
            <w:r>
              <w:rPr>
                <w:kern w:val="0"/>
                <w:sz w:val="24"/>
                <w:lang w:bidi="ar"/>
              </w:rPr>
              <w:t>2018-2021</w:t>
            </w:r>
          </w:p>
        </w:tc>
        <w:tc>
          <w:tcPr>
            <w:tcW w:w="995" w:type="dxa"/>
            <w:vAlign w:val="center"/>
          </w:tcPr>
          <w:p>
            <w:pPr>
              <w:widowControl/>
              <w:jc w:val="center"/>
              <w:textAlignment w:val="center"/>
              <w:rPr>
                <w:sz w:val="24"/>
              </w:rPr>
            </w:pPr>
            <w:r>
              <w:rPr>
                <w:kern w:val="0"/>
                <w:sz w:val="24"/>
                <w:lang w:bidi="ar"/>
              </w:rPr>
              <w:t>1.8</w:t>
            </w:r>
          </w:p>
        </w:tc>
        <w:tc>
          <w:tcPr>
            <w:tcW w:w="1498" w:type="dxa"/>
            <w:vAlign w:val="center"/>
          </w:tcPr>
          <w:p>
            <w:pPr>
              <w:widowControl/>
              <w:jc w:val="center"/>
              <w:textAlignment w:val="center"/>
              <w:rPr>
                <w:sz w:val="24"/>
              </w:rPr>
            </w:pPr>
            <w:r>
              <w:rPr>
                <w:kern w:val="0"/>
                <w:sz w:val="24"/>
                <w:lang w:bidi="ar"/>
              </w:rPr>
              <w:t>永康市古山雅苑居住区</w:t>
            </w:r>
            <w:r>
              <w:rPr>
                <w:snapToGrid w:val="0"/>
                <w:spacing w:val="-8"/>
                <w:kern w:val="0"/>
                <w:sz w:val="24"/>
              </w:rPr>
              <w:t>建设有限公司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63</w:t>
            </w:r>
          </w:p>
        </w:tc>
        <w:tc>
          <w:tcPr>
            <w:tcW w:w="789" w:type="dxa"/>
            <w:vAlign w:val="center"/>
          </w:tcPr>
          <w:p>
            <w:pPr>
              <w:jc w:val="center"/>
              <w:rPr>
                <w:sz w:val="24"/>
              </w:rPr>
            </w:pPr>
            <w:r>
              <w:rPr>
                <w:sz w:val="24"/>
              </w:rPr>
              <w:t>金华</w:t>
            </w:r>
          </w:p>
        </w:tc>
        <w:tc>
          <w:tcPr>
            <w:tcW w:w="3193" w:type="dxa"/>
            <w:vAlign w:val="center"/>
          </w:tcPr>
          <w:p>
            <w:pPr>
              <w:widowControl/>
              <w:textAlignment w:val="center"/>
              <w:rPr>
                <w:sz w:val="24"/>
              </w:rPr>
            </w:pPr>
            <w:r>
              <w:rPr>
                <w:kern w:val="0"/>
                <w:sz w:val="24"/>
                <w:lang w:bidi="ar"/>
              </w:rPr>
              <w:t>永康市电子商务进农村综合示范项目</w:t>
            </w:r>
          </w:p>
        </w:tc>
        <w:tc>
          <w:tcPr>
            <w:tcW w:w="4851" w:type="dxa"/>
            <w:vAlign w:val="center"/>
          </w:tcPr>
          <w:p>
            <w:pPr>
              <w:widowControl/>
              <w:textAlignment w:val="center"/>
              <w:rPr>
                <w:sz w:val="24"/>
              </w:rPr>
            </w:pPr>
            <w:r>
              <w:rPr>
                <w:kern w:val="0"/>
                <w:sz w:val="24"/>
                <w:lang w:bidi="ar"/>
              </w:rPr>
              <w:t>优化农村电商上行体系、优化农村电商公共服务体系、优化农村电商基础设施建设、优化农村电商人才培训体系、深入推进电商扶贫工作</w:t>
            </w:r>
          </w:p>
        </w:tc>
        <w:tc>
          <w:tcPr>
            <w:tcW w:w="1264" w:type="dxa"/>
            <w:vAlign w:val="center"/>
          </w:tcPr>
          <w:p>
            <w:pPr>
              <w:jc w:val="center"/>
              <w:rPr>
                <w:sz w:val="24"/>
              </w:rPr>
            </w:pPr>
            <w:r>
              <w:rPr>
                <w:snapToGrid w:val="0"/>
                <w:spacing w:val="-8"/>
                <w:kern w:val="0"/>
                <w:sz w:val="24"/>
              </w:rPr>
              <w:t>2021年3月</w:t>
            </w:r>
          </w:p>
        </w:tc>
        <w:tc>
          <w:tcPr>
            <w:tcW w:w="995" w:type="dxa"/>
            <w:vAlign w:val="center"/>
          </w:tcPr>
          <w:p>
            <w:pPr>
              <w:widowControl/>
              <w:jc w:val="center"/>
              <w:textAlignment w:val="center"/>
              <w:rPr>
                <w:sz w:val="24"/>
              </w:rPr>
            </w:pPr>
            <w:r>
              <w:rPr>
                <w:kern w:val="0"/>
                <w:sz w:val="24"/>
                <w:lang w:bidi="ar"/>
              </w:rPr>
              <w:t>0.2</w:t>
            </w:r>
          </w:p>
        </w:tc>
        <w:tc>
          <w:tcPr>
            <w:tcW w:w="1498" w:type="dxa"/>
            <w:vAlign w:val="center"/>
          </w:tcPr>
          <w:p>
            <w:pPr>
              <w:jc w:val="center"/>
              <w:rPr>
                <w:sz w:val="24"/>
              </w:rPr>
            </w:pPr>
            <w:r>
              <w:rPr>
                <w:snapToGrid w:val="0"/>
                <w:spacing w:val="-8"/>
                <w:kern w:val="0"/>
                <w:sz w:val="24"/>
              </w:rPr>
              <w:t>永康市商务局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64</w:t>
            </w:r>
          </w:p>
        </w:tc>
        <w:tc>
          <w:tcPr>
            <w:tcW w:w="789" w:type="dxa"/>
            <w:vAlign w:val="center"/>
          </w:tcPr>
          <w:p>
            <w:pPr>
              <w:jc w:val="center"/>
              <w:rPr>
                <w:sz w:val="24"/>
              </w:rPr>
            </w:pPr>
            <w:r>
              <w:rPr>
                <w:sz w:val="24"/>
              </w:rPr>
              <w:t>金华</w:t>
            </w:r>
          </w:p>
        </w:tc>
        <w:tc>
          <w:tcPr>
            <w:tcW w:w="3193" w:type="dxa"/>
            <w:vAlign w:val="center"/>
          </w:tcPr>
          <w:p>
            <w:pPr>
              <w:widowControl/>
              <w:textAlignment w:val="center"/>
              <w:rPr>
                <w:sz w:val="24"/>
              </w:rPr>
            </w:pPr>
            <w:r>
              <w:rPr>
                <w:kern w:val="0"/>
                <w:sz w:val="24"/>
                <w:lang w:bidi="ar"/>
              </w:rPr>
              <w:t>义乌综合保税区</w:t>
            </w:r>
          </w:p>
        </w:tc>
        <w:tc>
          <w:tcPr>
            <w:tcW w:w="4851" w:type="dxa"/>
            <w:vAlign w:val="center"/>
          </w:tcPr>
          <w:p>
            <w:pPr>
              <w:widowControl/>
              <w:textAlignment w:val="center"/>
              <w:rPr>
                <w:sz w:val="24"/>
              </w:rPr>
            </w:pPr>
            <w:r>
              <w:rPr>
                <w:kern w:val="0"/>
                <w:sz w:val="24"/>
                <w:lang w:bidi="ar"/>
              </w:rPr>
              <w:t>主要由展示贸易区、物流区、保税监管区、保税加工区、配套服务区等五个功能区组成，规划建设保税区、创新创业区、智慧物流区、空港经济区和生活区，推动进口贸易、转口贸易等贸易方式发展</w:t>
            </w:r>
          </w:p>
        </w:tc>
        <w:tc>
          <w:tcPr>
            <w:tcW w:w="1264" w:type="dxa"/>
            <w:vAlign w:val="center"/>
          </w:tcPr>
          <w:p>
            <w:pPr>
              <w:widowControl/>
              <w:jc w:val="center"/>
              <w:textAlignment w:val="center"/>
              <w:rPr>
                <w:sz w:val="24"/>
              </w:rPr>
            </w:pPr>
            <w:r>
              <w:rPr>
                <w:kern w:val="0"/>
                <w:sz w:val="24"/>
                <w:lang w:bidi="ar"/>
              </w:rPr>
              <w:t>2020-2023</w:t>
            </w:r>
          </w:p>
        </w:tc>
        <w:tc>
          <w:tcPr>
            <w:tcW w:w="995" w:type="dxa"/>
            <w:vAlign w:val="center"/>
          </w:tcPr>
          <w:p>
            <w:pPr>
              <w:widowControl/>
              <w:jc w:val="center"/>
              <w:textAlignment w:val="center"/>
              <w:rPr>
                <w:sz w:val="24"/>
              </w:rPr>
            </w:pPr>
            <w:r>
              <w:rPr>
                <w:kern w:val="0"/>
                <w:sz w:val="24"/>
                <w:lang w:bidi="ar"/>
              </w:rPr>
              <w:t>50</w:t>
            </w:r>
          </w:p>
        </w:tc>
        <w:tc>
          <w:tcPr>
            <w:tcW w:w="1498" w:type="dxa"/>
            <w:vAlign w:val="center"/>
          </w:tcPr>
          <w:p>
            <w:pPr>
              <w:widowControl/>
              <w:jc w:val="center"/>
              <w:textAlignment w:val="center"/>
              <w:rPr>
                <w:sz w:val="24"/>
              </w:rPr>
            </w:pPr>
            <w:r>
              <w:rPr>
                <w:kern w:val="0"/>
                <w:sz w:val="24"/>
                <w:lang w:bidi="ar"/>
              </w:rPr>
              <w:t>义乌市商贸</w:t>
            </w:r>
            <w:r>
              <w:rPr>
                <w:snapToGrid w:val="0"/>
                <w:spacing w:val="-8"/>
                <w:kern w:val="0"/>
                <w:sz w:val="24"/>
              </w:rPr>
              <w:t>集聚区管委会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65</w:t>
            </w:r>
          </w:p>
        </w:tc>
        <w:tc>
          <w:tcPr>
            <w:tcW w:w="789" w:type="dxa"/>
            <w:vAlign w:val="center"/>
          </w:tcPr>
          <w:p>
            <w:pPr>
              <w:jc w:val="center"/>
              <w:rPr>
                <w:sz w:val="24"/>
              </w:rPr>
            </w:pPr>
            <w:r>
              <w:rPr>
                <w:sz w:val="24"/>
              </w:rPr>
              <w:t>金华</w:t>
            </w:r>
          </w:p>
        </w:tc>
        <w:tc>
          <w:tcPr>
            <w:tcW w:w="3193" w:type="dxa"/>
            <w:vAlign w:val="center"/>
          </w:tcPr>
          <w:p>
            <w:pPr>
              <w:widowControl/>
              <w:textAlignment w:val="center"/>
              <w:rPr>
                <w:sz w:val="24"/>
              </w:rPr>
            </w:pPr>
            <w:r>
              <w:rPr>
                <w:kern w:val="0"/>
                <w:sz w:val="24"/>
                <w:lang w:bidi="ar"/>
              </w:rPr>
              <w:t>东阳国际汽车城二期项目</w:t>
            </w:r>
          </w:p>
        </w:tc>
        <w:tc>
          <w:tcPr>
            <w:tcW w:w="4851" w:type="dxa"/>
            <w:vAlign w:val="center"/>
          </w:tcPr>
          <w:p>
            <w:pPr>
              <w:widowControl/>
              <w:textAlignment w:val="center"/>
              <w:rPr>
                <w:sz w:val="24"/>
              </w:rPr>
            </w:pPr>
            <w:r>
              <w:rPr>
                <w:kern w:val="0"/>
                <w:sz w:val="24"/>
                <w:lang w:bidi="ar"/>
              </w:rPr>
              <w:t>与一期市场共同构建一个室内二手车交易中心、各类新车交易展示中心及汽车文化、美容、维修、检测认证等功能为一体的汽车城市综合体</w:t>
            </w:r>
          </w:p>
        </w:tc>
        <w:tc>
          <w:tcPr>
            <w:tcW w:w="1264" w:type="dxa"/>
            <w:vAlign w:val="center"/>
          </w:tcPr>
          <w:p>
            <w:pPr>
              <w:widowControl/>
              <w:jc w:val="center"/>
              <w:textAlignment w:val="center"/>
              <w:rPr>
                <w:sz w:val="24"/>
              </w:rPr>
            </w:pPr>
            <w:r>
              <w:rPr>
                <w:kern w:val="0"/>
                <w:sz w:val="24"/>
                <w:lang w:bidi="ar"/>
              </w:rPr>
              <w:t>2020-2025</w:t>
            </w:r>
          </w:p>
        </w:tc>
        <w:tc>
          <w:tcPr>
            <w:tcW w:w="995" w:type="dxa"/>
            <w:vAlign w:val="center"/>
          </w:tcPr>
          <w:p>
            <w:pPr>
              <w:widowControl/>
              <w:jc w:val="center"/>
              <w:textAlignment w:val="center"/>
              <w:rPr>
                <w:sz w:val="24"/>
              </w:rPr>
            </w:pPr>
            <w:r>
              <w:rPr>
                <w:kern w:val="0"/>
                <w:sz w:val="24"/>
                <w:lang w:bidi="ar"/>
              </w:rPr>
              <w:t>7</w:t>
            </w:r>
          </w:p>
        </w:tc>
        <w:tc>
          <w:tcPr>
            <w:tcW w:w="1498" w:type="dxa"/>
            <w:vAlign w:val="center"/>
          </w:tcPr>
          <w:p>
            <w:pPr>
              <w:widowControl/>
              <w:jc w:val="center"/>
              <w:textAlignment w:val="center"/>
              <w:rPr>
                <w:sz w:val="24"/>
              </w:rPr>
            </w:pPr>
            <w:r>
              <w:rPr>
                <w:kern w:val="0"/>
                <w:sz w:val="24"/>
                <w:lang w:bidi="ar"/>
              </w:rPr>
              <w:t>东阳市中汽</w:t>
            </w:r>
            <w:r>
              <w:rPr>
                <w:snapToGrid w:val="0"/>
                <w:spacing w:val="-8"/>
                <w:kern w:val="0"/>
                <w:sz w:val="24"/>
              </w:rPr>
              <w:t>置业有限公司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407" w:hRule="atLeast"/>
          <w:jc w:val="center"/>
        </w:trPr>
        <w:tc>
          <w:tcPr>
            <w:tcW w:w="498" w:type="dxa"/>
            <w:vAlign w:val="center"/>
          </w:tcPr>
          <w:p>
            <w:pPr>
              <w:jc w:val="center"/>
              <w:rPr>
                <w:sz w:val="24"/>
              </w:rPr>
            </w:pPr>
            <w:r>
              <w:rPr>
                <w:sz w:val="24"/>
              </w:rPr>
              <w:t>66</w:t>
            </w:r>
          </w:p>
        </w:tc>
        <w:tc>
          <w:tcPr>
            <w:tcW w:w="789" w:type="dxa"/>
            <w:vAlign w:val="center"/>
          </w:tcPr>
          <w:p>
            <w:pPr>
              <w:jc w:val="center"/>
              <w:rPr>
                <w:sz w:val="24"/>
              </w:rPr>
            </w:pPr>
            <w:r>
              <w:rPr>
                <w:sz w:val="24"/>
              </w:rPr>
              <w:t>金华</w:t>
            </w:r>
          </w:p>
        </w:tc>
        <w:tc>
          <w:tcPr>
            <w:tcW w:w="3193" w:type="dxa"/>
            <w:vAlign w:val="center"/>
          </w:tcPr>
          <w:p>
            <w:pPr>
              <w:widowControl/>
              <w:textAlignment w:val="center"/>
              <w:rPr>
                <w:sz w:val="24"/>
              </w:rPr>
            </w:pPr>
            <w:r>
              <w:rPr>
                <w:kern w:val="0"/>
                <w:sz w:val="24"/>
                <w:lang w:bidi="ar"/>
              </w:rPr>
              <w:t>巍山新天地商业综合体项目</w:t>
            </w:r>
          </w:p>
        </w:tc>
        <w:tc>
          <w:tcPr>
            <w:tcW w:w="4851" w:type="dxa"/>
            <w:vAlign w:val="center"/>
          </w:tcPr>
          <w:p>
            <w:pPr>
              <w:widowControl/>
              <w:textAlignment w:val="center"/>
              <w:rPr>
                <w:sz w:val="24"/>
              </w:rPr>
            </w:pPr>
            <w:r>
              <w:rPr>
                <w:kern w:val="0"/>
                <w:sz w:val="24"/>
                <w:lang w:bidi="ar"/>
              </w:rPr>
              <w:t>集休闲商业、酒店、综合体商业、大型超市、电玩、电影院线、百桌宴会厅、住宅等一站式服务的城市综合体</w:t>
            </w:r>
          </w:p>
        </w:tc>
        <w:tc>
          <w:tcPr>
            <w:tcW w:w="1264" w:type="dxa"/>
            <w:vAlign w:val="center"/>
          </w:tcPr>
          <w:p>
            <w:pPr>
              <w:widowControl/>
              <w:jc w:val="center"/>
              <w:textAlignment w:val="center"/>
              <w:rPr>
                <w:sz w:val="24"/>
              </w:rPr>
            </w:pPr>
            <w:r>
              <w:rPr>
                <w:kern w:val="0"/>
                <w:sz w:val="24"/>
                <w:lang w:bidi="ar"/>
              </w:rPr>
              <w:t>2019-2022</w:t>
            </w:r>
          </w:p>
        </w:tc>
        <w:tc>
          <w:tcPr>
            <w:tcW w:w="995" w:type="dxa"/>
            <w:vAlign w:val="center"/>
          </w:tcPr>
          <w:p>
            <w:pPr>
              <w:widowControl/>
              <w:jc w:val="center"/>
              <w:textAlignment w:val="center"/>
              <w:rPr>
                <w:sz w:val="24"/>
              </w:rPr>
            </w:pPr>
            <w:r>
              <w:rPr>
                <w:kern w:val="0"/>
                <w:sz w:val="24"/>
                <w:lang w:bidi="ar"/>
              </w:rPr>
              <w:t>8.5</w:t>
            </w:r>
          </w:p>
        </w:tc>
        <w:tc>
          <w:tcPr>
            <w:tcW w:w="1498" w:type="dxa"/>
            <w:vAlign w:val="center"/>
          </w:tcPr>
          <w:p>
            <w:pPr>
              <w:widowControl/>
              <w:jc w:val="center"/>
              <w:textAlignment w:val="center"/>
              <w:rPr>
                <w:sz w:val="24"/>
              </w:rPr>
            </w:pPr>
            <w:r>
              <w:rPr>
                <w:kern w:val="0"/>
                <w:sz w:val="24"/>
                <w:lang w:bidi="ar"/>
              </w:rPr>
              <w:t>浙江东阳金源新天地房地产开发有限公司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3293" w:hRule="atLeast"/>
          <w:jc w:val="center"/>
        </w:trPr>
        <w:tc>
          <w:tcPr>
            <w:tcW w:w="498" w:type="dxa"/>
            <w:vAlign w:val="center"/>
          </w:tcPr>
          <w:p>
            <w:pPr>
              <w:jc w:val="center"/>
              <w:rPr>
                <w:sz w:val="24"/>
              </w:rPr>
            </w:pPr>
            <w:r>
              <w:rPr>
                <w:sz w:val="24"/>
              </w:rPr>
              <w:t>67</w:t>
            </w:r>
          </w:p>
        </w:tc>
        <w:tc>
          <w:tcPr>
            <w:tcW w:w="789" w:type="dxa"/>
            <w:vAlign w:val="center"/>
          </w:tcPr>
          <w:p>
            <w:pPr>
              <w:jc w:val="center"/>
              <w:rPr>
                <w:sz w:val="24"/>
              </w:rPr>
            </w:pPr>
            <w:r>
              <w:rPr>
                <w:sz w:val="24"/>
              </w:rPr>
              <w:t>金华</w:t>
            </w:r>
          </w:p>
        </w:tc>
        <w:tc>
          <w:tcPr>
            <w:tcW w:w="3193" w:type="dxa"/>
            <w:vAlign w:val="center"/>
          </w:tcPr>
          <w:p>
            <w:pPr>
              <w:widowControl/>
              <w:textAlignment w:val="center"/>
              <w:rPr>
                <w:sz w:val="24"/>
              </w:rPr>
            </w:pPr>
            <w:r>
              <w:rPr>
                <w:kern w:val="0"/>
                <w:sz w:val="24"/>
                <w:lang w:bidi="ar"/>
              </w:rPr>
              <w:t>浦江县电子商务进农村综合示范工作</w:t>
            </w:r>
          </w:p>
        </w:tc>
        <w:tc>
          <w:tcPr>
            <w:tcW w:w="4851" w:type="dxa"/>
            <w:vAlign w:val="center"/>
          </w:tcPr>
          <w:p>
            <w:pPr>
              <w:widowControl/>
              <w:textAlignment w:val="center"/>
              <w:rPr>
                <w:sz w:val="24"/>
              </w:rPr>
            </w:pPr>
            <w:r>
              <w:rPr>
                <w:kern w:val="0"/>
                <w:sz w:val="24"/>
                <w:lang w:bidi="ar"/>
              </w:rPr>
              <w:t>积极开展电子商务进农村综合示范工作，以实现乡村振兴建设为重点，以电子商务发展与农业经济深度融合为主线，以提升经济农村地区发展质量和效益为核心，以国家电子商务进农村综合示范创建为抓手，聚焦“七大体系”（物流配送体系、公共服务体系、双向流通体系、培训体系、市场运营体系、产业集聚体系和脱贫帮扶体系），构建市场化、可持续的农村电商发展生态，进一步激发农村电商发展活力，助力脱贫攻坚和乡村振兴</w:t>
            </w:r>
          </w:p>
        </w:tc>
        <w:tc>
          <w:tcPr>
            <w:tcW w:w="1264" w:type="dxa"/>
            <w:vAlign w:val="center"/>
          </w:tcPr>
          <w:p>
            <w:pPr>
              <w:widowControl/>
              <w:jc w:val="center"/>
              <w:textAlignment w:val="center"/>
              <w:rPr>
                <w:sz w:val="24"/>
              </w:rPr>
            </w:pPr>
            <w:r>
              <w:rPr>
                <w:kern w:val="0"/>
                <w:sz w:val="24"/>
                <w:lang w:bidi="ar"/>
              </w:rPr>
              <w:t>2020-2022</w:t>
            </w:r>
          </w:p>
        </w:tc>
        <w:tc>
          <w:tcPr>
            <w:tcW w:w="995" w:type="dxa"/>
            <w:vAlign w:val="center"/>
          </w:tcPr>
          <w:p>
            <w:pPr>
              <w:widowControl/>
              <w:jc w:val="center"/>
              <w:textAlignment w:val="center"/>
              <w:rPr>
                <w:sz w:val="24"/>
              </w:rPr>
            </w:pPr>
            <w:r>
              <w:rPr>
                <w:kern w:val="0"/>
                <w:sz w:val="24"/>
                <w:lang w:bidi="ar"/>
              </w:rPr>
              <w:t>0.2</w:t>
            </w:r>
          </w:p>
        </w:tc>
        <w:tc>
          <w:tcPr>
            <w:tcW w:w="1498" w:type="dxa"/>
            <w:vAlign w:val="center"/>
          </w:tcPr>
          <w:p>
            <w:pPr>
              <w:widowControl/>
              <w:jc w:val="center"/>
              <w:textAlignment w:val="center"/>
              <w:rPr>
                <w:sz w:val="24"/>
              </w:rPr>
            </w:pPr>
            <w:r>
              <w:rPr>
                <w:kern w:val="0"/>
                <w:sz w:val="24"/>
                <w:lang w:bidi="ar"/>
              </w:rPr>
              <w:t>浦江县经济商务局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2120" w:hRule="atLeast"/>
          <w:jc w:val="center"/>
        </w:trPr>
        <w:tc>
          <w:tcPr>
            <w:tcW w:w="498" w:type="dxa"/>
            <w:vAlign w:val="center"/>
          </w:tcPr>
          <w:p>
            <w:pPr>
              <w:jc w:val="center"/>
              <w:rPr>
                <w:sz w:val="24"/>
              </w:rPr>
            </w:pPr>
            <w:r>
              <w:rPr>
                <w:sz w:val="24"/>
              </w:rPr>
              <w:t>68</w:t>
            </w:r>
          </w:p>
        </w:tc>
        <w:tc>
          <w:tcPr>
            <w:tcW w:w="789" w:type="dxa"/>
            <w:vAlign w:val="center"/>
          </w:tcPr>
          <w:p>
            <w:pPr>
              <w:jc w:val="center"/>
              <w:rPr>
                <w:sz w:val="24"/>
              </w:rPr>
            </w:pPr>
            <w:r>
              <w:rPr>
                <w:sz w:val="24"/>
              </w:rPr>
              <w:t>金华</w:t>
            </w:r>
          </w:p>
        </w:tc>
        <w:tc>
          <w:tcPr>
            <w:tcW w:w="3193" w:type="dxa"/>
            <w:vAlign w:val="center"/>
          </w:tcPr>
          <w:p>
            <w:pPr>
              <w:widowControl/>
              <w:textAlignment w:val="center"/>
              <w:rPr>
                <w:sz w:val="24"/>
              </w:rPr>
            </w:pPr>
            <w:r>
              <w:rPr>
                <w:kern w:val="0"/>
                <w:sz w:val="24"/>
                <w:lang w:bidi="ar"/>
              </w:rPr>
              <w:t>万泰公园大道购物广场</w:t>
            </w:r>
          </w:p>
        </w:tc>
        <w:tc>
          <w:tcPr>
            <w:tcW w:w="4851" w:type="dxa"/>
            <w:vAlign w:val="center"/>
          </w:tcPr>
          <w:p>
            <w:pPr>
              <w:widowControl/>
              <w:textAlignment w:val="center"/>
              <w:rPr>
                <w:sz w:val="24"/>
              </w:rPr>
            </w:pPr>
            <w:r>
              <w:rPr>
                <w:kern w:val="0"/>
                <w:sz w:val="24"/>
                <w:lang w:bidi="ar"/>
              </w:rPr>
              <w:t>项目一期用地面积123亩，改造面积18.8万</w:t>
            </w:r>
            <w:r>
              <w:rPr>
                <w:rFonts w:hint="eastAsia"/>
                <w:kern w:val="0"/>
                <w:sz w:val="24"/>
                <w:lang w:bidi="ar"/>
              </w:rPr>
              <w:t>平方米</w:t>
            </w:r>
            <w:r>
              <w:rPr>
                <w:kern w:val="0"/>
                <w:sz w:val="24"/>
                <w:lang w:bidi="ar"/>
              </w:rPr>
              <w:t>，投资4.0亿元，项目建设周期为2019—2020年，包括海立方海洋公园、物美超市等。项目二期用地面积115亩，总建筑面积19.5万</w:t>
            </w:r>
            <w:r>
              <w:rPr>
                <w:rFonts w:hint="eastAsia"/>
                <w:kern w:val="0"/>
                <w:sz w:val="24"/>
                <w:lang w:bidi="ar"/>
              </w:rPr>
              <w:t>平方米</w:t>
            </w:r>
            <w:r>
              <w:rPr>
                <w:kern w:val="0"/>
                <w:sz w:val="24"/>
                <w:lang w:bidi="ar"/>
              </w:rPr>
              <w:t>，投资4.5亿元，业态包括特色商业街、精品酒店式公寓、商务写字楼、城市养老公寓等项目</w:t>
            </w:r>
          </w:p>
        </w:tc>
        <w:tc>
          <w:tcPr>
            <w:tcW w:w="1264" w:type="dxa"/>
            <w:vAlign w:val="center"/>
          </w:tcPr>
          <w:p>
            <w:pPr>
              <w:widowControl/>
              <w:jc w:val="center"/>
              <w:textAlignment w:val="center"/>
              <w:rPr>
                <w:sz w:val="24"/>
              </w:rPr>
            </w:pPr>
            <w:r>
              <w:rPr>
                <w:kern w:val="0"/>
                <w:sz w:val="24"/>
                <w:lang w:bidi="ar"/>
              </w:rPr>
              <w:t>2019-2023</w:t>
            </w:r>
          </w:p>
        </w:tc>
        <w:tc>
          <w:tcPr>
            <w:tcW w:w="995" w:type="dxa"/>
            <w:vAlign w:val="center"/>
          </w:tcPr>
          <w:p>
            <w:pPr>
              <w:widowControl/>
              <w:jc w:val="center"/>
              <w:textAlignment w:val="center"/>
              <w:rPr>
                <w:sz w:val="24"/>
              </w:rPr>
            </w:pPr>
            <w:r>
              <w:rPr>
                <w:kern w:val="0"/>
                <w:sz w:val="24"/>
                <w:lang w:bidi="ar"/>
              </w:rPr>
              <w:t>8.5</w:t>
            </w:r>
          </w:p>
        </w:tc>
        <w:tc>
          <w:tcPr>
            <w:tcW w:w="1498" w:type="dxa"/>
            <w:vAlign w:val="center"/>
          </w:tcPr>
          <w:p>
            <w:pPr>
              <w:widowControl/>
              <w:jc w:val="center"/>
              <w:textAlignment w:val="center"/>
              <w:rPr>
                <w:sz w:val="24"/>
              </w:rPr>
            </w:pPr>
            <w:r>
              <w:rPr>
                <w:kern w:val="0"/>
                <w:sz w:val="24"/>
                <w:lang w:bidi="ar"/>
              </w:rPr>
              <w:t>万泰集团（金华）有限公司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071" w:hRule="atLeast"/>
          <w:jc w:val="center"/>
        </w:trPr>
        <w:tc>
          <w:tcPr>
            <w:tcW w:w="498" w:type="dxa"/>
            <w:vAlign w:val="center"/>
          </w:tcPr>
          <w:p>
            <w:pPr>
              <w:jc w:val="center"/>
              <w:rPr>
                <w:sz w:val="24"/>
              </w:rPr>
            </w:pPr>
            <w:r>
              <w:rPr>
                <w:sz w:val="24"/>
              </w:rPr>
              <w:t>69</w:t>
            </w:r>
          </w:p>
        </w:tc>
        <w:tc>
          <w:tcPr>
            <w:tcW w:w="789" w:type="dxa"/>
            <w:vAlign w:val="center"/>
          </w:tcPr>
          <w:p>
            <w:pPr>
              <w:jc w:val="center"/>
              <w:rPr>
                <w:sz w:val="24"/>
              </w:rPr>
            </w:pPr>
            <w:r>
              <w:rPr>
                <w:sz w:val="24"/>
              </w:rPr>
              <w:t>金华</w:t>
            </w:r>
          </w:p>
        </w:tc>
        <w:tc>
          <w:tcPr>
            <w:tcW w:w="3193" w:type="dxa"/>
            <w:vAlign w:val="center"/>
          </w:tcPr>
          <w:p>
            <w:pPr>
              <w:widowControl/>
              <w:textAlignment w:val="center"/>
              <w:rPr>
                <w:sz w:val="24"/>
              </w:rPr>
            </w:pPr>
            <w:r>
              <w:rPr>
                <w:kern w:val="0"/>
                <w:sz w:val="24"/>
                <w:lang w:bidi="ar"/>
              </w:rPr>
              <w:t>万固广场</w:t>
            </w:r>
          </w:p>
        </w:tc>
        <w:tc>
          <w:tcPr>
            <w:tcW w:w="4851" w:type="dxa"/>
            <w:vAlign w:val="center"/>
          </w:tcPr>
          <w:p>
            <w:pPr>
              <w:widowControl/>
              <w:textAlignment w:val="center"/>
              <w:rPr>
                <w:sz w:val="24"/>
              </w:rPr>
            </w:pPr>
            <w:r>
              <w:rPr>
                <w:kern w:val="0"/>
                <w:sz w:val="24"/>
                <w:lang w:bidi="ar"/>
              </w:rPr>
              <w:t>万固广场项目为商业综合体项目，项目包含：六栋住宅、一栋公寓、一栋商务和一个商业综合体</w:t>
            </w:r>
          </w:p>
        </w:tc>
        <w:tc>
          <w:tcPr>
            <w:tcW w:w="1264" w:type="dxa"/>
            <w:vAlign w:val="center"/>
          </w:tcPr>
          <w:p>
            <w:pPr>
              <w:widowControl/>
              <w:jc w:val="center"/>
              <w:textAlignment w:val="center"/>
              <w:rPr>
                <w:sz w:val="24"/>
              </w:rPr>
            </w:pPr>
            <w:r>
              <w:rPr>
                <w:kern w:val="0"/>
                <w:sz w:val="24"/>
                <w:lang w:bidi="ar"/>
              </w:rPr>
              <w:t>2020-2022</w:t>
            </w:r>
          </w:p>
        </w:tc>
        <w:tc>
          <w:tcPr>
            <w:tcW w:w="995" w:type="dxa"/>
            <w:vAlign w:val="center"/>
          </w:tcPr>
          <w:p>
            <w:pPr>
              <w:widowControl/>
              <w:jc w:val="center"/>
              <w:textAlignment w:val="center"/>
              <w:rPr>
                <w:sz w:val="24"/>
              </w:rPr>
            </w:pPr>
            <w:r>
              <w:rPr>
                <w:kern w:val="0"/>
                <w:sz w:val="24"/>
                <w:lang w:bidi="ar"/>
              </w:rPr>
              <w:t>3.5</w:t>
            </w:r>
          </w:p>
        </w:tc>
        <w:tc>
          <w:tcPr>
            <w:tcW w:w="1498" w:type="dxa"/>
            <w:vAlign w:val="center"/>
          </w:tcPr>
          <w:p>
            <w:pPr>
              <w:widowControl/>
              <w:jc w:val="center"/>
              <w:textAlignment w:val="center"/>
              <w:rPr>
                <w:sz w:val="24"/>
              </w:rPr>
            </w:pPr>
            <w:r>
              <w:rPr>
                <w:kern w:val="0"/>
                <w:sz w:val="24"/>
                <w:lang w:bidi="ar"/>
              </w:rPr>
              <w:t>金华婺城万固置业有限公司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826" w:hRule="atLeast"/>
          <w:jc w:val="center"/>
        </w:trPr>
        <w:tc>
          <w:tcPr>
            <w:tcW w:w="498" w:type="dxa"/>
            <w:vAlign w:val="center"/>
          </w:tcPr>
          <w:p>
            <w:pPr>
              <w:jc w:val="center"/>
              <w:rPr>
                <w:sz w:val="24"/>
              </w:rPr>
            </w:pPr>
            <w:r>
              <w:rPr>
                <w:sz w:val="24"/>
              </w:rPr>
              <w:t>70</w:t>
            </w:r>
          </w:p>
        </w:tc>
        <w:tc>
          <w:tcPr>
            <w:tcW w:w="789" w:type="dxa"/>
            <w:vAlign w:val="center"/>
          </w:tcPr>
          <w:p>
            <w:pPr>
              <w:jc w:val="center"/>
              <w:rPr>
                <w:sz w:val="24"/>
              </w:rPr>
            </w:pPr>
            <w:r>
              <w:rPr>
                <w:sz w:val="24"/>
              </w:rPr>
              <w:t>金华</w:t>
            </w:r>
          </w:p>
        </w:tc>
        <w:tc>
          <w:tcPr>
            <w:tcW w:w="3193" w:type="dxa"/>
            <w:vAlign w:val="center"/>
          </w:tcPr>
          <w:p>
            <w:pPr>
              <w:widowControl/>
              <w:textAlignment w:val="center"/>
              <w:rPr>
                <w:sz w:val="24"/>
              </w:rPr>
            </w:pPr>
            <w:r>
              <w:rPr>
                <w:kern w:val="0"/>
                <w:sz w:val="24"/>
                <w:lang w:bidi="ar"/>
              </w:rPr>
              <w:t>金华品牌丝路行</w:t>
            </w:r>
          </w:p>
        </w:tc>
        <w:tc>
          <w:tcPr>
            <w:tcW w:w="4851" w:type="dxa"/>
            <w:vAlign w:val="center"/>
          </w:tcPr>
          <w:p>
            <w:pPr>
              <w:widowControl/>
              <w:textAlignment w:val="center"/>
              <w:rPr>
                <w:sz w:val="24"/>
              </w:rPr>
            </w:pPr>
            <w:r>
              <w:rPr>
                <w:kern w:val="0"/>
                <w:sz w:val="24"/>
                <w:lang w:bidi="ar"/>
              </w:rPr>
              <w:t>努力打造“金华品牌丝路行”品牌，在境外以展中展形式举办自办展，组织全市企业抱团参展，设立专区，统一布置，统一宣传，助力金华企业开拓国际市场，2021-2025年计划每年组织6-7场活动</w:t>
            </w:r>
          </w:p>
        </w:tc>
        <w:tc>
          <w:tcPr>
            <w:tcW w:w="1264" w:type="dxa"/>
            <w:vAlign w:val="center"/>
          </w:tcPr>
          <w:p>
            <w:pPr>
              <w:widowControl/>
              <w:jc w:val="center"/>
              <w:textAlignment w:val="center"/>
              <w:rPr>
                <w:sz w:val="24"/>
              </w:rPr>
            </w:pPr>
            <w:r>
              <w:rPr>
                <w:kern w:val="0"/>
                <w:sz w:val="24"/>
                <w:lang w:bidi="ar"/>
              </w:rPr>
              <w:t>2021-2025</w:t>
            </w:r>
          </w:p>
        </w:tc>
        <w:tc>
          <w:tcPr>
            <w:tcW w:w="995" w:type="dxa"/>
            <w:vAlign w:val="center"/>
          </w:tcPr>
          <w:p>
            <w:pPr>
              <w:widowControl/>
              <w:jc w:val="center"/>
              <w:textAlignment w:val="center"/>
              <w:rPr>
                <w:sz w:val="24"/>
              </w:rPr>
            </w:pPr>
            <w:r>
              <w:rPr>
                <w:kern w:val="0"/>
                <w:sz w:val="24"/>
                <w:lang w:bidi="ar"/>
              </w:rPr>
              <w:t>0.45</w:t>
            </w:r>
          </w:p>
        </w:tc>
        <w:tc>
          <w:tcPr>
            <w:tcW w:w="1498" w:type="dxa"/>
            <w:vAlign w:val="center"/>
          </w:tcPr>
          <w:p>
            <w:pPr>
              <w:jc w:val="center"/>
              <w:rPr>
                <w:sz w:val="24"/>
              </w:rPr>
            </w:pPr>
            <w:r>
              <w:rPr>
                <w:snapToGrid w:val="0"/>
                <w:spacing w:val="-8"/>
                <w:kern w:val="0"/>
                <w:sz w:val="24"/>
              </w:rPr>
              <w:t>金华市贸促会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379" w:hRule="atLeast"/>
          <w:jc w:val="center"/>
        </w:trPr>
        <w:tc>
          <w:tcPr>
            <w:tcW w:w="498" w:type="dxa"/>
            <w:vAlign w:val="center"/>
          </w:tcPr>
          <w:p>
            <w:pPr>
              <w:jc w:val="center"/>
              <w:rPr>
                <w:sz w:val="24"/>
              </w:rPr>
            </w:pPr>
            <w:r>
              <w:rPr>
                <w:sz w:val="24"/>
              </w:rPr>
              <w:t>71</w:t>
            </w:r>
          </w:p>
        </w:tc>
        <w:tc>
          <w:tcPr>
            <w:tcW w:w="789" w:type="dxa"/>
            <w:vAlign w:val="center"/>
          </w:tcPr>
          <w:p>
            <w:pPr>
              <w:jc w:val="center"/>
              <w:rPr>
                <w:sz w:val="24"/>
              </w:rPr>
            </w:pPr>
            <w:r>
              <w:rPr>
                <w:sz w:val="24"/>
              </w:rPr>
              <w:t>金华</w:t>
            </w:r>
          </w:p>
        </w:tc>
        <w:tc>
          <w:tcPr>
            <w:tcW w:w="3193" w:type="dxa"/>
            <w:vAlign w:val="center"/>
          </w:tcPr>
          <w:p>
            <w:pPr>
              <w:widowControl/>
              <w:textAlignment w:val="center"/>
              <w:rPr>
                <w:kern w:val="0"/>
                <w:sz w:val="24"/>
                <w:lang w:bidi="ar"/>
              </w:rPr>
            </w:pPr>
            <w:r>
              <w:rPr>
                <w:kern w:val="0"/>
                <w:sz w:val="24"/>
                <w:lang w:bidi="ar"/>
              </w:rPr>
              <w:t>浙中总部经济中心（一期）</w:t>
            </w:r>
          </w:p>
          <w:p>
            <w:pPr>
              <w:widowControl/>
              <w:textAlignment w:val="center"/>
              <w:rPr>
                <w:sz w:val="24"/>
              </w:rPr>
            </w:pPr>
            <w:r>
              <w:rPr>
                <w:kern w:val="0"/>
                <w:sz w:val="24"/>
                <w:lang w:bidi="ar"/>
              </w:rPr>
              <w:t>-金华万豪酒店</w:t>
            </w:r>
          </w:p>
        </w:tc>
        <w:tc>
          <w:tcPr>
            <w:tcW w:w="4851" w:type="dxa"/>
            <w:vAlign w:val="center"/>
          </w:tcPr>
          <w:p>
            <w:pPr>
              <w:widowControl/>
              <w:textAlignment w:val="center"/>
              <w:rPr>
                <w:sz w:val="24"/>
              </w:rPr>
            </w:pPr>
            <w:r>
              <w:rPr>
                <w:kern w:val="0"/>
                <w:sz w:val="24"/>
                <w:lang w:bidi="ar"/>
              </w:rPr>
              <w:t>金华万豪酒店装修，装修总建筑面积约4.18万</w:t>
            </w:r>
            <w:r>
              <w:rPr>
                <w:rFonts w:hint="eastAsia"/>
                <w:kern w:val="0"/>
                <w:sz w:val="24"/>
                <w:lang w:bidi="ar"/>
              </w:rPr>
              <w:t>平方米</w:t>
            </w:r>
            <w:r>
              <w:rPr>
                <w:kern w:val="0"/>
                <w:sz w:val="24"/>
                <w:lang w:bidi="ar"/>
              </w:rPr>
              <w:t>，共289间客房</w:t>
            </w:r>
          </w:p>
        </w:tc>
        <w:tc>
          <w:tcPr>
            <w:tcW w:w="1264" w:type="dxa"/>
            <w:vAlign w:val="center"/>
          </w:tcPr>
          <w:p>
            <w:pPr>
              <w:widowControl/>
              <w:jc w:val="center"/>
              <w:textAlignment w:val="center"/>
              <w:rPr>
                <w:sz w:val="24"/>
              </w:rPr>
            </w:pPr>
            <w:r>
              <w:rPr>
                <w:kern w:val="0"/>
                <w:sz w:val="24"/>
                <w:lang w:bidi="ar"/>
              </w:rPr>
              <w:t>2019-2020</w:t>
            </w:r>
          </w:p>
        </w:tc>
        <w:tc>
          <w:tcPr>
            <w:tcW w:w="995" w:type="dxa"/>
            <w:vAlign w:val="center"/>
          </w:tcPr>
          <w:p>
            <w:pPr>
              <w:widowControl/>
              <w:jc w:val="center"/>
              <w:textAlignment w:val="center"/>
              <w:rPr>
                <w:sz w:val="24"/>
              </w:rPr>
            </w:pPr>
            <w:r>
              <w:rPr>
                <w:kern w:val="0"/>
                <w:sz w:val="24"/>
                <w:lang w:bidi="ar"/>
              </w:rPr>
              <w:t>2.3</w:t>
            </w:r>
          </w:p>
        </w:tc>
        <w:tc>
          <w:tcPr>
            <w:tcW w:w="1498" w:type="dxa"/>
            <w:vAlign w:val="center"/>
          </w:tcPr>
          <w:p>
            <w:pPr>
              <w:widowControl/>
              <w:jc w:val="center"/>
              <w:textAlignment w:val="center"/>
              <w:rPr>
                <w:sz w:val="24"/>
              </w:rPr>
            </w:pPr>
            <w:r>
              <w:rPr>
                <w:kern w:val="0"/>
                <w:sz w:val="24"/>
                <w:lang w:bidi="ar"/>
              </w:rPr>
              <w:t>金华市浙中总部中心开发建设有限公司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72</w:t>
            </w:r>
          </w:p>
        </w:tc>
        <w:tc>
          <w:tcPr>
            <w:tcW w:w="789" w:type="dxa"/>
            <w:vAlign w:val="center"/>
          </w:tcPr>
          <w:p>
            <w:pPr>
              <w:jc w:val="center"/>
              <w:rPr>
                <w:sz w:val="24"/>
              </w:rPr>
            </w:pPr>
            <w:r>
              <w:rPr>
                <w:sz w:val="24"/>
              </w:rPr>
              <w:t>金华</w:t>
            </w:r>
          </w:p>
        </w:tc>
        <w:tc>
          <w:tcPr>
            <w:tcW w:w="3193" w:type="dxa"/>
            <w:vAlign w:val="center"/>
          </w:tcPr>
          <w:p>
            <w:pPr>
              <w:widowControl/>
              <w:textAlignment w:val="center"/>
              <w:rPr>
                <w:sz w:val="24"/>
              </w:rPr>
            </w:pPr>
            <w:r>
              <w:rPr>
                <w:kern w:val="0"/>
                <w:sz w:val="24"/>
                <w:lang w:bidi="ar"/>
              </w:rPr>
              <w:t>华东（金华）农产品物流中心项目</w:t>
            </w:r>
          </w:p>
        </w:tc>
        <w:tc>
          <w:tcPr>
            <w:tcW w:w="4851" w:type="dxa"/>
            <w:vAlign w:val="center"/>
          </w:tcPr>
          <w:p>
            <w:pPr>
              <w:widowControl/>
              <w:textAlignment w:val="center"/>
              <w:rPr>
                <w:sz w:val="24"/>
              </w:rPr>
            </w:pPr>
            <w:r>
              <w:rPr>
                <w:kern w:val="0"/>
                <w:sz w:val="24"/>
                <w:lang w:bidi="ar"/>
              </w:rPr>
              <w:t>总建筑面积570000</w:t>
            </w:r>
            <w:r>
              <w:rPr>
                <w:rFonts w:hint="eastAsia"/>
                <w:kern w:val="0"/>
                <w:sz w:val="24"/>
                <w:lang w:bidi="ar"/>
              </w:rPr>
              <w:t>平方米</w:t>
            </w:r>
            <w:r>
              <w:rPr>
                <w:kern w:val="0"/>
                <w:sz w:val="24"/>
                <w:lang w:bidi="ar"/>
              </w:rPr>
              <w:t>。项目建成后，年物流量达到340万吨，物流额达160亿元</w:t>
            </w:r>
          </w:p>
        </w:tc>
        <w:tc>
          <w:tcPr>
            <w:tcW w:w="1264" w:type="dxa"/>
            <w:vAlign w:val="center"/>
          </w:tcPr>
          <w:p>
            <w:pPr>
              <w:widowControl/>
              <w:jc w:val="center"/>
              <w:textAlignment w:val="center"/>
              <w:rPr>
                <w:sz w:val="24"/>
              </w:rPr>
            </w:pPr>
            <w:r>
              <w:rPr>
                <w:kern w:val="0"/>
                <w:sz w:val="24"/>
                <w:lang w:bidi="ar"/>
              </w:rPr>
              <w:t>2016-2020</w:t>
            </w:r>
          </w:p>
        </w:tc>
        <w:tc>
          <w:tcPr>
            <w:tcW w:w="995" w:type="dxa"/>
            <w:vAlign w:val="center"/>
          </w:tcPr>
          <w:p>
            <w:pPr>
              <w:widowControl/>
              <w:jc w:val="center"/>
              <w:textAlignment w:val="center"/>
              <w:rPr>
                <w:sz w:val="24"/>
              </w:rPr>
            </w:pPr>
            <w:r>
              <w:rPr>
                <w:kern w:val="0"/>
                <w:sz w:val="24"/>
                <w:lang w:bidi="ar"/>
              </w:rPr>
              <w:t>20</w:t>
            </w:r>
          </w:p>
        </w:tc>
        <w:tc>
          <w:tcPr>
            <w:tcW w:w="1498" w:type="dxa"/>
            <w:vAlign w:val="center"/>
          </w:tcPr>
          <w:p>
            <w:pPr>
              <w:widowControl/>
              <w:jc w:val="center"/>
              <w:textAlignment w:val="center"/>
              <w:rPr>
                <w:sz w:val="24"/>
              </w:rPr>
            </w:pPr>
            <w:r>
              <w:rPr>
                <w:kern w:val="0"/>
                <w:sz w:val="24"/>
                <w:lang w:bidi="ar"/>
              </w:rPr>
              <w:t>华东金华农产品物流中心有限公司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2400" w:hRule="atLeast"/>
          <w:jc w:val="center"/>
        </w:trPr>
        <w:tc>
          <w:tcPr>
            <w:tcW w:w="498" w:type="dxa"/>
            <w:vAlign w:val="center"/>
          </w:tcPr>
          <w:p>
            <w:pPr>
              <w:jc w:val="center"/>
              <w:rPr>
                <w:sz w:val="24"/>
              </w:rPr>
            </w:pPr>
            <w:r>
              <w:rPr>
                <w:sz w:val="24"/>
              </w:rPr>
              <w:t>73</w:t>
            </w:r>
          </w:p>
        </w:tc>
        <w:tc>
          <w:tcPr>
            <w:tcW w:w="789" w:type="dxa"/>
            <w:vAlign w:val="center"/>
          </w:tcPr>
          <w:p>
            <w:pPr>
              <w:jc w:val="center"/>
              <w:rPr>
                <w:sz w:val="24"/>
              </w:rPr>
            </w:pPr>
            <w:r>
              <w:rPr>
                <w:sz w:val="24"/>
              </w:rPr>
              <w:t>金华</w:t>
            </w:r>
          </w:p>
        </w:tc>
        <w:tc>
          <w:tcPr>
            <w:tcW w:w="3193" w:type="dxa"/>
            <w:vAlign w:val="center"/>
          </w:tcPr>
          <w:p>
            <w:pPr>
              <w:widowControl/>
              <w:textAlignment w:val="center"/>
              <w:rPr>
                <w:sz w:val="24"/>
              </w:rPr>
            </w:pPr>
            <w:r>
              <w:rPr>
                <w:kern w:val="0"/>
                <w:sz w:val="24"/>
                <w:lang w:bidi="ar"/>
              </w:rPr>
              <w:t>亚运分村项目</w:t>
            </w:r>
          </w:p>
        </w:tc>
        <w:tc>
          <w:tcPr>
            <w:tcW w:w="4851" w:type="dxa"/>
            <w:vAlign w:val="center"/>
          </w:tcPr>
          <w:p>
            <w:pPr>
              <w:widowControl/>
              <w:textAlignment w:val="center"/>
              <w:rPr>
                <w:sz w:val="24"/>
              </w:rPr>
            </w:pPr>
            <w:r>
              <w:rPr>
                <w:kern w:val="0"/>
                <w:sz w:val="24"/>
                <w:lang w:bidi="ar"/>
              </w:rPr>
              <w:t>亚运分村位于多湖中央商务区南部，东至复兴南街，南至环城南路，西与赤山公园接壤，北至规划中的开发用地，总用地面积约197000</w:t>
            </w:r>
            <w:r>
              <w:rPr>
                <w:rFonts w:hint="eastAsia"/>
                <w:kern w:val="0"/>
                <w:sz w:val="24"/>
                <w:lang w:bidi="ar"/>
              </w:rPr>
              <w:t>平方米</w:t>
            </w:r>
            <w:r>
              <w:rPr>
                <w:kern w:val="0"/>
                <w:sz w:val="24"/>
                <w:lang w:bidi="ar"/>
              </w:rPr>
              <w:t>，总建筑面积约80810</w:t>
            </w:r>
            <w:r>
              <w:rPr>
                <w:rFonts w:hint="eastAsia"/>
                <w:kern w:val="0"/>
                <w:sz w:val="24"/>
                <w:lang w:bidi="ar"/>
              </w:rPr>
              <w:t>平方米</w:t>
            </w:r>
            <w:r>
              <w:rPr>
                <w:kern w:val="0"/>
                <w:sz w:val="24"/>
                <w:lang w:bidi="ar"/>
              </w:rPr>
              <w:t>，其中地上建筑面积约47810</w:t>
            </w:r>
            <w:r>
              <w:rPr>
                <w:rFonts w:hint="eastAsia"/>
                <w:kern w:val="0"/>
                <w:sz w:val="24"/>
                <w:lang w:bidi="ar"/>
              </w:rPr>
              <w:t>平方米</w:t>
            </w:r>
            <w:r>
              <w:rPr>
                <w:kern w:val="0"/>
                <w:sz w:val="24"/>
                <w:lang w:bidi="ar"/>
              </w:rPr>
              <w:t>，地下建筑面积约33000</w:t>
            </w:r>
            <w:r>
              <w:rPr>
                <w:rFonts w:hint="eastAsia"/>
                <w:kern w:val="0"/>
                <w:sz w:val="24"/>
                <w:lang w:bidi="ar"/>
              </w:rPr>
              <w:t>平方米</w:t>
            </w:r>
            <w:r>
              <w:rPr>
                <w:kern w:val="0"/>
                <w:sz w:val="24"/>
                <w:lang w:bidi="ar"/>
              </w:rPr>
              <w:t>，总投资约12.6亿元，将建成集会议、接待、住宿等功能为一体的园林式亚运分村</w:t>
            </w:r>
          </w:p>
        </w:tc>
        <w:tc>
          <w:tcPr>
            <w:tcW w:w="1264" w:type="dxa"/>
            <w:vAlign w:val="center"/>
          </w:tcPr>
          <w:p>
            <w:pPr>
              <w:widowControl/>
              <w:jc w:val="center"/>
              <w:textAlignment w:val="center"/>
              <w:rPr>
                <w:sz w:val="24"/>
              </w:rPr>
            </w:pPr>
            <w:r>
              <w:rPr>
                <w:kern w:val="0"/>
                <w:sz w:val="24"/>
                <w:lang w:bidi="ar"/>
              </w:rPr>
              <w:t>2019-2021</w:t>
            </w:r>
          </w:p>
        </w:tc>
        <w:tc>
          <w:tcPr>
            <w:tcW w:w="995" w:type="dxa"/>
            <w:vAlign w:val="center"/>
          </w:tcPr>
          <w:p>
            <w:pPr>
              <w:widowControl/>
              <w:jc w:val="center"/>
              <w:textAlignment w:val="center"/>
              <w:rPr>
                <w:sz w:val="24"/>
              </w:rPr>
            </w:pPr>
            <w:r>
              <w:rPr>
                <w:kern w:val="0"/>
                <w:sz w:val="24"/>
                <w:lang w:bidi="ar"/>
              </w:rPr>
              <w:t>12.6</w:t>
            </w:r>
          </w:p>
        </w:tc>
        <w:tc>
          <w:tcPr>
            <w:tcW w:w="1498" w:type="dxa"/>
            <w:vAlign w:val="center"/>
          </w:tcPr>
          <w:p>
            <w:pPr>
              <w:widowControl/>
              <w:jc w:val="center"/>
              <w:textAlignment w:val="center"/>
              <w:rPr>
                <w:sz w:val="24"/>
              </w:rPr>
            </w:pPr>
            <w:r>
              <w:rPr>
                <w:kern w:val="0"/>
                <w:sz w:val="24"/>
                <w:lang w:bidi="ar"/>
              </w:rPr>
              <w:t>金华市、金义新区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379" w:hRule="atLeast"/>
          <w:jc w:val="center"/>
        </w:trPr>
        <w:tc>
          <w:tcPr>
            <w:tcW w:w="498" w:type="dxa"/>
            <w:vAlign w:val="center"/>
          </w:tcPr>
          <w:p>
            <w:pPr>
              <w:jc w:val="center"/>
              <w:rPr>
                <w:sz w:val="24"/>
              </w:rPr>
            </w:pPr>
            <w:r>
              <w:rPr>
                <w:sz w:val="24"/>
              </w:rPr>
              <w:t>74</w:t>
            </w:r>
          </w:p>
        </w:tc>
        <w:tc>
          <w:tcPr>
            <w:tcW w:w="789" w:type="dxa"/>
            <w:vAlign w:val="center"/>
          </w:tcPr>
          <w:p>
            <w:pPr>
              <w:jc w:val="center"/>
              <w:rPr>
                <w:sz w:val="24"/>
              </w:rPr>
            </w:pPr>
            <w:r>
              <w:rPr>
                <w:sz w:val="24"/>
              </w:rPr>
              <w:t>衢州</w:t>
            </w:r>
          </w:p>
        </w:tc>
        <w:tc>
          <w:tcPr>
            <w:tcW w:w="3193" w:type="dxa"/>
            <w:vAlign w:val="center"/>
          </w:tcPr>
          <w:p>
            <w:pPr>
              <w:widowControl/>
              <w:textAlignment w:val="center"/>
              <w:rPr>
                <w:sz w:val="24"/>
              </w:rPr>
            </w:pPr>
            <w:r>
              <w:rPr>
                <w:kern w:val="0"/>
                <w:sz w:val="24"/>
                <w:lang w:bidi="ar"/>
              </w:rPr>
              <w:t>衢州浙西航空物流枢纽项目</w:t>
            </w:r>
          </w:p>
        </w:tc>
        <w:tc>
          <w:tcPr>
            <w:tcW w:w="4851" w:type="dxa"/>
            <w:vAlign w:val="center"/>
          </w:tcPr>
          <w:p>
            <w:pPr>
              <w:widowControl/>
              <w:textAlignment w:val="center"/>
              <w:rPr>
                <w:sz w:val="24"/>
              </w:rPr>
            </w:pPr>
            <w:r>
              <w:rPr>
                <w:kern w:val="0"/>
                <w:sz w:val="24"/>
                <w:lang w:bidi="ar"/>
              </w:rPr>
              <w:t>依托衢州机场迁建，将衢州机场建设成为国际航空物流中转枢纽与区域集散中心，主要以吸引龙头企业为首要目标，同时以完善航空物流产业链为基础，引导航空物流枢纽自发完成产业集群。</w:t>
            </w:r>
          </w:p>
        </w:tc>
        <w:tc>
          <w:tcPr>
            <w:tcW w:w="1264" w:type="dxa"/>
            <w:vAlign w:val="center"/>
          </w:tcPr>
          <w:p>
            <w:pPr>
              <w:widowControl/>
              <w:jc w:val="center"/>
              <w:textAlignment w:val="center"/>
              <w:rPr>
                <w:sz w:val="24"/>
              </w:rPr>
            </w:pPr>
            <w:r>
              <w:rPr>
                <w:kern w:val="0"/>
                <w:sz w:val="24"/>
                <w:lang w:bidi="ar"/>
              </w:rPr>
              <w:t>2021-2035</w:t>
            </w:r>
          </w:p>
        </w:tc>
        <w:tc>
          <w:tcPr>
            <w:tcW w:w="995" w:type="dxa"/>
            <w:vAlign w:val="center"/>
          </w:tcPr>
          <w:p>
            <w:pPr>
              <w:widowControl/>
              <w:tabs>
                <w:tab w:val="left" w:pos="469"/>
              </w:tabs>
              <w:jc w:val="center"/>
              <w:textAlignment w:val="center"/>
              <w:rPr>
                <w:sz w:val="24"/>
              </w:rPr>
            </w:pPr>
            <w:r>
              <w:rPr>
                <w:kern w:val="0"/>
                <w:sz w:val="24"/>
                <w:lang w:bidi="ar"/>
              </w:rPr>
              <w:t>150</w:t>
            </w:r>
          </w:p>
        </w:tc>
        <w:tc>
          <w:tcPr>
            <w:tcW w:w="1498" w:type="dxa"/>
            <w:vAlign w:val="center"/>
          </w:tcPr>
          <w:p>
            <w:pPr>
              <w:widowControl/>
              <w:jc w:val="center"/>
              <w:textAlignment w:val="center"/>
              <w:rPr>
                <w:sz w:val="24"/>
              </w:rPr>
            </w:pPr>
            <w:r>
              <w:rPr>
                <w:kern w:val="0"/>
                <w:sz w:val="24"/>
                <w:lang w:bidi="ar"/>
              </w:rPr>
              <w:t>衢州市机场办/衢州市交通局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714" w:hRule="atLeast"/>
          <w:jc w:val="center"/>
        </w:trPr>
        <w:tc>
          <w:tcPr>
            <w:tcW w:w="498" w:type="dxa"/>
            <w:vAlign w:val="center"/>
          </w:tcPr>
          <w:p>
            <w:pPr>
              <w:jc w:val="center"/>
              <w:rPr>
                <w:sz w:val="24"/>
              </w:rPr>
            </w:pPr>
            <w:r>
              <w:rPr>
                <w:sz w:val="24"/>
              </w:rPr>
              <w:t>75</w:t>
            </w:r>
          </w:p>
        </w:tc>
        <w:tc>
          <w:tcPr>
            <w:tcW w:w="789" w:type="dxa"/>
            <w:vAlign w:val="center"/>
          </w:tcPr>
          <w:p>
            <w:pPr>
              <w:jc w:val="center"/>
              <w:rPr>
                <w:sz w:val="24"/>
              </w:rPr>
            </w:pPr>
            <w:r>
              <w:rPr>
                <w:sz w:val="24"/>
              </w:rPr>
              <w:t>衢州</w:t>
            </w:r>
          </w:p>
        </w:tc>
        <w:tc>
          <w:tcPr>
            <w:tcW w:w="3193" w:type="dxa"/>
            <w:vAlign w:val="center"/>
          </w:tcPr>
          <w:p>
            <w:pPr>
              <w:widowControl/>
              <w:textAlignment w:val="center"/>
              <w:rPr>
                <w:sz w:val="24"/>
              </w:rPr>
            </w:pPr>
            <w:r>
              <w:rPr>
                <w:kern w:val="0"/>
                <w:sz w:val="24"/>
                <w:lang w:bidi="ar"/>
              </w:rPr>
              <w:t>复合型绿色中央商务区</w:t>
            </w:r>
          </w:p>
        </w:tc>
        <w:tc>
          <w:tcPr>
            <w:tcW w:w="4851" w:type="dxa"/>
            <w:vAlign w:val="center"/>
          </w:tcPr>
          <w:p>
            <w:pPr>
              <w:widowControl/>
              <w:textAlignment w:val="center"/>
              <w:rPr>
                <w:sz w:val="24"/>
              </w:rPr>
            </w:pPr>
            <w:r>
              <w:rPr>
                <w:kern w:val="0"/>
                <w:sz w:val="24"/>
                <w:lang w:bidi="ar"/>
              </w:rPr>
              <w:t>高铁小镇约1.2平方公里，科创金融小镇约1平方公里。依托两个小镇，在生态绿地中建设集科创研发、商务金融办公、总部基地、未来社区等功能为一体的office park，用地规模约1000亩，建设规模约40万平方米。</w:t>
            </w:r>
          </w:p>
        </w:tc>
        <w:tc>
          <w:tcPr>
            <w:tcW w:w="1264" w:type="dxa"/>
            <w:vAlign w:val="center"/>
          </w:tcPr>
          <w:p>
            <w:pPr>
              <w:widowControl/>
              <w:jc w:val="center"/>
              <w:textAlignment w:val="center"/>
              <w:rPr>
                <w:sz w:val="24"/>
              </w:rPr>
            </w:pPr>
            <w:r>
              <w:rPr>
                <w:kern w:val="0"/>
                <w:sz w:val="24"/>
                <w:lang w:bidi="ar"/>
              </w:rPr>
              <w:t>2021-2025</w:t>
            </w:r>
          </w:p>
        </w:tc>
        <w:tc>
          <w:tcPr>
            <w:tcW w:w="995" w:type="dxa"/>
            <w:vAlign w:val="center"/>
          </w:tcPr>
          <w:p>
            <w:pPr>
              <w:widowControl/>
              <w:jc w:val="center"/>
              <w:textAlignment w:val="center"/>
              <w:rPr>
                <w:sz w:val="24"/>
              </w:rPr>
            </w:pPr>
            <w:r>
              <w:rPr>
                <w:kern w:val="0"/>
                <w:sz w:val="24"/>
                <w:lang w:bidi="ar"/>
              </w:rPr>
              <w:t>20</w:t>
            </w:r>
          </w:p>
        </w:tc>
        <w:tc>
          <w:tcPr>
            <w:tcW w:w="1498" w:type="dxa"/>
            <w:vAlign w:val="center"/>
          </w:tcPr>
          <w:p>
            <w:pPr>
              <w:jc w:val="center"/>
              <w:rPr>
                <w:sz w:val="24"/>
              </w:rPr>
            </w:pPr>
            <w:r>
              <w:rPr>
                <w:snapToGrid w:val="0"/>
                <w:spacing w:val="-8"/>
                <w:kern w:val="0"/>
                <w:sz w:val="24"/>
              </w:rPr>
              <w:t>衢州市资规局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686" w:hRule="atLeast"/>
          <w:jc w:val="center"/>
        </w:trPr>
        <w:tc>
          <w:tcPr>
            <w:tcW w:w="498" w:type="dxa"/>
            <w:vAlign w:val="center"/>
          </w:tcPr>
          <w:p>
            <w:pPr>
              <w:jc w:val="center"/>
              <w:rPr>
                <w:sz w:val="24"/>
              </w:rPr>
            </w:pPr>
            <w:r>
              <w:rPr>
                <w:sz w:val="24"/>
              </w:rPr>
              <w:t>76</w:t>
            </w:r>
          </w:p>
        </w:tc>
        <w:tc>
          <w:tcPr>
            <w:tcW w:w="789" w:type="dxa"/>
            <w:vAlign w:val="center"/>
          </w:tcPr>
          <w:p>
            <w:pPr>
              <w:jc w:val="center"/>
              <w:rPr>
                <w:sz w:val="24"/>
              </w:rPr>
            </w:pPr>
            <w:r>
              <w:rPr>
                <w:sz w:val="24"/>
              </w:rPr>
              <w:t>衢州</w:t>
            </w:r>
          </w:p>
        </w:tc>
        <w:tc>
          <w:tcPr>
            <w:tcW w:w="3193" w:type="dxa"/>
            <w:vAlign w:val="center"/>
          </w:tcPr>
          <w:p>
            <w:pPr>
              <w:widowControl/>
              <w:textAlignment w:val="center"/>
              <w:rPr>
                <w:sz w:val="24"/>
              </w:rPr>
            </w:pPr>
            <w:r>
              <w:rPr>
                <w:kern w:val="0"/>
                <w:sz w:val="24"/>
                <w:lang w:bidi="ar"/>
              </w:rPr>
              <w:t>龙游县临港物流园区</w:t>
            </w:r>
          </w:p>
        </w:tc>
        <w:tc>
          <w:tcPr>
            <w:tcW w:w="4851" w:type="dxa"/>
            <w:vAlign w:val="center"/>
          </w:tcPr>
          <w:p>
            <w:pPr>
              <w:widowControl/>
              <w:textAlignment w:val="center"/>
              <w:rPr>
                <w:sz w:val="24"/>
              </w:rPr>
            </w:pPr>
            <w:r>
              <w:rPr>
                <w:kern w:val="0"/>
                <w:sz w:val="24"/>
                <w:lang w:bidi="ar"/>
              </w:rPr>
              <w:t>规划用地约1298亩，建筑面积393400平方米，集综合办公中心、物流信息与交易中心、生活服务中心、公水联运区，现代仓储区、配送区、生产区等为一体的区域型公铁水联运综合物流中心。</w:t>
            </w:r>
          </w:p>
        </w:tc>
        <w:tc>
          <w:tcPr>
            <w:tcW w:w="1264" w:type="dxa"/>
            <w:vAlign w:val="center"/>
          </w:tcPr>
          <w:p>
            <w:pPr>
              <w:widowControl/>
              <w:tabs>
                <w:tab w:val="left" w:pos="510"/>
              </w:tabs>
              <w:jc w:val="center"/>
              <w:textAlignment w:val="center"/>
              <w:rPr>
                <w:sz w:val="24"/>
              </w:rPr>
            </w:pPr>
            <w:r>
              <w:rPr>
                <w:kern w:val="0"/>
                <w:sz w:val="24"/>
                <w:lang w:bidi="ar"/>
              </w:rPr>
              <w:t>2022-202</w:t>
            </w:r>
            <w:r>
              <w:rPr>
                <w:rFonts w:hint="eastAsia"/>
                <w:kern w:val="0"/>
                <w:sz w:val="24"/>
                <w:lang w:bidi="ar"/>
              </w:rPr>
              <w:t>4</w:t>
            </w:r>
          </w:p>
        </w:tc>
        <w:tc>
          <w:tcPr>
            <w:tcW w:w="995" w:type="dxa"/>
            <w:vAlign w:val="center"/>
          </w:tcPr>
          <w:p>
            <w:pPr>
              <w:widowControl/>
              <w:jc w:val="center"/>
              <w:textAlignment w:val="center"/>
              <w:rPr>
                <w:sz w:val="24"/>
              </w:rPr>
            </w:pPr>
            <w:r>
              <w:rPr>
                <w:kern w:val="0"/>
                <w:sz w:val="24"/>
                <w:lang w:bidi="ar"/>
              </w:rPr>
              <w:t>13</w:t>
            </w:r>
          </w:p>
        </w:tc>
        <w:tc>
          <w:tcPr>
            <w:tcW w:w="1498" w:type="dxa"/>
            <w:vAlign w:val="center"/>
          </w:tcPr>
          <w:p>
            <w:pPr>
              <w:widowControl/>
              <w:jc w:val="center"/>
              <w:textAlignment w:val="center"/>
              <w:rPr>
                <w:sz w:val="24"/>
              </w:rPr>
            </w:pPr>
            <w:r>
              <w:rPr>
                <w:sz w:val="24"/>
              </w:rPr>
              <w:t>龙游县政府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77</w:t>
            </w:r>
          </w:p>
        </w:tc>
        <w:tc>
          <w:tcPr>
            <w:tcW w:w="789" w:type="dxa"/>
            <w:vAlign w:val="center"/>
          </w:tcPr>
          <w:p>
            <w:pPr>
              <w:jc w:val="center"/>
              <w:rPr>
                <w:sz w:val="24"/>
              </w:rPr>
            </w:pPr>
            <w:r>
              <w:rPr>
                <w:sz w:val="24"/>
              </w:rPr>
              <w:t>衢州</w:t>
            </w:r>
          </w:p>
        </w:tc>
        <w:tc>
          <w:tcPr>
            <w:tcW w:w="3193" w:type="dxa"/>
            <w:vAlign w:val="center"/>
          </w:tcPr>
          <w:p>
            <w:pPr>
              <w:widowControl/>
              <w:textAlignment w:val="center"/>
              <w:rPr>
                <w:sz w:val="24"/>
              </w:rPr>
            </w:pPr>
            <w:r>
              <w:rPr>
                <w:kern w:val="0"/>
                <w:sz w:val="24"/>
                <w:lang w:bidi="ar"/>
              </w:rPr>
              <w:t>常山县清河街商业文化街改造提升工程</w:t>
            </w:r>
          </w:p>
        </w:tc>
        <w:tc>
          <w:tcPr>
            <w:tcW w:w="4851" w:type="dxa"/>
            <w:vAlign w:val="center"/>
          </w:tcPr>
          <w:p>
            <w:pPr>
              <w:widowControl/>
              <w:textAlignment w:val="center"/>
              <w:rPr>
                <w:sz w:val="24"/>
              </w:rPr>
            </w:pPr>
            <w:r>
              <w:rPr>
                <w:kern w:val="0"/>
                <w:sz w:val="24"/>
                <w:lang w:bidi="ar"/>
              </w:rPr>
              <w:t>以天马路-定阳北路为轴，约1100米，以慢行的形式，打造成具有历史文化的商业步道。改造提升内容包括市政交通、景观环境、雕塑小品、建筑改造、植物绿化、城市家具等方面。</w:t>
            </w:r>
          </w:p>
        </w:tc>
        <w:tc>
          <w:tcPr>
            <w:tcW w:w="1264" w:type="dxa"/>
            <w:vAlign w:val="center"/>
          </w:tcPr>
          <w:p>
            <w:pPr>
              <w:widowControl/>
              <w:jc w:val="center"/>
              <w:textAlignment w:val="center"/>
              <w:rPr>
                <w:sz w:val="24"/>
              </w:rPr>
            </w:pPr>
            <w:r>
              <w:rPr>
                <w:kern w:val="0"/>
                <w:sz w:val="24"/>
                <w:lang w:bidi="ar"/>
              </w:rPr>
              <w:t>2021-2021</w:t>
            </w:r>
          </w:p>
        </w:tc>
        <w:tc>
          <w:tcPr>
            <w:tcW w:w="995" w:type="dxa"/>
            <w:vAlign w:val="center"/>
          </w:tcPr>
          <w:p>
            <w:pPr>
              <w:widowControl/>
              <w:jc w:val="center"/>
              <w:textAlignment w:val="center"/>
              <w:rPr>
                <w:sz w:val="24"/>
              </w:rPr>
            </w:pPr>
            <w:r>
              <w:rPr>
                <w:kern w:val="0"/>
                <w:sz w:val="24"/>
                <w:lang w:bidi="ar"/>
              </w:rPr>
              <w:t>1.2</w:t>
            </w:r>
          </w:p>
        </w:tc>
        <w:tc>
          <w:tcPr>
            <w:tcW w:w="1498" w:type="dxa"/>
            <w:vAlign w:val="center"/>
          </w:tcPr>
          <w:p>
            <w:pPr>
              <w:widowControl/>
              <w:jc w:val="center"/>
              <w:textAlignment w:val="center"/>
              <w:rPr>
                <w:sz w:val="24"/>
              </w:rPr>
            </w:pPr>
            <w:r>
              <w:rPr>
                <w:sz w:val="24"/>
              </w:rPr>
              <w:t>常山县政府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78</w:t>
            </w:r>
          </w:p>
        </w:tc>
        <w:tc>
          <w:tcPr>
            <w:tcW w:w="789" w:type="dxa"/>
            <w:vAlign w:val="center"/>
          </w:tcPr>
          <w:p>
            <w:pPr>
              <w:jc w:val="center"/>
              <w:rPr>
                <w:sz w:val="24"/>
              </w:rPr>
            </w:pPr>
            <w:r>
              <w:rPr>
                <w:sz w:val="24"/>
              </w:rPr>
              <w:t>衢州</w:t>
            </w:r>
          </w:p>
        </w:tc>
        <w:tc>
          <w:tcPr>
            <w:tcW w:w="3193" w:type="dxa"/>
            <w:vAlign w:val="center"/>
          </w:tcPr>
          <w:p>
            <w:pPr>
              <w:widowControl/>
              <w:textAlignment w:val="center"/>
              <w:rPr>
                <w:sz w:val="24"/>
              </w:rPr>
            </w:pPr>
            <w:r>
              <w:rPr>
                <w:kern w:val="0"/>
                <w:sz w:val="24"/>
                <w:lang w:bidi="ar"/>
              </w:rPr>
              <w:t>文化休闲街</w:t>
            </w:r>
          </w:p>
        </w:tc>
        <w:tc>
          <w:tcPr>
            <w:tcW w:w="4851" w:type="dxa"/>
            <w:vAlign w:val="center"/>
          </w:tcPr>
          <w:p>
            <w:pPr>
              <w:widowControl/>
              <w:textAlignment w:val="center"/>
              <w:rPr>
                <w:sz w:val="24"/>
              </w:rPr>
            </w:pPr>
            <w:r>
              <w:rPr>
                <w:kern w:val="0"/>
                <w:sz w:val="24"/>
                <w:lang w:bidi="ar"/>
              </w:rPr>
              <w:t>规划用地60亩，主要在山海协作产业园内建设一条集餐饮、购物、娱乐等为一体的商业文化中心街。</w:t>
            </w:r>
          </w:p>
        </w:tc>
        <w:tc>
          <w:tcPr>
            <w:tcW w:w="1264" w:type="dxa"/>
            <w:vAlign w:val="center"/>
          </w:tcPr>
          <w:p>
            <w:pPr>
              <w:widowControl/>
              <w:jc w:val="center"/>
              <w:textAlignment w:val="center"/>
              <w:rPr>
                <w:sz w:val="24"/>
              </w:rPr>
            </w:pPr>
            <w:r>
              <w:rPr>
                <w:kern w:val="0"/>
                <w:sz w:val="24"/>
                <w:lang w:bidi="ar"/>
              </w:rPr>
              <w:t>2021-2022</w:t>
            </w:r>
          </w:p>
        </w:tc>
        <w:tc>
          <w:tcPr>
            <w:tcW w:w="995" w:type="dxa"/>
            <w:vAlign w:val="center"/>
          </w:tcPr>
          <w:p>
            <w:pPr>
              <w:widowControl/>
              <w:jc w:val="center"/>
              <w:textAlignment w:val="center"/>
              <w:rPr>
                <w:sz w:val="24"/>
              </w:rPr>
            </w:pPr>
            <w:r>
              <w:rPr>
                <w:kern w:val="0"/>
                <w:sz w:val="24"/>
                <w:lang w:bidi="ar"/>
              </w:rPr>
              <w:t>1.5</w:t>
            </w:r>
          </w:p>
        </w:tc>
        <w:tc>
          <w:tcPr>
            <w:tcW w:w="1498" w:type="dxa"/>
            <w:vAlign w:val="center"/>
          </w:tcPr>
          <w:p>
            <w:pPr>
              <w:widowControl/>
              <w:jc w:val="center"/>
              <w:textAlignment w:val="center"/>
              <w:rPr>
                <w:sz w:val="24"/>
              </w:rPr>
            </w:pPr>
            <w:r>
              <w:rPr>
                <w:kern w:val="0"/>
                <w:sz w:val="24"/>
                <w:lang w:bidi="ar"/>
              </w:rPr>
              <w:t>衢州市智造新城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79</w:t>
            </w:r>
          </w:p>
        </w:tc>
        <w:tc>
          <w:tcPr>
            <w:tcW w:w="789" w:type="dxa"/>
            <w:vAlign w:val="center"/>
          </w:tcPr>
          <w:p>
            <w:pPr>
              <w:jc w:val="center"/>
              <w:rPr>
                <w:sz w:val="24"/>
              </w:rPr>
            </w:pPr>
            <w:r>
              <w:rPr>
                <w:sz w:val="24"/>
              </w:rPr>
              <w:t>衢州</w:t>
            </w:r>
          </w:p>
        </w:tc>
        <w:tc>
          <w:tcPr>
            <w:tcW w:w="3193" w:type="dxa"/>
            <w:vAlign w:val="center"/>
          </w:tcPr>
          <w:p>
            <w:pPr>
              <w:widowControl/>
              <w:textAlignment w:val="center"/>
              <w:rPr>
                <w:sz w:val="24"/>
              </w:rPr>
            </w:pPr>
            <w:r>
              <w:rPr>
                <w:kern w:val="0"/>
                <w:sz w:val="24"/>
                <w:lang w:bidi="ar"/>
              </w:rPr>
              <w:t>红高粱小镇项目</w:t>
            </w:r>
          </w:p>
        </w:tc>
        <w:tc>
          <w:tcPr>
            <w:tcW w:w="4851" w:type="dxa"/>
            <w:vAlign w:val="center"/>
          </w:tcPr>
          <w:p>
            <w:pPr>
              <w:widowControl/>
              <w:spacing w:line="300" w:lineRule="exact"/>
              <w:textAlignment w:val="center"/>
              <w:rPr>
                <w:sz w:val="24"/>
              </w:rPr>
            </w:pPr>
            <w:r>
              <w:rPr>
                <w:kern w:val="0"/>
                <w:sz w:val="24"/>
                <w:lang w:bidi="ar"/>
              </w:rPr>
              <w:t>围绕“酒油药、吃住游”，深化1</w:t>
            </w:r>
            <w:r>
              <w:rPr>
                <w:rFonts w:hint="eastAsia"/>
                <w:kern w:val="0"/>
                <w:sz w:val="24"/>
                <w:lang w:bidi="ar"/>
              </w:rPr>
              <w:t>4</w:t>
            </w:r>
            <w:r>
              <w:rPr>
                <w:kern w:val="0"/>
                <w:sz w:val="24"/>
                <w:lang w:bidi="ar"/>
              </w:rPr>
              <w:t>个子项目：1.红高粱、红高粱酒（菜籽油、山茶油、中药材、清水鱼）交易市场；2.红高粱文化广场；3.红高粱文化（中餐饮食文化）展示馆；4.高粱（油菜）种植基地。5</w:t>
            </w:r>
            <w:r>
              <w:rPr>
                <w:rFonts w:hint="eastAsia"/>
                <w:kern w:val="0"/>
                <w:sz w:val="24"/>
                <w:lang w:bidi="ar"/>
              </w:rPr>
              <w:t>.</w:t>
            </w:r>
            <w:r>
              <w:rPr>
                <w:kern w:val="0"/>
                <w:sz w:val="24"/>
                <w:lang w:bidi="ar"/>
              </w:rPr>
              <w:t>红高粱酒（油菜籽油）加工基地；6.墩南-上安红高粱文化一条街；7.乡村度假疗养中心；8.金竹岭古村落（金竹岭巡检司）旅游综合体；9.清水鱼基地；10.中药材种植加工基地；11.游玩娱乐等基础设施；12.餐饮住宿等基础设施；13.旅游道路等基础设施；14.墩南金水河畔古民居一条街。</w:t>
            </w:r>
          </w:p>
        </w:tc>
        <w:tc>
          <w:tcPr>
            <w:tcW w:w="1264" w:type="dxa"/>
            <w:vAlign w:val="center"/>
          </w:tcPr>
          <w:p>
            <w:pPr>
              <w:widowControl/>
              <w:jc w:val="center"/>
              <w:textAlignment w:val="center"/>
              <w:rPr>
                <w:sz w:val="24"/>
              </w:rPr>
            </w:pPr>
            <w:r>
              <w:rPr>
                <w:kern w:val="0"/>
                <w:sz w:val="24"/>
                <w:lang w:bidi="ar"/>
              </w:rPr>
              <w:t>2021-2023</w:t>
            </w:r>
          </w:p>
        </w:tc>
        <w:tc>
          <w:tcPr>
            <w:tcW w:w="995" w:type="dxa"/>
            <w:vAlign w:val="center"/>
          </w:tcPr>
          <w:p>
            <w:pPr>
              <w:widowControl/>
              <w:jc w:val="center"/>
              <w:textAlignment w:val="center"/>
              <w:rPr>
                <w:sz w:val="24"/>
              </w:rPr>
            </w:pPr>
            <w:r>
              <w:rPr>
                <w:kern w:val="0"/>
                <w:sz w:val="24"/>
                <w:lang w:bidi="ar"/>
              </w:rPr>
              <w:t>3.8</w:t>
            </w:r>
          </w:p>
        </w:tc>
        <w:tc>
          <w:tcPr>
            <w:tcW w:w="1498" w:type="dxa"/>
            <w:vAlign w:val="center"/>
          </w:tcPr>
          <w:p>
            <w:pPr>
              <w:widowControl/>
              <w:jc w:val="center"/>
              <w:textAlignment w:val="center"/>
              <w:rPr>
                <w:sz w:val="24"/>
              </w:rPr>
            </w:pPr>
            <w:r>
              <w:rPr>
                <w:kern w:val="0"/>
                <w:sz w:val="24"/>
                <w:lang w:bidi="ar"/>
              </w:rPr>
              <w:t>开化县政府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80</w:t>
            </w:r>
          </w:p>
        </w:tc>
        <w:tc>
          <w:tcPr>
            <w:tcW w:w="789" w:type="dxa"/>
            <w:vAlign w:val="center"/>
          </w:tcPr>
          <w:p>
            <w:pPr>
              <w:jc w:val="center"/>
              <w:rPr>
                <w:sz w:val="24"/>
              </w:rPr>
            </w:pPr>
            <w:r>
              <w:rPr>
                <w:sz w:val="24"/>
              </w:rPr>
              <w:t>衢州</w:t>
            </w:r>
          </w:p>
        </w:tc>
        <w:tc>
          <w:tcPr>
            <w:tcW w:w="3193" w:type="dxa"/>
            <w:vAlign w:val="center"/>
          </w:tcPr>
          <w:p>
            <w:pPr>
              <w:widowControl/>
              <w:textAlignment w:val="center"/>
              <w:rPr>
                <w:sz w:val="24"/>
              </w:rPr>
            </w:pPr>
            <w:r>
              <w:rPr>
                <w:kern w:val="0"/>
                <w:sz w:val="24"/>
                <w:lang w:bidi="ar"/>
              </w:rPr>
              <w:t>衢州工业新城物流园区危化品仓储基地</w:t>
            </w:r>
          </w:p>
        </w:tc>
        <w:tc>
          <w:tcPr>
            <w:tcW w:w="4851" w:type="dxa"/>
            <w:vAlign w:val="center"/>
          </w:tcPr>
          <w:p>
            <w:pPr>
              <w:widowControl/>
              <w:textAlignment w:val="center"/>
              <w:rPr>
                <w:sz w:val="24"/>
              </w:rPr>
            </w:pPr>
            <w:r>
              <w:rPr>
                <w:kern w:val="0"/>
                <w:sz w:val="24"/>
                <w:lang w:bidi="ar"/>
              </w:rPr>
              <w:t>危化品仓储基地基础设施建设</w:t>
            </w:r>
          </w:p>
        </w:tc>
        <w:tc>
          <w:tcPr>
            <w:tcW w:w="1264" w:type="dxa"/>
            <w:vAlign w:val="center"/>
          </w:tcPr>
          <w:p>
            <w:pPr>
              <w:widowControl/>
              <w:jc w:val="center"/>
              <w:textAlignment w:val="center"/>
              <w:rPr>
                <w:sz w:val="24"/>
              </w:rPr>
            </w:pPr>
            <w:r>
              <w:rPr>
                <w:kern w:val="0"/>
                <w:sz w:val="24"/>
                <w:lang w:bidi="ar"/>
              </w:rPr>
              <w:t>2021-2025</w:t>
            </w:r>
          </w:p>
        </w:tc>
        <w:tc>
          <w:tcPr>
            <w:tcW w:w="995" w:type="dxa"/>
            <w:vAlign w:val="center"/>
          </w:tcPr>
          <w:p>
            <w:pPr>
              <w:widowControl/>
              <w:jc w:val="center"/>
              <w:textAlignment w:val="center"/>
              <w:rPr>
                <w:sz w:val="24"/>
              </w:rPr>
            </w:pPr>
            <w:r>
              <w:rPr>
                <w:kern w:val="0"/>
                <w:sz w:val="24"/>
                <w:lang w:bidi="ar"/>
              </w:rPr>
              <w:t>5.5</w:t>
            </w:r>
          </w:p>
        </w:tc>
        <w:tc>
          <w:tcPr>
            <w:tcW w:w="1498" w:type="dxa"/>
            <w:vAlign w:val="center"/>
          </w:tcPr>
          <w:p>
            <w:pPr>
              <w:widowControl/>
              <w:jc w:val="center"/>
              <w:textAlignment w:val="center"/>
              <w:rPr>
                <w:sz w:val="24"/>
              </w:rPr>
            </w:pPr>
            <w:r>
              <w:rPr>
                <w:kern w:val="0"/>
                <w:sz w:val="24"/>
                <w:lang w:bidi="ar"/>
              </w:rPr>
              <w:t>衢州巨化物流有限公司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81</w:t>
            </w:r>
          </w:p>
        </w:tc>
        <w:tc>
          <w:tcPr>
            <w:tcW w:w="789" w:type="dxa"/>
            <w:vAlign w:val="center"/>
          </w:tcPr>
          <w:p>
            <w:pPr>
              <w:jc w:val="center"/>
              <w:rPr>
                <w:sz w:val="24"/>
              </w:rPr>
            </w:pPr>
            <w:r>
              <w:rPr>
                <w:sz w:val="24"/>
              </w:rPr>
              <w:t>衢州</w:t>
            </w:r>
          </w:p>
        </w:tc>
        <w:tc>
          <w:tcPr>
            <w:tcW w:w="3193" w:type="dxa"/>
            <w:vAlign w:val="center"/>
          </w:tcPr>
          <w:p>
            <w:pPr>
              <w:widowControl/>
              <w:textAlignment w:val="center"/>
              <w:rPr>
                <w:sz w:val="24"/>
              </w:rPr>
            </w:pPr>
            <w:r>
              <w:rPr>
                <w:kern w:val="0"/>
                <w:sz w:val="24"/>
                <w:lang w:bidi="ar"/>
              </w:rPr>
              <w:t>高铁新城会展中心</w:t>
            </w:r>
          </w:p>
        </w:tc>
        <w:tc>
          <w:tcPr>
            <w:tcW w:w="4851" w:type="dxa"/>
            <w:vAlign w:val="center"/>
          </w:tcPr>
          <w:p>
            <w:pPr>
              <w:widowControl/>
              <w:textAlignment w:val="center"/>
              <w:rPr>
                <w:sz w:val="24"/>
              </w:rPr>
            </w:pPr>
            <w:r>
              <w:rPr>
                <w:kern w:val="0"/>
                <w:sz w:val="24"/>
                <w:lang w:bidi="ar"/>
              </w:rPr>
              <w:t>市政府计划在高铁新城布局衢州客厅项目，把它打造成为一个综合性的会展中心、商贸中心，能够给四省周边提供高水准的会议会务、商务对接、展览展示等服务。</w:t>
            </w:r>
          </w:p>
        </w:tc>
        <w:tc>
          <w:tcPr>
            <w:tcW w:w="1264" w:type="dxa"/>
            <w:vAlign w:val="center"/>
          </w:tcPr>
          <w:p>
            <w:pPr>
              <w:widowControl/>
              <w:jc w:val="center"/>
              <w:textAlignment w:val="center"/>
              <w:rPr>
                <w:sz w:val="24"/>
              </w:rPr>
            </w:pPr>
          </w:p>
        </w:tc>
        <w:tc>
          <w:tcPr>
            <w:tcW w:w="995" w:type="dxa"/>
            <w:vAlign w:val="center"/>
          </w:tcPr>
          <w:p>
            <w:pPr>
              <w:widowControl/>
              <w:jc w:val="center"/>
              <w:textAlignment w:val="center"/>
              <w:rPr>
                <w:sz w:val="24"/>
              </w:rPr>
            </w:pPr>
          </w:p>
        </w:tc>
        <w:tc>
          <w:tcPr>
            <w:tcW w:w="1498" w:type="dxa"/>
            <w:vAlign w:val="center"/>
          </w:tcPr>
          <w:p>
            <w:pPr>
              <w:widowControl/>
              <w:jc w:val="center"/>
              <w:textAlignment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82</w:t>
            </w:r>
          </w:p>
        </w:tc>
        <w:tc>
          <w:tcPr>
            <w:tcW w:w="789" w:type="dxa"/>
            <w:vAlign w:val="center"/>
          </w:tcPr>
          <w:p>
            <w:pPr>
              <w:jc w:val="center"/>
              <w:rPr>
                <w:sz w:val="24"/>
              </w:rPr>
            </w:pPr>
            <w:r>
              <w:rPr>
                <w:sz w:val="24"/>
              </w:rPr>
              <w:t>舟山</w:t>
            </w:r>
          </w:p>
        </w:tc>
        <w:tc>
          <w:tcPr>
            <w:tcW w:w="3193" w:type="dxa"/>
            <w:vAlign w:val="center"/>
          </w:tcPr>
          <w:p>
            <w:pPr>
              <w:widowControl/>
              <w:textAlignment w:val="center"/>
              <w:rPr>
                <w:sz w:val="24"/>
              </w:rPr>
            </w:pPr>
            <w:r>
              <w:rPr>
                <w:sz w:val="24"/>
              </w:rPr>
              <w:t>万达地产集团新城海运学院项目</w:t>
            </w:r>
          </w:p>
        </w:tc>
        <w:tc>
          <w:tcPr>
            <w:tcW w:w="4851" w:type="dxa"/>
            <w:vAlign w:val="center"/>
          </w:tcPr>
          <w:p>
            <w:pPr>
              <w:widowControl/>
              <w:textAlignment w:val="center"/>
              <w:rPr>
                <w:sz w:val="24"/>
              </w:rPr>
            </w:pPr>
            <w:r>
              <w:rPr>
                <w:sz w:val="24"/>
              </w:rPr>
              <w:t>作为知名的城市综合体运营者，万达具有强大的商圈制造能力，提升区域整体价值。</w:t>
            </w:r>
          </w:p>
        </w:tc>
        <w:tc>
          <w:tcPr>
            <w:tcW w:w="1264" w:type="dxa"/>
            <w:vAlign w:val="center"/>
          </w:tcPr>
          <w:p>
            <w:pPr>
              <w:widowControl/>
              <w:jc w:val="center"/>
              <w:textAlignment w:val="center"/>
              <w:rPr>
                <w:sz w:val="24"/>
              </w:rPr>
            </w:pPr>
            <w:r>
              <w:rPr>
                <w:sz w:val="24"/>
              </w:rPr>
              <w:t>2020-2025</w:t>
            </w:r>
          </w:p>
        </w:tc>
        <w:tc>
          <w:tcPr>
            <w:tcW w:w="995" w:type="dxa"/>
            <w:vAlign w:val="center"/>
          </w:tcPr>
          <w:p>
            <w:pPr>
              <w:widowControl/>
              <w:jc w:val="center"/>
              <w:textAlignment w:val="center"/>
              <w:rPr>
                <w:sz w:val="24"/>
              </w:rPr>
            </w:pPr>
            <w:r>
              <w:rPr>
                <w:sz w:val="24"/>
              </w:rPr>
              <w:t>11.5</w:t>
            </w:r>
          </w:p>
        </w:tc>
        <w:tc>
          <w:tcPr>
            <w:tcW w:w="1498" w:type="dxa"/>
            <w:vAlign w:val="center"/>
          </w:tcPr>
          <w:p>
            <w:pPr>
              <w:widowControl/>
              <w:jc w:val="center"/>
              <w:textAlignment w:val="center"/>
              <w:rPr>
                <w:sz w:val="24"/>
              </w:rPr>
            </w:pPr>
            <w:r>
              <w:rPr>
                <w:sz w:val="24"/>
              </w:rPr>
              <w:t>万达集团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83</w:t>
            </w:r>
          </w:p>
        </w:tc>
        <w:tc>
          <w:tcPr>
            <w:tcW w:w="789" w:type="dxa"/>
            <w:vAlign w:val="center"/>
          </w:tcPr>
          <w:p>
            <w:pPr>
              <w:jc w:val="center"/>
              <w:rPr>
                <w:sz w:val="24"/>
              </w:rPr>
            </w:pPr>
            <w:r>
              <w:rPr>
                <w:sz w:val="24"/>
              </w:rPr>
              <w:t>舟山</w:t>
            </w:r>
          </w:p>
        </w:tc>
        <w:tc>
          <w:tcPr>
            <w:tcW w:w="3193" w:type="dxa"/>
            <w:vAlign w:val="center"/>
          </w:tcPr>
          <w:p>
            <w:pPr>
              <w:widowControl/>
              <w:textAlignment w:val="center"/>
              <w:rPr>
                <w:sz w:val="24"/>
              </w:rPr>
            </w:pPr>
            <w:r>
              <w:rPr>
                <w:sz w:val="24"/>
              </w:rPr>
              <w:t>供应链应用与创新试点</w:t>
            </w:r>
          </w:p>
        </w:tc>
        <w:tc>
          <w:tcPr>
            <w:tcW w:w="4851" w:type="dxa"/>
            <w:vAlign w:val="center"/>
          </w:tcPr>
          <w:p>
            <w:pPr>
              <w:widowControl/>
              <w:textAlignment w:val="center"/>
              <w:rPr>
                <w:sz w:val="24"/>
              </w:rPr>
            </w:pPr>
            <w:r>
              <w:rPr>
                <w:sz w:val="24"/>
              </w:rPr>
              <w:t>水产品、江海联运、油气三大块供应链应用与创新试点</w:t>
            </w:r>
          </w:p>
        </w:tc>
        <w:tc>
          <w:tcPr>
            <w:tcW w:w="1264" w:type="dxa"/>
            <w:vAlign w:val="center"/>
          </w:tcPr>
          <w:p>
            <w:pPr>
              <w:widowControl/>
              <w:jc w:val="center"/>
              <w:textAlignment w:val="center"/>
              <w:rPr>
                <w:sz w:val="24"/>
              </w:rPr>
            </w:pPr>
            <w:r>
              <w:rPr>
                <w:sz w:val="24"/>
              </w:rPr>
              <w:t>2020-2025</w:t>
            </w:r>
          </w:p>
        </w:tc>
        <w:tc>
          <w:tcPr>
            <w:tcW w:w="995" w:type="dxa"/>
            <w:vAlign w:val="center"/>
          </w:tcPr>
          <w:p>
            <w:pPr>
              <w:widowControl/>
              <w:jc w:val="center"/>
              <w:textAlignment w:val="center"/>
              <w:rPr>
                <w:sz w:val="24"/>
              </w:rPr>
            </w:pPr>
          </w:p>
        </w:tc>
        <w:tc>
          <w:tcPr>
            <w:tcW w:w="1498" w:type="dxa"/>
            <w:vAlign w:val="center"/>
          </w:tcPr>
          <w:p>
            <w:pPr>
              <w:widowControl/>
              <w:jc w:val="center"/>
              <w:textAlignment w:val="center"/>
              <w:rPr>
                <w:sz w:val="24"/>
              </w:rPr>
            </w:pPr>
            <w:r>
              <w:rPr>
                <w:sz w:val="24"/>
              </w:rPr>
              <w:t>市商务局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84</w:t>
            </w:r>
          </w:p>
        </w:tc>
        <w:tc>
          <w:tcPr>
            <w:tcW w:w="789" w:type="dxa"/>
            <w:vAlign w:val="center"/>
          </w:tcPr>
          <w:p>
            <w:pPr>
              <w:jc w:val="center"/>
              <w:rPr>
                <w:sz w:val="24"/>
              </w:rPr>
            </w:pPr>
            <w:r>
              <w:rPr>
                <w:sz w:val="24"/>
              </w:rPr>
              <w:t>舟山</w:t>
            </w:r>
          </w:p>
        </w:tc>
        <w:tc>
          <w:tcPr>
            <w:tcW w:w="3193" w:type="dxa"/>
            <w:vAlign w:val="center"/>
          </w:tcPr>
          <w:p>
            <w:pPr>
              <w:widowControl/>
              <w:textAlignment w:val="center"/>
              <w:rPr>
                <w:sz w:val="24"/>
              </w:rPr>
            </w:pPr>
            <w:r>
              <w:rPr>
                <w:sz w:val="24"/>
              </w:rPr>
              <w:t>智慧商圈建设</w:t>
            </w:r>
          </w:p>
        </w:tc>
        <w:tc>
          <w:tcPr>
            <w:tcW w:w="4851" w:type="dxa"/>
            <w:vAlign w:val="center"/>
          </w:tcPr>
          <w:p>
            <w:pPr>
              <w:widowControl/>
              <w:textAlignment w:val="center"/>
              <w:rPr>
                <w:sz w:val="24"/>
              </w:rPr>
            </w:pPr>
            <w:r>
              <w:rPr>
                <w:sz w:val="24"/>
              </w:rPr>
              <w:t>杉杉普陀天地、新城如心小镇</w:t>
            </w:r>
          </w:p>
        </w:tc>
        <w:tc>
          <w:tcPr>
            <w:tcW w:w="1264" w:type="dxa"/>
            <w:vAlign w:val="center"/>
          </w:tcPr>
          <w:p>
            <w:pPr>
              <w:widowControl/>
              <w:jc w:val="center"/>
              <w:textAlignment w:val="center"/>
              <w:rPr>
                <w:sz w:val="24"/>
              </w:rPr>
            </w:pPr>
            <w:r>
              <w:rPr>
                <w:sz w:val="24"/>
              </w:rPr>
              <w:t>2020-2025</w:t>
            </w:r>
          </w:p>
        </w:tc>
        <w:tc>
          <w:tcPr>
            <w:tcW w:w="995" w:type="dxa"/>
            <w:vAlign w:val="center"/>
          </w:tcPr>
          <w:p>
            <w:pPr>
              <w:widowControl/>
              <w:jc w:val="center"/>
              <w:textAlignment w:val="center"/>
              <w:rPr>
                <w:sz w:val="24"/>
              </w:rPr>
            </w:pPr>
          </w:p>
        </w:tc>
        <w:tc>
          <w:tcPr>
            <w:tcW w:w="1498" w:type="dxa"/>
            <w:vAlign w:val="center"/>
          </w:tcPr>
          <w:p>
            <w:pPr>
              <w:widowControl/>
              <w:jc w:val="center"/>
              <w:textAlignment w:val="center"/>
              <w:rPr>
                <w:sz w:val="24"/>
              </w:rPr>
            </w:pPr>
            <w:r>
              <w:rPr>
                <w:sz w:val="24"/>
              </w:rPr>
              <w:t>市商务局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85</w:t>
            </w:r>
          </w:p>
        </w:tc>
        <w:tc>
          <w:tcPr>
            <w:tcW w:w="789" w:type="dxa"/>
            <w:vAlign w:val="center"/>
          </w:tcPr>
          <w:p>
            <w:pPr>
              <w:jc w:val="center"/>
              <w:rPr>
                <w:sz w:val="24"/>
              </w:rPr>
            </w:pPr>
            <w:r>
              <w:rPr>
                <w:sz w:val="24"/>
              </w:rPr>
              <w:t>台州</w:t>
            </w:r>
          </w:p>
        </w:tc>
        <w:tc>
          <w:tcPr>
            <w:tcW w:w="3193" w:type="dxa"/>
            <w:vAlign w:val="center"/>
          </w:tcPr>
          <w:p>
            <w:pPr>
              <w:widowControl/>
              <w:textAlignment w:val="center"/>
              <w:rPr>
                <w:sz w:val="24"/>
              </w:rPr>
            </w:pPr>
            <w:r>
              <w:rPr>
                <w:kern w:val="0"/>
                <w:sz w:val="24"/>
                <w:lang w:bidi="ar"/>
              </w:rPr>
              <w:t>台州国际博览中心项目</w:t>
            </w:r>
          </w:p>
        </w:tc>
        <w:tc>
          <w:tcPr>
            <w:tcW w:w="4851" w:type="dxa"/>
            <w:vAlign w:val="center"/>
          </w:tcPr>
          <w:p>
            <w:pPr>
              <w:widowControl/>
              <w:textAlignment w:val="center"/>
              <w:rPr>
                <w:sz w:val="24"/>
              </w:rPr>
            </w:pPr>
            <w:r>
              <w:rPr>
                <w:kern w:val="0"/>
                <w:sz w:val="24"/>
                <w:lang w:bidi="ar"/>
              </w:rPr>
              <w:t>台州国际博览中心计划建设展览中心、会议中心、办公、五星酒店、商业中心、四星酒店等，设置展位3890个</w:t>
            </w:r>
          </w:p>
        </w:tc>
        <w:tc>
          <w:tcPr>
            <w:tcW w:w="1264" w:type="dxa"/>
            <w:vAlign w:val="center"/>
          </w:tcPr>
          <w:p>
            <w:pPr>
              <w:widowControl/>
              <w:jc w:val="center"/>
              <w:textAlignment w:val="center"/>
              <w:rPr>
                <w:sz w:val="24"/>
              </w:rPr>
            </w:pPr>
            <w:r>
              <w:rPr>
                <w:kern w:val="0"/>
                <w:sz w:val="24"/>
                <w:lang w:bidi="ar"/>
              </w:rPr>
              <w:t>2020-2023</w:t>
            </w:r>
          </w:p>
        </w:tc>
        <w:tc>
          <w:tcPr>
            <w:tcW w:w="995" w:type="dxa"/>
            <w:vAlign w:val="center"/>
          </w:tcPr>
          <w:p>
            <w:pPr>
              <w:widowControl/>
              <w:jc w:val="center"/>
              <w:textAlignment w:val="center"/>
              <w:rPr>
                <w:sz w:val="24"/>
              </w:rPr>
            </w:pPr>
            <w:r>
              <w:rPr>
                <w:kern w:val="0"/>
                <w:sz w:val="24"/>
                <w:lang w:bidi="ar"/>
              </w:rPr>
              <w:t>45.22</w:t>
            </w:r>
          </w:p>
        </w:tc>
        <w:tc>
          <w:tcPr>
            <w:tcW w:w="1498" w:type="dxa"/>
            <w:vAlign w:val="center"/>
          </w:tcPr>
          <w:p>
            <w:pPr>
              <w:widowControl/>
              <w:jc w:val="center"/>
              <w:textAlignment w:val="center"/>
              <w:rPr>
                <w:sz w:val="24"/>
              </w:rPr>
            </w:pPr>
            <w:r>
              <w:rPr>
                <w:kern w:val="0"/>
                <w:sz w:val="24"/>
                <w:lang w:bidi="ar"/>
              </w:rPr>
              <w:t>台州国际博览中心有限公司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86</w:t>
            </w:r>
          </w:p>
        </w:tc>
        <w:tc>
          <w:tcPr>
            <w:tcW w:w="789" w:type="dxa"/>
            <w:vAlign w:val="center"/>
          </w:tcPr>
          <w:p>
            <w:pPr>
              <w:jc w:val="center"/>
              <w:rPr>
                <w:sz w:val="24"/>
              </w:rPr>
            </w:pPr>
            <w:r>
              <w:rPr>
                <w:sz w:val="24"/>
              </w:rPr>
              <w:t>台州</w:t>
            </w:r>
          </w:p>
        </w:tc>
        <w:tc>
          <w:tcPr>
            <w:tcW w:w="3193" w:type="dxa"/>
            <w:vAlign w:val="center"/>
          </w:tcPr>
          <w:p>
            <w:pPr>
              <w:widowControl/>
              <w:textAlignment w:val="center"/>
              <w:rPr>
                <w:sz w:val="24"/>
              </w:rPr>
            </w:pPr>
            <w:r>
              <w:rPr>
                <w:kern w:val="0"/>
                <w:sz w:val="24"/>
                <w:lang w:bidi="ar"/>
              </w:rPr>
              <w:t>天盛世界文化旅游博览中心</w:t>
            </w:r>
          </w:p>
        </w:tc>
        <w:tc>
          <w:tcPr>
            <w:tcW w:w="4851" w:type="dxa"/>
            <w:vAlign w:val="center"/>
          </w:tcPr>
          <w:p>
            <w:pPr>
              <w:widowControl/>
              <w:textAlignment w:val="bottom"/>
              <w:rPr>
                <w:sz w:val="24"/>
              </w:rPr>
            </w:pPr>
            <w:r>
              <w:rPr>
                <w:kern w:val="0"/>
                <w:sz w:val="24"/>
                <w:lang w:bidi="ar"/>
              </w:rPr>
              <w:t>项目布景总面积为52万平方米，由阅世界、知历史、颂祖国、世界城等四大板块组成。本工程为沉浸式旅游体验项目，通过声、光、电等科技手段和布景布展、全息影像、VR、AR等互动体验，模拟环境、感知、传感等将现实世界和虚拟世界融合在一起。</w:t>
            </w:r>
          </w:p>
        </w:tc>
        <w:tc>
          <w:tcPr>
            <w:tcW w:w="1264" w:type="dxa"/>
            <w:vAlign w:val="center"/>
          </w:tcPr>
          <w:p>
            <w:pPr>
              <w:widowControl/>
              <w:jc w:val="center"/>
              <w:textAlignment w:val="bottom"/>
              <w:rPr>
                <w:sz w:val="24"/>
              </w:rPr>
            </w:pPr>
            <w:r>
              <w:rPr>
                <w:kern w:val="0"/>
                <w:sz w:val="24"/>
                <w:lang w:bidi="ar"/>
              </w:rPr>
              <w:t>2020-2021</w:t>
            </w:r>
          </w:p>
        </w:tc>
        <w:tc>
          <w:tcPr>
            <w:tcW w:w="995" w:type="dxa"/>
            <w:vAlign w:val="center"/>
          </w:tcPr>
          <w:p>
            <w:pPr>
              <w:widowControl/>
              <w:jc w:val="center"/>
              <w:textAlignment w:val="center"/>
              <w:rPr>
                <w:sz w:val="24"/>
              </w:rPr>
            </w:pPr>
            <w:r>
              <w:rPr>
                <w:kern w:val="0"/>
                <w:sz w:val="24"/>
                <w:lang w:bidi="ar"/>
              </w:rPr>
              <w:t>52</w:t>
            </w:r>
          </w:p>
        </w:tc>
        <w:tc>
          <w:tcPr>
            <w:tcW w:w="1498" w:type="dxa"/>
            <w:vAlign w:val="center"/>
          </w:tcPr>
          <w:p>
            <w:pPr>
              <w:widowControl/>
              <w:jc w:val="center"/>
              <w:textAlignment w:val="bottom"/>
              <w:rPr>
                <w:sz w:val="24"/>
              </w:rPr>
            </w:pPr>
            <w:r>
              <w:rPr>
                <w:kern w:val="0"/>
                <w:sz w:val="24"/>
                <w:lang w:bidi="ar"/>
              </w:rPr>
              <w:t>台州天盛旅游发展有限公司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87</w:t>
            </w:r>
          </w:p>
        </w:tc>
        <w:tc>
          <w:tcPr>
            <w:tcW w:w="789" w:type="dxa"/>
            <w:vAlign w:val="center"/>
          </w:tcPr>
          <w:p>
            <w:pPr>
              <w:jc w:val="center"/>
              <w:rPr>
                <w:sz w:val="24"/>
              </w:rPr>
            </w:pPr>
            <w:r>
              <w:rPr>
                <w:sz w:val="24"/>
              </w:rPr>
              <w:t>台州</w:t>
            </w:r>
          </w:p>
        </w:tc>
        <w:tc>
          <w:tcPr>
            <w:tcW w:w="3193" w:type="dxa"/>
            <w:vAlign w:val="center"/>
          </w:tcPr>
          <w:p>
            <w:pPr>
              <w:widowControl/>
              <w:textAlignment w:val="center"/>
              <w:rPr>
                <w:sz w:val="24"/>
              </w:rPr>
            </w:pPr>
            <w:r>
              <w:rPr>
                <w:kern w:val="0"/>
                <w:sz w:val="24"/>
                <w:lang w:bidi="ar"/>
              </w:rPr>
              <w:t>葭</w:t>
            </w:r>
            <w:r>
              <w:rPr>
                <w:rFonts w:eastAsia="宋体"/>
                <w:kern w:val="0"/>
                <w:sz w:val="24"/>
                <w:lang w:bidi="ar"/>
              </w:rPr>
              <w:t>沚</w:t>
            </w:r>
            <w:r>
              <w:rPr>
                <w:kern w:val="0"/>
                <w:sz w:val="24"/>
                <w:lang w:bidi="ar"/>
              </w:rPr>
              <w:t>水城文化街区建设项目</w:t>
            </w:r>
          </w:p>
        </w:tc>
        <w:tc>
          <w:tcPr>
            <w:tcW w:w="4851" w:type="dxa"/>
            <w:vAlign w:val="center"/>
          </w:tcPr>
          <w:p>
            <w:pPr>
              <w:widowControl/>
              <w:textAlignment w:val="center"/>
              <w:rPr>
                <w:sz w:val="24"/>
              </w:rPr>
            </w:pPr>
            <w:r>
              <w:rPr>
                <w:kern w:val="0"/>
                <w:sz w:val="24"/>
                <w:lang w:bidi="ar"/>
              </w:rPr>
              <w:t>总建筑面积105098平方米，其中净用地面积99070平方米。总建筑面积360923平方米（含地下建筑面积）。项目建设形成有影响力的台州大型购物中心、文化艺术体验中心及会展中心等</w:t>
            </w:r>
          </w:p>
        </w:tc>
        <w:tc>
          <w:tcPr>
            <w:tcW w:w="1264" w:type="dxa"/>
            <w:vAlign w:val="center"/>
          </w:tcPr>
          <w:p>
            <w:pPr>
              <w:widowControl/>
              <w:jc w:val="center"/>
              <w:textAlignment w:val="center"/>
              <w:rPr>
                <w:sz w:val="24"/>
              </w:rPr>
            </w:pPr>
            <w:r>
              <w:rPr>
                <w:kern w:val="0"/>
                <w:sz w:val="24"/>
                <w:lang w:bidi="ar"/>
              </w:rPr>
              <w:t>2019-2022</w:t>
            </w:r>
          </w:p>
        </w:tc>
        <w:tc>
          <w:tcPr>
            <w:tcW w:w="995" w:type="dxa"/>
            <w:vAlign w:val="center"/>
          </w:tcPr>
          <w:p>
            <w:pPr>
              <w:widowControl/>
              <w:jc w:val="center"/>
              <w:textAlignment w:val="center"/>
              <w:rPr>
                <w:sz w:val="24"/>
              </w:rPr>
            </w:pPr>
            <w:r>
              <w:rPr>
                <w:kern w:val="0"/>
                <w:sz w:val="24"/>
                <w:lang w:bidi="ar"/>
              </w:rPr>
              <w:t>25</w:t>
            </w:r>
          </w:p>
        </w:tc>
        <w:tc>
          <w:tcPr>
            <w:tcW w:w="1498" w:type="dxa"/>
            <w:vAlign w:val="center"/>
          </w:tcPr>
          <w:p>
            <w:pPr>
              <w:widowControl/>
              <w:jc w:val="center"/>
              <w:textAlignment w:val="center"/>
              <w:rPr>
                <w:sz w:val="24"/>
              </w:rPr>
            </w:pPr>
            <w:r>
              <w:rPr>
                <w:sz w:val="24"/>
                <w:lang w:bidi="ar"/>
              </w:rPr>
              <w:t>台州</w:t>
            </w:r>
            <w:r>
              <w:rPr>
                <w:rFonts w:eastAsia="宋体"/>
                <w:sz w:val="24"/>
                <w:lang w:bidi="ar"/>
              </w:rPr>
              <w:t>璟</w:t>
            </w:r>
            <w:r>
              <w:rPr>
                <w:sz w:val="24"/>
                <w:lang w:bidi="ar"/>
              </w:rPr>
              <w:t>懿实业有限公司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015" w:hRule="atLeast"/>
          <w:jc w:val="center"/>
        </w:trPr>
        <w:tc>
          <w:tcPr>
            <w:tcW w:w="498" w:type="dxa"/>
            <w:vAlign w:val="center"/>
          </w:tcPr>
          <w:p>
            <w:pPr>
              <w:jc w:val="center"/>
              <w:rPr>
                <w:sz w:val="24"/>
              </w:rPr>
            </w:pPr>
            <w:r>
              <w:rPr>
                <w:sz w:val="24"/>
              </w:rPr>
              <w:t>88</w:t>
            </w:r>
          </w:p>
        </w:tc>
        <w:tc>
          <w:tcPr>
            <w:tcW w:w="789" w:type="dxa"/>
            <w:vAlign w:val="center"/>
          </w:tcPr>
          <w:p>
            <w:pPr>
              <w:jc w:val="center"/>
              <w:rPr>
                <w:sz w:val="24"/>
              </w:rPr>
            </w:pPr>
            <w:r>
              <w:rPr>
                <w:sz w:val="24"/>
              </w:rPr>
              <w:t>台州</w:t>
            </w:r>
          </w:p>
        </w:tc>
        <w:tc>
          <w:tcPr>
            <w:tcW w:w="3193" w:type="dxa"/>
            <w:vAlign w:val="center"/>
          </w:tcPr>
          <w:p>
            <w:pPr>
              <w:widowControl/>
              <w:textAlignment w:val="center"/>
              <w:rPr>
                <w:sz w:val="24"/>
              </w:rPr>
            </w:pPr>
            <w:r>
              <w:rPr>
                <w:kern w:val="0"/>
                <w:sz w:val="24"/>
                <w:lang w:bidi="ar"/>
              </w:rPr>
              <w:t>杜桥城市商业综合体</w:t>
            </w:r>
          </w:p>
        </w:tc>
        <w:tc>
          <w:tcPr>
            <w:tcW w:w="4851" w:type="dxa"/>
            <w:vAlign w:val="center"/>
          </w:tcPr>
          <w:p>
            <w:pPr>
              <w:widowControl/>
              <w:textAlignment w:val="center"/>
              <w:rPr>
                <w:spacing w:val="-4"/>
                <w:sz w:val="24"/>
              </w:rPr>
            </w:pPr>
            <w:r>
              <w:rPr>
                <w:spacing w:val="-4"/>
                <w:kern w:val="0"/>
                <w:sz w:val="24"/>
                <w:lang w:bidi="ar"/>
              </w:rPr>
              <w:t>总建筑面积250000平方米，建设购物广场、商务办公、电子商务、公寓式酒店及餐饮服务等</w:t>
            </w:r>
          </w:p>
        </w:tc>
        <w:tc>
          <w:tcPr>
            <w:tcW w:w="1264" w:type="dxa"/>
            <w:vAlign w:val="center"/>
          </w:tcPr>
          <w:p>
            <w:pPr>
              <w:widowControl/>
              <w:jc w:val="center"/>
              <w:textAlignment w:val="center"/>
              <w:rPr>
                <w:sz w:val="24"/>
              </w:rPr>
            </w:pPr>
            <w:r>
              <w:rPr>
                <w:kern w:val="0"/>
                <w:sz w:val="24"/>
                <w:lang w:bidi="ar"/>
              </w:rPr>
              <w:t>2020-2024</w:t>
            </w:r>
          </w:p>
        </w:tc>
        <w:tc>
          <w:tcPr>
            <w:tcW w:w="995" w:type="dxa"/>
            <w:vAlign w:val="center"/>
          </w:tcPr>
          <w:p>
            <w:pPr>
              <w:widowControl/>
              <w:jc w:val="center"/>
              <w:textAlignment w:val="center"/>
              <w:rPr>
                <w:sz w:val="24"/>
              </w:rPr>
            </w:pPr>
            <w:r>
              <w:rPr>
                <w:kern w:val="0"/>
                <w:sz w:val="24"/>
                <w:lang w:bidi="ar"/>
              </w:rPr>
              <w:t>16</w:t>
            </w:r>
          </w:p>
        </w:tc>
        <w:tc>
          <w:tcPr>
            <w:tcW w:w="1498" w:type="dxa"/>
            <w:vAlign w:val="center"/>
          </w:tcPr>
          <w:p>
            <w:pPr>
              <w:jc w:val="center"/>
              <w:rPr>
                <w:sz w:val="24"/>
              </w:rPr>
            </w:pPr>
            <w:r>
              <w:rPr>
                <w:snapToGrid w:val="0"/>
                <w:spacing w:val="-8"/>
                <w:kern w:val="0"/>
                <w:sz w:val="24"/>
              </w:rPr>
              <w:t>宝龙星汇（杭州聚详企业管理有限公司）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89</w:t>
            </w:r>
          </w:p>
        </w:tc>
        <w:tc>
          <w:tcPr>
            <w:tcW w:w="789" w:type="dxa"/>
            <w:vAlign w:val="center"/>
          </w:tcPr>
          <w:p>
            <w:pPr>
              <w:jc w:val="center"/>
              <w:rPr>
                <w:sz w:val="24"/>
              </w:rPr>
            </w:pPr>
            <w:r>
              <w:rPr>
                <w:sz w:val="24"/>
              </w:rPr>
              <w:t>台州</w:t>
            </w:r>
          </w:p>
        </w:tc>
        <w:tc>
          <w:tcPr>
            <w:tcW w:w="3193" w:type="dxa"/>
            <w:vAlign w:val="center"/>
          </w:tcPr>
          <w:p>
            <w:pPr>
              <w:widowControl/>
              <w:textAlignment w:val="center"/>
              <w:rPr>
                <w:sz w:val="24"/>
              </w:rPr>
            </w:pPr>
            <w:r>
              <w:rPr>
                <w:kern w:val="0"/>
                <w:sz w:val="24"/>
                <w:lang w:bidi="ar"/>
              </w:rPr>
              <w:t>江语城（综合体）</w:t>
            </w:r>
          </w:p>
        </w:tc>
        <w:tc>
          <w:tcPr>
            <w:tcW w:w="4851" w:type="dxa"/>
            <w:vAlign w:val="center"/>
          </w:tcPr>
          <w:p>
            <w:pPr>
              <w:widowControl/>
              <w:textAlignment w:val="center"/>
              <w:rPr>
                <w:sz w:val="24"/>
              </w:rPr>
            </w:pPr>
            <w:r>
              <w:rPr>
                <w:kern w:val="0"/>
                <w:sz w:val="24"/>
                <w:lang w:bidi="ar"/>
              </w:rPr>
              <w:t>总建筑面积276406.6平方米，地下建筑面积81132平方米，地上（计容）建筑面积195274.6平方米。建设购物中心、办公楼、住宅等</w:t>
            </w:r>
          </w:p>
        </w:tc>
        <w:tc>
          <w:tcPr>
            <w:tcW w:w="1264" w:type="dxa"/>
            <w:vAlign w:val="center"/>
          </w:tcPr>
          <w:p>
            <w:pPr>
              <w:widowControl/>
              <w:jc w:val="center"/>
              <w:textAlignment w:val="center"/>
              <w:rPr>
                <w:sz w:val="24"/>
              </w:rPr>
            </w:pPr>
            <w:r>
              <w:rPr>
                <w:kern w:val="0"/>
                <w:sz w:val="24"/>
                <w:lang w:bidi="ar"/>
              </w:rPr>
              <w:t>2019-2022</w:t>
            </w:r>
          </w:p>
        </w:tc>
        <w:tc>
          <w:tcPr>
            <w:tcW w:w="995" w:type="dxa"/>
            <w:vAlign w:val="center"/>
          </w:tcPr>
          <w:p>
            <w:pPr>
              <w:widowControl/>
              <w:jc w:val="center"/>
              <w:textAlignment w:val="center"/>
              <w:rPr>
                <w:sz w:val="24"/>
              </w:rPr>
            </w:pPr>
            <w:r>
              <w:rPr>
                <w:kern w:val="0"/>
                <w:sz w:val="24"/>
                <w:lang w:bidi="ar"/>
              </w:rPr>
              <w:t>24</w:t>
            </w:r>
          </w:p>
        </w:tc>
        <w:tc>
          <w:tcPr>
            <w:tcW w:w="1498" w:type="dxa"/>
            <w:vAlign w:val="center"/>
          </w:tcPr>
          <w:p>
            <w:pPr>
              <w:widowControl/>
              <w:jc w:val="center"/>
              <w:textAlignment w:val="center"/>
              <w:rPr>
                <w:sz w:val="24"/>
              </w:rPr>
            </w:pPr>
            <w:r>
              <w:rPr>
                <w:kern w:val="0"/>
                <w:sz w:val="24"/>
                <w:lang w:bidi="ar"/>
              </w:rPr>
              <w:t>靖江壹号（临海）地产开发有限公司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90</w:t>
            </w:r>
          </w:p>
        </w:tc>
        <w:tc>
          <w:tcPr>
            <w:tcW w:w="789" w:type="dxa"/>
            <w:vAlign w:val="center"/>
          </w:tcPr>
          <w:p>
            <w:pPr>
              <w:jc w:val="center"/>
              <w:rPr>
                <w:sz w:val="24"/>
              </w:rPr>
            </w:pPr>
            <w:r>
              <w:rPr>
                <w:sz w:val="24"/>
              </w:rPr>
              <w:t>台州</w:t>
            </w:r>
          </w:p>
        </w:tc>
        <w:tc>
          <w:tcPr>
            <w:tcW w:w="3193" w:type="dxa"/>
            <w:vAlign w:val="center"/>
          </w:tcPr>
          <w:p>
            <w:pPr>
              <w:widowControl/>
              <w:textAlignment w:val="center"/>
              <w:rPr>
                <w:sz w:val="24"/>
              </w:rPr>
            </w:pPr>
            <w:r>
              <w:rPr>
                <w:kern w:val="0"/>
                <w:sz w:val="24"/>
                <w:lang w:bidi="ar"/>
              </w:rPr>
              <w:t>台州杜桥眼镜综合城</w:t>
            </w:r>
          </w:p>
        </w:tc>
        <w:tc>
          <w:tcPr>
            <w:tcW w:w="4851" w:type="dxa"/>
            <w:vAlign w:val="center"/>
          </w:tcPr>
          <w:p>
            <w:pPr>
              <w:widowControl/>
              <w:textAlignment w:val="center"/>
              <w:rPr>
                <w:sz w:val="24"/>
              </w:rPr>
            </w:pPr>
            <w:r>
              <w:rPr>
                <w:kern w:val="0"/>
                <w:sz w:val="24"/>
                <w:lang w:bidi="ar"/>
              </w:rPr>
              <w:t>总建筑面积约171000平方米，地上建筑面积127000平方米，其中眼镜综合市场不少于40000平方米；酒店不少于12000平方米；办公不少于12000平方米；住宅不大于40000平方米，其余为商业</w:t>
            </w:r>
          </w:p>
        </w:tc>
        <w:tc>
          <w:tcPr>
            <w:tcW w:w="1264" w:type="dxa"/>
            <w:vAlign w:val="center"/>
          </w:tcPr>
          <w:p>
            <w:pPr>
              <w:widowControl/>
              <w:jc w:val="center"/>
              <w:textAlignment w:val="center"/>
              <w:rPr>
                <w:sz w:val="24"/>
              </w:rPr>
            </w:pPr>
            <w:r>
              <w:rPr>
                <w:kern w:val="0"/>
                <w:sz w:val="24"/>
                <w:lang w:bidi="ar"/>
              </w:rPr>
              <w:t>2019-2022</w:t>
            </w:r>
          </w:p>
        </w:tc>
        <w:tc>
          <w:tcPr>
            <w:tcW w:w="995" w:type="dxa"/>
            <w:vAlign w:val="center"/>
          </w:tcPr>
          <w:p>
            <w:pPr>
              <w:widowControl/>
              <w:jc w:val="center"/>
              <w:textAlignment w:val="center"/>
              <w:rPr>
                <w:sz w:val="24"/>
              </w:rPr>
            </w:pPr>
            <w:r>
              <w:rPr>
                <w:kern w:val="0"/>
                <w:sz w:val="24"/>
                <w:lang w:bidi="ar"/>
              </w:rPr>
              <w:t>10.2</w:t>
            </w:r>
          </w:p>
        </w:tc>
        <w:tc>
          <w:tcPr>
            <w:tcW w:w="1498" w:type="dxa"/>
            <w:vAlign w:val="center"/>
          </w:tcPr>
          <w:p>
            <w:pPr>
              <w:widowControl/>
              <w:jc w:val="center"/>
              <w:textAlignment w:val="center"/>
              <w:rPr>
                <w:sz w:val="24"/>
              </w:rPr>
            </w:pPr>
            <w:r>
              <w:rPr>
                <w:kern w:val="0"/>
                <w:sz w:val="24"/>
                <w:lang w:bidi="ar"/>
              </w:rPr>
              <w:t>台州杜桥眼镜城发展有限公司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91</w:t>
            </w:r>
          </w:p>
        </w:tc>
        <w:tc>
          <w:tcPr>
            <w:tcW w:w="789" w:type="dxa"/>
            <w:vAlign w:val="center"/>
          </w:tcPr>
          <w:p>
            <w:pPr>
              <w:jc w:val="center"/>
              <w:rPr>
                <w:sz w:val="24"/>
              </w:rPr>
            </w:pPr>
            <w:r>
              <w:rPr>
                <w:sz w:val="24"/>
              </w:rPr>
              <w:t>台州</w:t>
            </w:r>
          </w:p>
        </w:tc>
        <w:tc>
          <w:tcPr>
            <w:tcW w:w="3193" w:type="dxa"/>
            <w:vAlign w:val="center"/>
          </w:tcPr>
          <w:p>
            <w:pPr>
              <w:widowControl/>
              <w:textAlignment w:val="center"/>
              <w:rPr>
                <w:sz w:val="24"/>
              </w:rPr>
            </w:pPr>
            <w:r>
              <w:rPr>
                <w:kern w:val="0"/>
                <w:sz w:val="24"/>
                <w:lang w:bidi="ar"/>
              </w:rPr>
              <w:t>浙江东南汽车广场</w:t>
            </w:r>
          </w:p>
        </w:tc>
        <w:tc>
          <w:tcPr>
            <w:tcW w:w="4851" w:type="dxa"/>
            <w:vAlign w:val="center"/>
          </w:tcPr>
          <w:p>
            <w:pPr>
              <w:widowControl/>
              <w:textAlignment w:val="center"/>
              <w:rPr>
                <w:sz w:val="24"/>
              </w:rPr>
            </w:pPr>
            <w:r>
              <w:rPr>
                <w:kern w:val="0"/>
                <w:sz w:val="24"/>
                <w:lang w:bidi="ar"/>
              </w:rPr>
              <w:t>总建筑面积12万平方米，其中地上面积11万平方米，划分为汽车4</w:t>
            </w:r>
            <w:r>
              <w:rPr>
                <w:rFonts w:hint="eastAsia"/>
                <w:kern w:val="0"/>
                <w:sz w:val="24"/>
                <w:lang w:bidi="ar"/>
              </w:rPr>
              <w:t>S</w:t>
            </w:r>
            <w:r>
              <w:rPr>
                <w:kern w:val="0"/>
                <w:sz w:val="24"/>
                <w:lang w:bidi="ar"/>
              </w:rPr>
              <w:t>店、发布大厅、汽车城展厅、汽车管理运营中心四大功能区块</w:t>
            </w:r>
          </w:p>
        </w:tc>
        <w:tc>
          <w:tcPr>
            <w:tcW w:w="1264" w:type="dxa"/>
            <w:vAlign w:val="center"/>
          </w:tcPr>
          <w:p>
            <w:pPr>
              <w:widowControl/>
              <w:jc w:val="center"/>
              <w:textAlignment w:val="center"/>
              <w:rPr>
                <w:sz w:val="24"/>
              </w:rPr>
            </w:pPr>
            <w:r>
              <w:rPr>
                <w:kern w:val="0"/>
                <w:sz w:val="24"/>
                <w:lang w:bidi="ar"/>
              </w:rPr>
              <w:t>2019-2022</w:t>
            </w:r>
          </w:p>
        </w:tc>
        <w:tc>
          <w:tcPr>
            <w:tcW w:w="995" w:type="dxa"/>
            <w:vAlign w:val="center"/>
          </w:tcPr>
          <w:p>
            <w:pPr>
              <w:widowControl/>
              <w:jc w:val="center"/>
              <w:textAlignment w:val="center"/>
              <w:rPr>
                <w:sz w:val="24"/>
              </w:rPr>
            </w:pPr>
            <w:r>
              <w:rPr>
                <w:kern w:val="0"/>
                <w:sz w:val="24"/>
                <w:lang w:bidi="ar"/>
              </w:rPr>
              <w:t>21.24</w:t>
            </w:r>
          </w:p>
        </w:tc>
        <w:tc>
          <w:tcPr>
            <w:tcW w:w="1498" w:type="dxa"/>
            <w:vAlign w:val="center"/>
          </w:tcPr>
          <w:p>
            <w:pPr>
              <w:widowControl/>
              <w:jc w:val="center"/>
              <w:textAlignment w:val="center"/>
              <w:rPr>
                <w:sz w:val="24"/>
              </w:rPr>
            </w:pPr>
            <w:r>
              <w:rPr>
                <w:kern w:val="0"/>
                <w:sz w:val="24"/>
                <w:lang w:bidi="ar"/>
              </w:rPr>
              <w:t>浙江东南汽车广场有限公司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92</w:t>
            </w:r>
          </w:p>
        </w:tc>
        <w:tc>
          <w:tcPr>
            <w:tcW w:w="789" w:type="dxa"/>
            <w:vAlign w:val="center"/>
          </w:tcPr>
          <w:p>
            <w:pPr>
              <w:jc w:val="center"/>
              <w:rPr>
                <w:sz w:val="24"/>
              </w:rPr>
            </w:pPr>
            <w:r>
              <w:rPr>
                <w:sz w:val="24"/>
              </w:rPr>
              <w:t>台州</w:t>
            </w:r>
          </w:p>
        </w:tc>
        <w:tc>
          <w:tcPr>
            <w:tcW w:w="3193" w:type="dxa"/>
            <w:vAlign w:val="center"/>
          </w:tcPr>
          <w:p>
            <w:pPr>
              <w:widowControl/>
              <w:textAlignment w:val="center"/>
              <w:rPr>
                <w:sz w:val="24"/>
              </w:rPr>
            </w:pPr>
            <w:r>
              <w:rPr>
                <w:kern w:val="0"/>
                <w:sz w:val="24"/>
                <w:lang w:bidi="ar"/>
              </w:rPr>
              <w:t>城市生活中心</w:t>
            </w:r>
          </w:p>
        </w:tc>
        <w:tc>
          <w:tcPr>
            <w:tcW w:w="4851" w:type="dxa"/>
            <w:vAlign w:val="center"/>
          </w:tcPr>
          <w:p>
            <w:pPr>
              <w:widowControl/>
              <w:textAlignment w:val="center"/>
              <w:rPr>
                <w:sz w:val="24"/>
              </w:rPr>
            </w:pPr>
            <w:r>
              <w:rPr>
                <w:kern w:val="0"/>
                <w:sz w:val="24"/>
                <w:lang w:bidi="ar"/>
              </w:rPr>
              <w:t>总建筑面积10.7万平方米，地下建筑面积3.1万平方米，广场及绿化面积1.2万平方米。开发建设休闲运动馆，生活中心等</w:t>
            </w:r>
          </w:p>
        </w:tc>
        <w:tc>
          <w:tcPr>
            <w:tcW w:w="1264" w:type="dxa"/>
            <w:vAlign w:val="center"/>
          </w:tcPr>
          <w:p>
            <w:pPr>
              <w:widowControl/>
              <w:jc w:val="center"/>
              <w:textAlignment w:val="center"/>
              <w:rPr>
                <w:sz w:val="24"/>
              </w:rPr>
            </w:pPr>
            <w:r>
              <w:rPr>
                <w:kern w:val="0"/>
                <w:sz w:val="24"/>
                <w:lang w:bidi="ar"/>
              </w:rPr>
              <w:t>2019-2022</w:t>
            </w:r>
          </w:p>
        </w:tc>
        <w:tc>
          <w:tcPr>
            <w:tcW w:w="995" w:type="dxa"/>
            <w:vAlign w:val="center"/>
          </w:tcPr>
          <w:p>
            <w:pPr>
              <w:widowControl/>
              <w:jc w:val="center"/>
              <w:textAlignment w:val="center"/>
              <w:rPr>
                <w:sz w:val="24"/>
              </w:rPr>
            </w:pPr>
            <w:r>
              <w:rPr>
                <w:kern w:val="0"/>
                <w:sz w:val="24"/>
                <w:lang w:bidi="ar"/>
              </w:rPr>
              <w:t>20.12</w:t>
            </w:r>
          </w:p>
        </w:tc>
        <w:tc>
          <w:tcPr>
            <w:tcW w:w="1498" w:type="dxa"/>
            <w:vAlign w:val="center"/>
          </w:tcPr>
          <w:p>
            <w:pPr>
              <w:widowControl/>
              <w:jc w:val="center"/>
              <w:textAlignment w:val="center"/>
              <w:rPr>
                <w:sz w:val="24"/>
              </w:rPr>
            </w:pPr>
            <w:r>
              <w:rPr>
                <w:kern w:val="0"/>
                <w:sz w:val="24"/>
                <w:lang w:bidi="ar"/>
              </w:rPr>
              <w:t>台州鹏淼房地产开发有限公司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659" w:hRule="atLeast"/>
          <w:jc w:val="center"/>
        </w:trPr>
        <w:tc>
          <w:tcPr>
            <w:tcW w:w="498" w:type="dxa"/>
            <w:vAlign w:val="center"/>
          </w:tcPr>
          <w:p>
            <w:pPr>
              <w:jc w:val="center"/>
              <w:rPr>
                <w:sz w:val="24"/>
              </w:rPr>
            </w:pPr>
            <w:r>
              <w:rPr>
                <w:sz w:val="24"/>
              </w:rPr>
              <w:t>93</w:t>
            </w:r>
          </w:p>
        </w:tc>
        <w:tc>
          <w:tcPr>
            <w:tcW w:w="789" w:type="dxa"/>
            <w:vAlign w:val="center"/>
          </w:tcPr>
          <w:p>
            <w:pPr>
              <w:jc w:val="center"/>
              <w:rPr>
                <w:sz w:val="24"/>
              </w:rPr>
            </w:pPr>
            <w:r>
              <w:rPr>
                <w:sz w:val="24"/>
              </w:rPr>
              <w:t>台州</w:t>
            </w:r>
          </w:p>
        </w:tc>
        <w:tc>
          <w:tcPr>
            <w:tcW w:w="3193" w:type="dxa"/>
            <w:vAlign w:val="center"/>
          </w:tcPr>
          <w:p>
            <w:pPr>
              <w:widowControl/>
              <w:textAlignment w:val="center"/>
              <w:rPr>
                <w:sz w:val="24"/>
              </w:rPr>
            </w:pPr>
            <w:r>
              <w:rPr>
                <w:kern w:val="0"/>
                <w:sz w:val="24"/>
                <w:lang w:bidi="ar"/>
              </w:rPr>
              <w:t>赭溪文化中心</w:t>
            </w:r>
          </w:p>
        </w:tc>
        <w:tc>
          <w:tcPr>
            <w:tcW w:w="4851" w:type="dxa"/>
            <w:vAlign w:val="center"/>
          </w:tcPr>
          <w:p>
            <w:pPr>
              <w:widowControl/>
              <w:textAlignment w:val="center"/>
              <w:rPr>
                <w:sz w:val="24"/>
              </w:rPr>
            </w:pPr>
            <w:r>
              <w:rPr>
                <w:kern w:val="0"/>
                <w:sz w:val="24"/>
                <w:lang w:bidi="ar"/>
              </w:rPr>
              <w:t>总建筑面积约为115450平方米，地上建筑面积合计80450平方米，地下建筑面积约为35000平方米。建设内容包括图书馆、文化馆、大剧院、城市展览展厅、酒店（办公）、商业及配套设施</w:t>
            </w:r>
          </w:p>
        </w:tc>
        <w:tc>
          <w:tcPr>
            <w:tcW w:w="1264" w:type="dxa"/>
            <w:vAlign w:val="center"/>
          </w:tcPr>
          <w:p>
            <w:pPr>
              <w:widowControl/>
              <w:jc w:val="center"/>
              <w:textAlignment w:val="center"/>
              <w:rPr>
                <w:sz w:val="24"/>
              </w:rPr>
            </w:pPr>
            <w:r>
              <w:rPr>
                <w:kern w:val="0"/>
                <w:sz w:val="24"/>
                <w:lang w:bidi="ar"/>
              </w:rPr>
              <w:t>2019-2022</w:t>
            </w:r>
          </w:p>
        </w:tc>
        <w:tc>
          <w:tcPr>
            <w:tcW w:w="995" w:type="dxa"/>
            <w:vAlign w:val="center"/>
          </w:tcPr>
          <w:p>
            <w:pPr>
              <w:widowControl/>
              <w:jc w:val="center"/>
              <w:textAlignment w:val="center"/>
              <w:rPr>
                <w:sz w:val="24"/>
              </w:rPr>
            </w:pPr>
            <w:r>
              <w:rPr>
                <w:kern w:val="0"/>
                <w:sz w:val="24"/>
                <w:lang w:bidi="ar"/>
              </w:rPr>
              <w:t>18</w:t>
            </w:r>
          </w:p>
        </w:tc>
        <w:tc>
          <w:tcPr>
            <w:tcW w:w="1498" w:type="dxa"/>
            <w:vAlign w:val="center"/>
          </w:tcPr>
          <w:p>
            <w:pPr>
              <w:widowControl/>
              <w:jc w:val="center"/>
              <w:textAlignment w:val="center"/>
              <w:rPr>
                <w:sz w:val="24"/>
              </w:rPr>
            </w:pPr>
            <w:r>
              <w:rPr>
                <w:kern w:val="0"/>
                <w:sz w:val="24"/>
                <w:lang w:bidi="ar"/>
              </w:rPr>
              <w:t>天台杨帆赭溪房地产开发有限公司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94</w:t>
            </w:r>
          </w:p>
        </w:tc>
        <w:tc>
          <w:tcPr>
            <w:tcW w:w="789" w:type="dxa"/>
            <w:vAlign w:val="center"/>
          </w:tcPr>
          <w:p>
            <w:pPr>
              <w:jc w:val="center"/>
              <w:rPr>
                <w:sz w:val="24"/>
              </w:rPr>
            </w:pPr>
            <w:r>
              <w:rPr>
                <w:sz w:val="24"/>
              </w:rPr>
              <w:t>台州</w:t>
            </w:r>
          </w:p>
        </w:tc>
        <w:tc>
          <w:tcPr>
            <w:tcW w:w="3193" w:type="dxa"/>
            <w:vAlign w:val="center"/>
          </w:tcPr>
          <w:p>
            <w:pPr>
              <w:widowControl/>
              <w:textAlignment w:val="center"/>
              <w:rPr>
                <w:sz w:val="24"/>
              </w:rPr>
            </w:pPr>
            <w:r>
              <w:rPr>
                <w:kern w:val="0"/>
                <w:sz w:val="24"/>
                <w:lang w:bidi="ar"/>
              </w:rPr>
              <w:t>仙居汽车城</w:t>
            </w:r>
          </w:p>
        </w:tc>
        <w:tc>
          <w:tcPr>
            <w:tcW w:w="4851" w:type="dxa"/>
            <w:vAlign w:val="center"/>
          </w:tcPr>
          <w:p>
            <w:pPr>
              <w:widowControl/>
              <w:textAlignment w:val="center"/>
              <w:rPr>
                <w:sz w:val="24"/>
              </w:rPr>
            </w:pPr>
            <w:r>
              <w:rPr>
                <w:kern w:val="0"/>
                <w:sz w:val="24"/>
                <w:lang w:bidi="ar"/>
              </w:rPr>
              <w:t>占地100亩，主要是汽车销售、保养、维修和二手车交易市场</w:t>
            </w:r>
          </w:p>
        </w:tc>
        <w:tc>
          <w:tcPr>
            <w:tcW w:w="1264" w:type="dxa"/>
            <w:vAlign w:val="center"/>
          </w:tcPr>
          <w:p>
            <w:pPr>
              <w:widowControl/>
              <w:jc w:val="center"/>
              <w:textAlignment w:val="center"/>
              <w:rPr>
                <w:sz w:val="24"/>
              </w:rPr>
            </w:pPr>
            <w:r>
              <w:rPr>
                <w:kern w:val="0"/>
                <w:sz w:val="24"/>
                <w:lang w:bidi="ar"/>
              </w:rPr>
              <w:t>2021-2023</w:t>
            </w:r>
          </w:p>
        </w:tc>
        <w:tc>
          <w:tcPr>
            <w:tcW w:w="995" w:type="dxa"/>
            <w:vAlign w:val="center"/>
          </w:tcPr>
          <w:p>
            <w:pPr>
              <w:widowControl/>
              <w:jc w:val="center"/>
              <w:textAlignment w:val="center"/>
              <w:rPr>
                <w:sz w:val="24"/>
              </w:rPr>
            </w:pPr>
            <w:r>
              <w:rPr>
                <w:kern w:val="0"/>
                <w:sz w:val="24"/>
                <w:lang w:bidi="ar"/>
              </w:rPr>
              <w:t>5.1</w:t>
            </w:r>
          </w:p>
        </w:tc>
        <w:tc>
          <w:tcPr>
            <w:tcW w:w="1498"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95</w:t>
            </w:r>
          </w:p>
        </w:tc>
        <w:tc>
          <w:tcPr>
            <w:tcW w:w="789" w:type="dxa"/>
            <w:vAlign w:val="center"/>
          </w:tcPr>
          <w:p>
            <w:pPr>
              <w:jc w:val="center"/>
              <w:rPr>
                <w:sz w:val="24"/>
              </w:rPr>
            </w:pPr>
            <w:r>
              <w:rPr>
                <w:sz w:val="24"/>
              </w:rPr>
              <w:t>台州</w:t>
            </w:r>
          </w:p>
        </w:tc>
        <w:tc>
          <w:tcPr>
            <w:tcW w:w="3193" w:type="dxa"/>
            <w:vAlign w:val="center"/>
          </w:tcPr>
          <w:p>
            <w:pPr>
              <w:widowControl/>
              <w:textAlignment w:val="center"/>
              <w:rPr>
                <w:sz w:val="24"/>
              </w:rPr>
            </w:pPr>
            <w:r>
              <w:rPr>
                <w:kern w:val="0"/>
                <w:sz w:val="24"/>
                <w:lang w:bidi="ar"/>
              </w:rPr>
              <w:t>仙居农港城</w:t>
            </w:r>
          </w:p>
        </w:tc>
        <w:tc>
          <w:tcPr>
            <w:tcW w:w="4851" w:type="dxa"/>
            <w:vAlign w:val="center"/>
          </w:tcPr>
          <w:p>
            <w:pPr>
              <w:widowControl/>
              <w:textAlignment w:val="center"/>
              <w:rPr>
                <w:sz w:val="24"/>
              </w:rPr>
            </w:pPr>
            <w:r>
              <w:rPr>
                <w:kern w:val="0"/>
                <w:sz w:val="24"/>
                <w:lang w:bidi="ar"/>
              </w:rPr>
              <w:t>蔬菜、水果、农副产品销售批发，农旅结合</w:t>
            </w:r>
          </w:p>
        </w:tc>
        <w:tc>
          <w:tcPr>
            <w:tcW w:w="1264" w:type="dxa"/>
            <w:vAlign w:val="center"/>
          </w:tcPr>
          <w:p>
            <w:pPr>
              <w:widowControl/>
              <w:jc w:val="center"/>
              <w:textAlignment w:val="center"/>
              <w:rPr>
                <w:sz w:val="24"/>
              </w:rPr>
            </w:pPr>
            <w:r>
              <w:rPr>
                <w:kern w:val="0"/>
                <w:sz w:val="24"/>
                <w:lang w:bidi="ar"/>
              </w:rPr>
              <w:t>2020-2023</w:t>
            </w:r>
          </w:p>
        </w:tc>
        <w:tc>
          <w:tcPr>
            <w:tcW w:w="995" w:type="dxa"/>
            <w:vAlign w:val="center"/>
          </w:tcPr>
          <w:p>
            <w:pPr>
              <w:widowControl/>
              <w:jc w:val="center"/>
              <w:textAlignment w:val="center"/>
              <w:rPr>
                <w:sz w:val="24"/>
              </w:rPr>
            </w:pPr>
            <w:r>
              <w:rPr>
                <w:kern w:val="0"/>
                <w:sz w:val="24"/>
                <w:lang w:bidi="ar"/>
              </w:rPr>
              <w:t>5.2</w:t>
            </w:r>
          </w:p>
        </w:tc>
        <w:tc>
          <w:tcPr>
            <w:tcW w:w="1498"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96</w:t>
            </w:r>
          </w:p>
        </w:tc>
        <w:tc>
          <w:tcPr>
            <w:tcW w:w="789" w:type="dxa"/>
            <w:vAlign w:val="center"/>
          </w:tcPr>
          <w:p>
            <w:pPr>
              <w:jc w:val="center"/>
              <w:rPr>
                <w:sz w:val="24"/>
              </w:rPr>
            </w:pPr>
            <w:r>
              <w:rPr>
                <w:sz w:val="24"/>
              </w:rPr>
              <w:t>丽水</w:t>
            </w:r>
          </w:p>
        </w:tc>
        <w:tc>
          <w:tcPr>
            <w:tcW w:w="3193" w:type="dxa"/>
            <w:vAlign w:val="center"/>
          </w:tcPr>
          <w:p>
            <w:pPr>
              <w:rPr>
                <w:sz w:val="24"/>
              </w:rPr>
            </w:pPr>
            <w:r>
              <w:rPr>
                <w:sz w:val="24"/>
              </w:rPr>
              <w:t>丽水江滨商务中心</w:t>
            </w:r>
          </w:p>
        </w:tc>
        <w:tc>
          <w:tcPr>
            <w:tcW w:w="4851" w:type="dxa"/>
            <w:vAlign w:val="center"/>
          </w:tcPr>
          <w:p>
            <w:pPr>
              <w:rPr>
                <w:sz w:val="24"/>
              </w:rPr>
            </w:pPr>
            <w:r>
              <w:rPr>
                <w:sz w:val="24"/>
              </w:rPr>
              <w:t>按照丽水市大花园建设要求，打造具备国际品质与地区特色的山水城市形象展示区和4A级景区。建设现代园林式特色商业区、酒店、庭院式总部办公、住宅、景观休闲庭院</w:t>
            </w:r>
          </w:p>
        </w:tc>
        <w:tc>
          <w:tcPr>
            <w:tcW w:w="1264" w:type="dxa"/>
            <w:vAlign w:val="center"/>
          </w:tcPr>
          <w:p>
            <w:pPr>
              <w:jc w:val="center"/>
              <w:rPr>
                <w:sz w:val="24"/>
              </w:rPr>
            </w:pPr>
            <w:r>
              <w:rPr>
                <w:sz w:val="24"/>
              </w:rPr>
              <w:t>“十四五”</w:t>
            </w:r>
          </w:p>
          <w:p>
            <w:pPr>
              <w:jc w:val="center"/>
              <w:rPr>
                <w:sz w:val="24"/>
              </w:rPr>
            </w:pPr>
            <w:r>
              <w:rPr>
                <w:sz w:val="24"/>
              </w:rPr>
              <w:t>期间</w:t>
            </w:r>
          </w:p>
        </w:tc>
        <w:tc>
          <w:tcPr>
            <w:tcW w:w="995" w:type="dxa"/>
            <w:vAlign w:val="center"/>
          </w:tcPr>
          <w:p>
            <w:pPr>
              <w:jc w:val="center"/>
              <w:rPr>
                <w:sz w:val="24"/>
              </w:rPr>
            </w:pPr>
            <w:r>
              <w:rPr>
                <w:sz w:val="24"/>
              </w:rPr>
              <w:t>70</w:t>
            </w:r>
          </w:p>
        </w:tc>
        <w:tc>
          <w:tcPr>
            <w:tcW w:w="1498" w:type="dxa"/>
            <w:vAlign w:val="center"/>
          </w:tcPr>
          <w:p>
            <w:pPr>
              <w:jc w:val="center"/>
              <w:rPr>
                <w:snapToGrid w:val="0"/>
                <w:spacing w:val="-8"/>
                <w:kern w:val="0"/>
                <w:sz w:val="24"/>
              </w:rPr>
            </w:pPr>
            <w:r>
              <w:rPr>
                <w:snapToGrid w:val="0"/>
                <w:spacing w:val="-8"/>
                <w:kern w:val="0"/>
                <w:sz w:val="24"/>
              </w:rPr>
              <w:t>丽水市住建局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97</w:t>
            </w:r>
          </w:p>
        </w:tc>
        <w:tc>
          <w:tcPr>
            <w:tcW w:w="789" w:type="dxa"/>
            <w:vAlign w:val="center"/>
          </w:tcPr>
          <w:p>
            <w:pPr>
              <w:jc w:val="center"/>
              <w:rPr>
                <w:sz w:val="24"/>
              </w:rPr>
            </w:pPr>
            <w:r>
              <w:rPr>
                <w:sz w:val="24"/>
              </w:rPr>
              <w:t>丽水</w:t>
            </w:r>
          </w:p>
        </w:tc>
        <w:tc>
          <w:tcPr>
            <w:tcW w:w="3193" w:type="dxa"/>
            <w:vAlign w:val="center"/>
          </w:tcPr>
          <w:p>
            <w:pPr>
              <w:rPr>
                <w:sz w:val="24"/>
              </w:rPr>
            </w:pPr>
            <w:r>
              <w:rPr>
                <w:sz w:val="24"/>
              </w:rPr>
              <w:t>丽水城东商贸综合体</w:t>
            </w:r>
          </w:p>
        </w:tc>
        <w:tc>
          <w:tcPr>
            <w:tcW w:w="4851" w:type="dxa"/>
            <w:vAlign w:val="center"/>
          </w:tcPr>
          <w:p>
            <w:pPr>
              <w:rPr>
                <w:sz w:val="24"/>
              </w:rPr>
            </w:pPr>
            <w:r>
              <w:rPr>
                <w:sz w:val="24"/>
              </w:rPr>
              <w:t>高起点、高标准打造东城商贸中心，购物中心以大型超市、时尚餐饮、娱乐休闲、进出口商品、电商线上线下融合为主，集购物、餐饮、文化娱乐、休闲观光为一体的东城商贸中心。</w:t>
            </w:r>
          </w:p>
        </w:tc>
        <w:tc>
          <w:tcPr>
            <w:tcW w:w="1264" w:type="dxa"/>
            <w:vAlign w:val="center"/>
          </w:tcPr>
          <w:p>
            <w:pPr>
              <w:jc w:val="center"/>
              <w:rPr>
                <w:sz w:val="24"/>
              </w:rPr>
            </w:pPr>
            <w:r>
              <w:rPr>
                <w:sz w:val="24"/>
              </w:rPr>
              <w:t>“十四五”</w:t>
            </w:r>
          </w:p>
          <w:p>
            <w:pPr>
              <w:jc w:val="center"/>
              <w:rPr>
                <w:sz w:val="24"/>
              </w:rPr>
            </w:pPr>
            <w:r>
              <w:rPr>
                <w:sz w:val="24"/>
              </w:rPr>
              <w:t>期间</w:t>
            </w:r>
          </w:p>
        </w:tc>
        <w:tc>
          <w:tcPr>
            <w:tcW w:w="995" w:type="dxa"/>
            <w:vAlign w:val="center"/>
          </w:tcPr>
          <w:p>
            <w:pPr>
              <w:jc w:val="center"/>
              <w:rPr>
                <w:sz w:val="24"/>
              </w:rPr>
            </w:pPr>
            <w:r>
              <w:rPr>
                <w:sz w:val="24"/>
              </w:rPr>
              <w:t>18</w:t>
            </w:r>
          </w:p>
        </w:tc>
        <w:tc>
          <w:tcPr>
            <w:tcW w:w="1498" w:type="dxa"/>
            <w:vAlign w:val="center"/>
          </w:tcPr>
          <w:p>
            <w:pPr>
              <w:jc w:val="center"/>
              <w:rPr>
                <w:snapToGrid w:val="0"/>
                <w:spacing w:val="-8"/>
                <w:kern w:val="0"/>
                <w:sz w:val="24"/>
              </w:rPr>
            </w:pPr>
            <w:r>
              <w:rPr>
                <w:snapToGrid w:val="0"/>
                <w:spacing w:val="-8"/>
                <w:kern w:val="0"/>
                <w:sz w:val="24"/>
              </w:rPr>
              <w:t>丽水市商务局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98</w:t>
            </w:r>
          </w:p>
        </w:tc>
        <w:tc>
          <w:tcPr>
            <w:tcW w:w="789" w:type="dxa"/>
            <w:vAlign w:val="center"/>
          </w:tcPr>
          <w:p>
            <w:pPr>
              <w:jc w:val="center"/>
              <w:rPr>
                <w:sz w:val="24"/>
              </w:rPr>
            </w:pPr>
            <w:r>
              <w:rPr>
                <w:sz w:val="24"/>
              </w:rPr>
              <w:t>丽水</w:t>
            </w:r>
          </w:p>
        </w:tc>
        <w:tc>
          <w:tcPr>
            <w:tcW w:w="3193" w:type="dxa"/>
            <w:vAlign w:val="center"/>
          </w:tcPr>
          <w:p>
            <w:pPr>
              <w:rPr>
                <w:sz w:val="24"/>
              </w:rPr>
            </w:pPr>
            <w:r>
              <w:rPr>
                <w:sz w:val="24"/>
              </w:rPr>
              <w:t>缙云万地广场</w:t>
            </w:r>
          </w:p>
        </w:tc>
        <w:tc>
          <w:tcPr>
            <w:tcW w:w="4851" w:type="dxa"/>
            <w:vAlign w:val="center"/>
          </w:tcPr>
          <w:p>
            <w:pPr>
              <w:rPr>
                <w:sz w:val="24"/>
              </w:rPr>
            </w:pPr>
            <w:r>
              <w:rPr>
                <w:sz w:val="24"/>
              </w:rPr>
              <w:t>集五星级酒店、购物中心、公园绿</w:t>
            </w:r>
            <w:r>
              <w:rPr>
                <w:rFonts w:hint="eastAsia"/>
                <w:sz w:val="24"/>
              </w:rPr>
              <w:t>地</w:t>
            </w:r>
            <w:r>
              <w:rPr>
                <w:sz w:val="24"/>
              </w:rPr>
              <w:t>、商务办公及住宅配套为一体的城市综合体。</w:t>
            </w:r>
          </w:p>
        </w:tc>
        <w:tc>
          <w:tcPr>
            <w:tcW w:w="1264" w:type="dxa"/>
            <w:vAlign w:val="center"/>
          </w:tcPr>
          <w:p>
            <w:pPr>
              <w:jc w:val="center"/>
              <w:rPr>
                <w:sz w:val="24"/>
              </w:rPr>
            </w:pPr>
            <w:r>
              <w:rPr>
                <w:sz w:val="24"/>
              </w:rPr>
              <w:t>“十四五”</w:t>
            </w:r>
          </w:p>
          <w:p>
            <w:pPr>
              <w:jc w:val="center"/>
              <w:rPr>
                <w:sz w:val="24"/>
              </w:rPr>
            </w:pPr>
            <w:r>
              <w:rPr>
                <w:sz w:val="24"/>
              </w:rPr>
              <w:t>期间</w:t>
            </w:r>
          </w:p>
        </w:tc>
        <w:tc>
          <w:tcPr>
            <w:tcW w:w="995" w:type="dxa"/>
            <w:vAlign w:val="center"/>
          </w:tcPr>
          <w:p>
            <w:pPr>
              <w:jc w:val="center"/>
              <w:rPr>
                <w:sz w:val="24"/>
              </w:rPr>
            </w:pPr>
            <w:r>
              <w:rPr>
                <w:sz w:val="24"/>
              </w:rPr>
              <w:t>35</w:t>
            </w:r>
          </w:p>
        </w:tc>
        <w:tc>
          <w:tcPr>
            <w:tcW w:w="1498" w:type="dxa"/>
            <w:vAlign w:val="center"/>
          </w:tcPr>
          <w:p>
            <w:pPr>
              <w:jc w:val="center"/>
              <w:rPr>
                <w:sz w:val="24"/>
              </w:rPr>
            </w:pPr>
            <w:r>
              <w:rPr>
                <w:sz w:val="24"/>
              </w:rPr>
              <w:t>缙云县人民政府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498" w:type="dxa"/>
            <w:vAlign w:val="center"/>
          </w:tcPr>
          <w:p>
            <w:pPr>
              <w:jc w:val="center"/>
              <w:rPr>
                <w:sz w:val="24"/>
              </w:rPr>
            </w:pPr>
            <w:r>
              <w:rPr>
                <w:sz w:val="24"/>
              </w:rPr>
              <w:t>99</w:t>
            </w:r>
          </w:p>
        </w:tc>
        <w:tc>
          <w:tcPr>
            <w:tcW w:w="789" w:type="dxa"/>
            <w:vAlign w:val="center"/>
          </w:tcPr>
          <w:p>
            <w:pPr>
              <w:jc w:val="center"/>
              <w:rPr>
                <w:sz w:val="24"/>
              </w:rPr>
            </w:pPr>
            <w:r>
              <w:rPr>
                <w:sz w:val="24"/>
              </w:rPr>
              <w:t>丽水</w:t>
            </w:r>
          </w:p>
        </w:tc>
        <w:tc>
          <w:tcPr>
            <w:tcW w:w="3193" w:type="dxa"/>
            <w:vAlign w:val="center"/>
          </w:tcPr>
          <w:p>
            <w:pPr>
              <w:rPr>
                <w:sz w:val="24"/>
              </w:rPr>
            </w:pPr>
            <w:r>
              <w:rPr>
                <w:sz w:val="24"/>
              </w:rPr>
              <w:t>鼎丰·壹城项目</w:t>
            </w:r>
          </w:p>
        </w:tc>
        <w:tc>
          <w:tcPr>
            <w:tcW w:w="4851" w:type="dxa"/>
            <w:vAlign w:val="center"/>
          </w:tcPr>
          <w:p>
            <w:pPr>
              <w:rPr>
                <w:sz w:val="24"/>
              </w:rPr>
            </w:pPr>
            <w:r>
              <w:rPr>
                <w:sz w:val="24"/>
              </w:rPr>
              <w:t>打造龙泉市CBD，项目集万达广场、温德姆酒店、商务办公楼、高档公寓高端住宅为一体</w:t>
            </w:r>
          </w:p>
        </w:tc>
        <w:tc>
          <w:tcPr>
            <w:tcW w:w="1264" w:type="dxa"/>
            <w:vAlign w:val="center"/>
          </w:tcPr>
          <w:p>
            <w:pPr>
              <w:jc w:val="center"/>
              <w:rPr>
                <w:sz w:val="24"/>
              </w:rPr>
            </w:pPr>
            <w:r>
              <w:rPr>
                <w:sz w:val="24"/>
              </w:rPr>
              <w:t>“十四五”</w:t>
            </w:r>
          </w:p>
          <w:p>
            <w:pPr>
              <w:jc w:val="center"/>
              <w:rPr>
                <w:sz w:val="24"/>
              </w:rPr>
            </w:pPr>
            <w:r>
              <w:rPr>
                <w:sz w:val="24"/>
              </w:rPr>
              <w:t>期间</w:t>
            </w:r>
          </w:p>
        </w:tc>
        <w:tc>
          <w:tcPr>
            <w:tcW w:w="995" w:type="dxa"/>
            <w:vAlign w:val="center"/>
          </w:tcPr>
          <w:p>
            <w:pPr>
              <w:jc w:val="center"/>
              <w:rPr>
                <w:sz w:val="24"/>
              </w:rPr>
            </w:pPr>
            <w:r>
              <w:rPr>
                <w:sz w:val="24"/>
              </w:rPr>
              <w:t>50</w:t>
            </w:r>
          </w:p>
        </w:tc>
        <w:tc>
          <w:tcPr>
            <w:tcW w:w="1498" w:type="dxa"/>
            <w:vAlign w:val="center"/>
          </w:tcPr>
          <w:p>
            <w:pPr>
              <w:jc w:val="center"/>
              <w:rPr>
                <w:sz w:val="24"/>
              </w:rPr>
            </w:pPr>
            <w:r>
              <w:rPr>
                <w:sz w:val="24"/>
              </w:rPr>
              <w:t>龙泉市人民政府</w:t>
            </w:r>
          </w:p>
        </w:tc>
      </w:tr>
    </w:tbl>
    <w:p>
      <w:pPr>
        <w:overflowPunct w:val="0"/>
        <w:spacing w:line="590" w:lineRule="exact"/>
        <w:rPr>
          <w:rFonts w:eastAsia="黑体"/>
          <w:bCs/>
          <w:szCs w:val="32"/>
        </w:rPr>
      </w:pPr>
      <w:bookmarkStart w:id="165" w:name="_Toc27832"/>
      <w:bookmarkStart w:id="166" w:name="_Toc17705"/>
    </w:p>
    <w:p>
      <w:pPr>
        <w:overflowPunct w:val="0"/>
        <w:spacing w:line="590" w:lineRule="exact"/>
        <w:rPr>
          <w:rFonts w:eastAsia="黑体"/>
          <w:bCs/>
          <w:szCs w:val="32"/>
        </w:rPr>
      </w:pPr>
      <w:r>
        <w:rPr>
          <w:rFonts w:eastAsia="黑体"/>
          <w:bCs/>
          <w:szCs w:val="32"/>
        </w:rPr>
        <w:br w:type="column"/>
      </w:r>
      <w:r>
        <w:rPr>
          <w:rFonts w:eastAsia="黑体"/>
          <w:bCs/>
          <w:szCs w:val="32"/>
        </w:rPr>
        <w:t>附件4</w:t>
      </w:r>
    </w:p>
    <w:p>
      <w:pPr>
        <w:overflowPunct w:val="0"/>
        <w:spacing w:before="240" w:beforeLines="100" w:after="240" w:afterLines="100" w:line="590" w:lineRule="exact"/>
        <w:jc w:val="center"/>
        <w:rPr>
          <w:rFonts w:eastAsia="方正小标宋简体"/>
          <w:sz w:val="44"/>
          <w:szCs w:val="44"/>
        </w:rPr>
      </w:pPr>
      <w:r>
        <w:rPr>
          <w:rFonts w:eastAsia="方正小标宋简体"/>
          <w:sz w:val="44"/>
          <w:szCs w:val="44"/>
        </w:rPr>
        <w:t>国内贸易发展“十四五”重大政策汇总表</w:t>
      </w:r>
      <w:bookmarkEnd w:id="165"/>
      <w:bookmarkEnd w:id="166"/>
    </w:p>
    <w:tbl>
      <w:tblPr>
        <w:tblStyle w:val="11"/>
        <w:tblW w:w="1303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
      <w:tblGrid>
        <w:gridCol w:w="519"/>
        <w:gridCol w:w="660"/>
        <w:gridCol w:w="2588"/>
        <w:gridCol w:w="6257"/>
        <w:gridCol w:w="1380"/>
        <w:gridCol w:w="16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tblHeader/>
          <w:jc w:val="center"/>
        </w:trPr>
        <w:tc>
          <w:tcPr>
            <w:tcW w:w="519" w:type="dxa"/>
            <w:vAlign w:val="center"/>
          </w:tcPr>
          <w:p>
            <w:pPr>
              <w:jc w:val="center"/>
              <w:rPr>
                <w:rFonts w:ascii="黑体" w:hAnsi="黑体" w:eastAsia="黑体"/>
                <w:bCs/>
                <w:sz w:val="24"/>
              </w:rPr>
            </w:pPr>
            <w:r>
              <w:rPr>
                <w:rFonts w:ascii="黑体" w:hAnsi="黑体" w:eastAsia="黑体"/>
                <w:bCs/>
                <w:sz w:val="24"/>
              </w:rPr>
              <w:t>序号</w:t>
            </w:r>
          </w:p>
        </w:tc>
        <w:tc>
          <w:tcPr>
            <w:tcW w:w="660" w:type="dxa"/>
            <w:vAlign w:val="center"/>
          </w:tcPr>
          <w:p>
            <w:pPr>
              <w:jc w:val="center"/>
              <w:rPr>
                <w:rFonts w:ascii="黑体" w:hAnsi="黑体" w:eastAsia="黑体"/>
                <w:bCs/>
                <w:sz w:val="24"/>
              </w:rPr>
            </w:pPr>
            <w:r>
              <w:rPr>
                <w:rFonts w:ascii="黑体" w:hAnsi="黑体" w:eastAsia="黑体"/>
                <w:bCs/>
                <w:sz w:val="24"/>
              </w:rPr>
              <w:t>地区</w:t>
            </w:r>
          </w:p>
        </w:tc>
        <w:tc>
          <w:tcPr>
            <w:tcW w:w="2588" w:type="dxa"/>
            <w:vAlign w:val="center"/>
          </w:tcPr>
          <w:p>
            <w:pPr>
              <w:jc w:val="center"/>
              <w:rPr>
                <w:rFonts w:ascii="黑体" w:hAnsi="黑体" w:eastAsia="黑体"/>
                <w:bCs/>
                <w:sz w:val="24"/>
              </w:rPr>
            </w:pPr>
            <w:r>
              <w:rPr>
                <w:rFonts w:ascii="黑体" w:hAnsi="黑体" w:eastAsia="黑体"/>
                <w:bCs/>
                <w:sz w:val="24"/>
              </w:rPr>
              <w:t>名</w:t>
            </w:r>
            <w:r>
              <w:rPr>
                <w:rFonts w:hint="eastAsia" w:ascii="黑体" w:hAnsi="黑体" w:eastAsia="黑体"/>
                <w:bCs/>
                <w:sz w:val="24"/>
              </w:rPr>
              <w:t xml:space="preserve">  </w:t>
            </w:r>
            <w:r>
              <w:rPr>
                <w:rFonts w:ascii="黑体" w:hAnsi="黑体" w:eastAsia="黑体"/>
                <w:bCs/>
                <w:sz w:val="24"/>
              </w:rPr>
              <w:t>称</w:t>
            </w:r>
          </w:p>
        </w:tc>
        <w:tc>
          <w:tcPr>
            <w:tcW w:w="6257" w:type="dxa"/>
            <w:vAlign w:val="center"/>
          </w:tcPr>
          <w:p>
            <w:pPr>
              <w:jc w:val="center"/>
              <w:rPr>
                <w:rFonts w:ascii="黑体" w:hAnsi="黑体" w:eastAsia="黑体"/>
                <w:bCs/>
                <w:sz w:val="24"/>
              </w:rPr>
            </w:pPr>
            <w:r>
              <w:rPr>
                <w:rFonts w:ascii="黑体" w:hAnsi="黑体" w:eastAsia="黑体"/>
                <w:bCs/>
                <w:sz w:val="24"/>
              </w:rPr>
              <w:t>主</w:t>
            </w:r>
            <w:r>
              <w:rPr>
                <w:rFonts w:hint="eastAsia" w:ascii="黑体" w:hAnsi="黑体" w:eastAsia="黑体"/>
                <w:bCs/>
                <w:sz w:val="24"/>
              </w:rPr>
              <w:t xml:space="preserve">  </w:t>
            </w:r>
            <w:r>
              <w:rPr>
                <w:rFonts w:ascii="黑体" w:hAnsi="黑体" w:eastAsia="黑体"/>
                <w:bCs/>
                <w:sz w:val="24"/>
              </w:rPr>
              <w:t>要</w:t>
            </w:r>
            <w:r>
              <w:rPr>
                <w:rFonts w:hint="eastAsia" w:ascii="黑体" w:hAnsi="黑体" w:eastAsia="黑体"/>
                <w:bCs/>
                <w:sz w:val="24"/>
              </w:rPr>
              <w:t xml:space="preserve">  </w:t>
            </w:r>
            <w:r>
              <w:rPr>
                <w:rFonts w:ascii="黑体" w:hAnsi="黑体" w:eastAsia="黑体"/>
                <w:bCs/>
                <w:sz w:val="24"/>
              </w:rPr>
              <w:t>内</w:t>
            </w:r>
            <w:r>
              <w:rPr>
                <w:rFonts w:hint="eastAsia" w:ascii="黑体" w:hAnsi="黑体" w:eastAsia="黑体"/>
                <w:bCs/>
                <w:sz w:val="24"/>
              </w:rPr>
              <w:t xml:space="preserve">  </w:t>
            </w:r>
            <w:r>
              <w:rPr>
                <w:rFonts w:ascii="黑体" w:hAnsi="黑体" w:eastAsia="黑体"/>
                <w:bCs/>
                <w:sz w:val="24"/>
              </w:rPr>
              <w:t>容</w:t>
            </w:r>
          </w:p>
        </w:tc>
        <w:tc>
          <w:tcPr>
            <w:tcW w:w="1380" w:type="dxa"/>
            <w:vAlign w:val="center"/>
          </w:tcPr>
          <w:p>
            <w:pPr>
              <w:jc w:val="center"/>
              <w:rPr>
                <w:rFonts w:ascii="黑体" w:hAnsi="黑体" w:eastAsia="黑体"/>
                <w:bCs/>
                <w:sz w:val="24"/>
              </w:rPr>
            </w:pPr>
            <w:r>
              <w:rPr>
                <w:rFonts w:ascii="黑体" w:hAnsi="黑体" w:eastAsia="黑体"/>
                <w:bCs/>
                <w:sz w:val="24"/>
              </w:rPr>
              <w:t>实施期限</w:t>
            </w:r>
          </w:p>
        </w:tc>
        <w:tc>
          <w:tcPr>
            <w:tcW w:w="1631" w:type="dxa"/>
            <w:vAlign w:val="center"/>
          </w:tcPr>
          <w:p>
            <w:pPr>
              <w:jc w:val="center"/>
              <w:rPr>
                <w:rFonts w:ascii="黑体" w:hAnsi="黑体" w:eastAsia="黑体"/>
                <w:bCs/>
                <w:sz w:val="24"/>
              </w:rPr>
            </w:pPr>
            <w:r>
              <w:rPr>
                <w:rFonts w:ascii="黑体" w:hAnsi="黑体" w:eastAsia="黑体"/>
                <w:bCs/>
                <w:sz w:val="24"/>
              </w:rPr>
              <w:t>责任单位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518" w:hRule="atLeast"/>
          <w:jc w:val="center"/>
        </w:trPr>
        <w:tc>
          <w:tcPr>
            <w:tcW w:w="519" w:type="dxa"/>
            <w:vAlign w:val="center"/>
          </w:tcPr>
          <w:p>
            <w:pPr>
              <w:jc w:val="center"/>
              <w:rPr>
                <w:sz w:val="24"/>
              </w:rPr>
            </w:pPr>
            <w:r>
              <w:rPr>
                <w:sz w:val="24"/>
              </w:rPr>
              <w:t>1</w:t>
            </w:r>
          </w:p>
        </w:tc>
        <w:tc>
          <w:tcPr>
            <w:tcW w:w="660" w:type="dxa"/>
            <w:vAlign w:val="center"/>
          </w:tcPr>
          <w:p>
            <w:pPr>
              <w:jc w:val="center"/>
              <w:rPr>
                <w:sz w:val="24"/>
              </w:rPr>
            </w:pPr>
            <w:r>
              <w:rPr>
                <w:sz w:val="24"/>
              </w:rPr>
              <w:t>杭州</w:t>
            </w:r>
          </w:p>
        </w:tc>
        <w:tc>
          <w:tcPr>
            <w:tcW w:w="2588" w:type="dxa"/>
            <w:vAlign w:val="center"/>
          </w:tcPr>
          <w:p>
            <w:pPr>
              <w:rPr>
                <w:sz w:val="24"/>
              </w:rPr>
            </w:pPr>
            <w:r>
              <w:rPr>
                <w:sz w:val="24"/>
              </w:rPr>
              <w:t>杭州市推动批发零售业高质量发展行动方案（2019—2022年）</w:t>
            </w:r>
          </w:p>
        </w:tc>
        <w:tc>
          <w:tcPr>
            <w:tcW w:w="6257" w:type="dxa"/>
            <w:vAlign w:val="center"/>
          </w:tcPr>
          <w:p>
            <w:pPr>
              <w:rPr>
                <w:sz w:val="24"/>
              </w:rPr>
            </w:pPr>
            <w:r>
              <w:rPr>
                <w:sz w:val="24"/>
              </w:rPr>
              <w:t>从商品市场转型、零售模式创新、国际街区打造、乡村商贸振兴、商贸品牌保护、居民消费促进、应急能力提高、市场主体培育、特种行业监管、公共服务优化、营商环境改善十一个方面，推动批发零售业高质量发展。</w:t>
            </w:r>
          </w:p>
        </w:tc>
        <w:tc>
          <w:tcPr>
            <w:tcW w:w="1380" w:type="dxa"/>
            <w:vAlign w:val="center"/>
          </w:tcPr>
          <w:p>
            <w:pPr>
              <w:jc w:val="center"/>
              <w:rPr>
                <w:sz w:val="24"/>
              </w:rPr>
            </w:pPr>
            <w:r>
              <w:rPr>
                <w:sz w:val="24"/>
              </w:rPr>
              <w:t>2019-2022</w:t>
            </w:r>
          </w:p>
        </w:tc>
        <w:tc>
          <w:tcPr>
            <w:tcW w:w="1631"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770" w:hRule="atLeast"/>
          <w:jc w:val="center"/>
        </w:trPr>
        <w:tc>
          <w:tcPr>
            <w:tcW w:w="519" w:type="dxa"/>
            <w:vAlign w:val="center"/>
          </w:tcPr>
          <w:p>
            <w:pPr>
              <w:jc w:val="center"/>
              <w:rPr>
                <w:sz w:val="24"/>
              </w:rPr>
            </w:pPr>
            <w:r>
              <w:rPr>
                <w:sz w:val="24"/>
              </w:rPr>
              <w:t>2</w:t>
            </w:r>
          </w:p>
        </w:tc>
        <w:tc>
          <w:tcPr>
            <w:tcW w:w="660" w:type="dxa"/>
            <w:vAlign w:val="center"/>
          </w:tcPr>
          <w:p>
            <w:pPr>
              <w:jc w:val="center"/>
              <w:rPr>
                <w:sz w:val="24"/>
              </w:rPr>
            </w:pPr>
            <w:r>
              <w:rPr>
                <w:sz w:val="24"/>
              </w:rPr>
              <w:t>杭州</w:t>
            </w:r>
          </w:p>
        </w:tc>
        <w:tc>
          <w:tcPr>
            <w:tcW w:w="2588" w:type="dxa"/>
            <w:vAlign w:val="center"/>
          </w:tcPr>
          <w:p>
            <w:pPr>
              <w:rPr>
                <w:sz w:val="24"/>
              </w:rPr>
            </w:pPr>
            <w:r>
              <w:rPr>
                <w:sz w:val="24"/>
              </w:rPr>
              <w:t>杭州市新零售发展五年行动计划（2019—2023年）</w:t>
            </w:r>
          </w:p>
        </w:tc>
        <w:tc>
          <w:tcPr>
            <w:tcW w:w="6257" w:type="dxa"/>
            <w:vAlign w:val="center"/>
          </w:tcPr>
          <w:p>
            <w:pPr>
              <w:rPr>
                <w:sz w:val="24"/>
              </w:rPr>
            </w:pPr>
            <w:r>
              <w:rPr>
                <w:sz w:val="24"/>
              </w:rPr>
              <w:t>实施新零售业态模式创新、新零售示范培育、新零售设施技术提升、新零售人才体系建设、新零售发展模式推广工程，重点商业街区和大型商业综合体多区域集聚，社区、商务区、重点乡村多网点覆盖的“一城两核多区多点”新零售发展格局。</w:t>
            </w:r>
          </w:p>
        </w:tc>
        <w:tc>
          <w:tcPr>
            <w:tcW w:w="1380" w:type="dxa"/>
            <w:vAlign w:val="center"/>
          </w:tcPr>
          <w:p>
            <w:pPr>
              <w:jc w:val="center"/>
              <w:rPr>
                <w:sz w:val="24"/>
              </w:rPr>
            </w:pPr>
            <w:r>
              <w:rPr>
                <w:sz w:val="24"/>
              </w:rPr>
              <w:t>2019-2023</w:t>
            </w:r>
          </w:p>
        </w:tc>
        <w:tc>
          <w:tcPr>
            <w:tcW w:w="1631"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770" w:hRule="atLeast"/>
          <w:jc w:val="center"/>
        </w:trPr>
        <w:tc>
          <w:tcPr>
            <w:tcW w:w="519" w:type="dxa"/>
            <w:vAlign w:val="center"/>
          </w:tcPr>
          <w:p>
            <w:pPr>
              <w:jc w:val="center"/>
              <w:rPr>
                <w:sz w:val="24"/>
              </w:rPr>
            </w:pPr>
            <w:r>
              <w:rPr>
                <w:sz w:val="24"/>
              </w:rPr>
              <w:t>3</w:t>
            </w:r>
          </w:p>
        </w:tc>
        <w:tc>
          <w:tcPr>
            <w:tcW w:w="660" w:type="dxa"/>
            <w:vAlign w:val="center"/>
          </w:tcPr>
          <w:p>
            <w:pPr>
              <w:jc w:val="center"/>
              <w:rPr>
                <w:sz w:val="24"/>
              </w:rPr>
            </w:pPr>
            <w:r>
              <w:rPr>
                <w:sz w:val="24"/>
              </w:rPr>
              <w:t>杭州</w:t>
            </w:r>
          </w:p>
        </w:tc>
        <w:tc>
          <w:tcPr>
            <w:tcW w:w="2588" w:type="dxa"/>
            <w:vAlign w:val="center"/>
          </w:tcPr>
          <w:p>
            <w:pPr>
              <w:rPr>
                <w:sz w:val="24"/>
              </w:rPr>
            </w:pPr>
            <w:r>
              <w:rPr>
                <w:spacing w:val="-6"/>
                <w:sz w:val="24"/>
              </w:rPr>
              <w:t>杭州建设国际消费中心城市三年行动计划（2020年</w:t>
            </w:r>
            <w:r>
              <w:rPr>
                <w:rFonts w:hint="eastAsia"/>
                <w:spacing w:val="-6"/>
                <w:sz w:val="24"/>
              </w:rPr>
              <w:t>—</w:t>
            </w:r>
            <w:r>
              <w:rPr>
                <w:sz w:val="24"/>
              </w:rPr>
              <w:t>2022年）</w:t>
            </w:r>
          </w:p>
        </w:tc>
        <w:tc>
          <w:tcPr>
            <w:tcW w:w="6257" w:type="dxa"/>
            <w:vAlign w:val="center"/>
          </w:tcPr>
          <w:p>
            <w:pPr>
              <w:rPr>
                <w:sz w:val="24"/>
              </w:rPr>
            </w:pPr>
            <w:r>
              <w:rPr>
                <w:sz w:val="24"/>
              </w:rPr>
              <w:t>实施消费集聚区创建、消费供给提质、消费模式创新、消费融合联动、消费环境优化、消费名片推广、消费市场开放、消费支撑强化等八大行动，把杭州打造成全球智慧消费体验中心、时尚消费资源集聚地、知名休闲目的地，建成立足国内、面向亚洲、辐射全球的国际消费中心城市。</w:t>
            </w:r>
          </w:p>
        </w:tc>
        <w:tc>
          <w:tcPr>
            <w:tcW w:w="1380" w:type="dxa"/>
            <w:vAlign w:val="center"/>
          </w:tcPr>
          <w:p>
            <w:pPr>
              <w:jc w:val="center"/>
              <w:rPr>
                <w:sz w:val="24"/>
              </w:rPr>
            </w:pPr>
            <w:r>
              <w:rPr>
                <w:sz w:val="24"/>
              </w:rPr>
              <w:t>2020-2022</w:t>
            </w:r>
          </w:p>
        </w:tc>
        <w:tc>
          <w:tcPr>
            <w:tcW w:w="1631"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750" w:hRule="atLeast"/>
          <w:jc w:val="center"/>
        </w:trPr>
        <w:tc>
          <w:tcPr>
            <w:tcW w:w="519" w:type="dxa"/>
            <w:vAlign w:val="center"/>
          </w:tcPr>
          <w:p>
            <w:pPr>
              <w:jc w:val="center"/>
              <w:rPr>
                <w:sz w:val="24"/>
              </w:rPr>
            </w:pPr>
            <w:r>
              <w:rPr>
                <w:sz w:val="24"/>
              </w:rPr>
              <w:t>4</w:t>
            </w:r>
          </w:p>
        </w:tc>
        <w:tc>
          <w:tcPr>
            <w:tcW w:w="660" w:type="dxa"/>
            <w:vAlign w:val="center"/>
          </w:tcPr>
          <w:p>
            <w:pPr>
              <w:jc w:val="center"/>
              <w:rPr>
                <w:sz w:val="24"/>
              </w:rPr>
            </w:pPr>
            <w:r>
              <w:rPr>
                <w:sz w:val="24"/>
              </w:rPr>
              <w:t>杭州</w:t>
            </w:r>
          </w:p>
        </w:tc>
        <w:tc>
          <w:tcPr>
            <w:tcW w:w="2588" w:type="dxa"/>
            <w:vAlign w:val="center"/>
          </w:tcPr>
          <w:p>
            <w:pPr>
              <w:rPr>
                <w:sz w:val="24"/>
              </w:rPr>
            </w:pPr>
            <w:r>
              <w:rPr>
                <w:sz w:val="24"/>
              </w:rPr>
              <w:t>关于加快杭州市直播电商经济发展的若干意见</w:t>
            </w:r>
          </w:p>
        </w:tc>
        <w:tc>
          <w:tcPr>
            <w:tcW w:w="6257" w:type="dxa"/>
            <w:vAlign w:val="center"/>
          </w:tcPr>
          <w:p>
            <w:pPr>
              <w:rPr>
                <w:sz w:val="24"/>
              </w:rPr>
            </w:pPr>
            <w:r>
              <w:rPr>
                <w:sz w:val="24"/>
              </w:rPr>
              <w:t>壮大直播电商产业生态、构建新型产业链体系、打造全方位要素保障体系。</w:t>
            </w:r>
          </w:p>
        </w:tc>
        <w:tc>
          <w:tcPr>
            <w:tcW w:w="1380" w:type="dxa"/>
            <w:vAlign w:val="center"/>
          </w:tcPr>
          <w:p>
            <w:pPr>
              <w:jc w:val="center"/>
              <w:rPr>
                <w:sz w:val="24"/>
              </w:rPr>
            </w:pPr>
            <w:r>
              <w:rPr>
                <w:sz w:val="24"/>
              </w:rPr>
              <w:t>2020-</w:t>
            </w:r>
          </w:p>
        </w:tc>
        <w:tc>
          <w:tcPr>
            <w:tcW w:w="1631"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841" w:hRule="atLeast"/>
          <w:jc w:val="center"/>
        </w:trPr>
        <w:tc>
          <w:tcPr>
            <w:tcW w:w="519" w:type="dxa"/>
            <w:vAlign w:val="center"/>
          </w:tcPr>
          <w:p>
            <w:pPr>
              <w:jc w:val="center"/>
              <w:rPr>
                <w:sz w:val="24"/>
              </w:rPr>
            </w:pPr>
            <w:r>
              <w:rPr>
                <w:sz w:val="24"/>
              </w:rPr>
              <w:t>5</w:t>
            </w:r>
          </w:p>
        </w:tc>
        <w:tc>
          <w:tcPr>
            <w:tcW w:w="660" w:type="dxa"/>
            <w:vAlign w:val="center"/>
          </w:tcPr>
          <w:p>
            <w:pPr>
              <w:jc w:val="center"/>
              <w:rPr>
                <w:sz w:val="24"/>
              </w:rPr>
            </w:pPr>
            <w:r>
              <w:rPr>
                <w:sz w:val="24"/>
              </w:rPr>
              <w:t>宁波</w:t>
            </w:r>
          </w:p>
        </w:tc>
        <w:tc>
          <w:tcPr>
            <w:tcW w:w="2588" w:type="dxa"/>
            <w:vAlign w:val="center"/>
          </w:tcPr>
          <w:p>
            <w:pPr>
              <w:rPr>
                <w:sz w:val="24"/>
              </w:rPr>
            </w:pPr>
            <w:r>
              <w:rPr>
                <w:sz w:val="24"/>
              </w:rPr>
              <w:t>推进国际消费城市建设行动计划</w:t>
            </w:r>
          </w:p>
        </w:tc>
        <w:tc>
          <w:tcPr>
            <w:tcW w:w="6257" w:type="dxa"/>
            <w:vAlign w:val="center"/>
          </w:tcPr>
          <w:p>
            <w:pPr>
              <w:rPr>
                <w:sz w:val="24"/>
              </w:rPr>
            </w:pPr>
            <w:r>
              <w:rPr>
                <w:sz w:val="24"/>
              </w:rPr>
              <w:t>全力打造消费品供给、消费空间布局、消费业态创新、消费商贸服务、消费环境保障五大体系，进一步丰富商品供给，优化消费环境，着力打造国际进口消费品集散中心城市、国家消费便利化示范城市、长三角区域购物中心城市，争创国家级国际消费城市建设培育试点。</w:t>
            </w:r>
          </w:p>
        </w:tc>
        <w:tc>
          <w:tcPr>
            <w:tcW w:w="1380" w:type="dxa"/>
            <w:vAlign w:val="center"/>
          </w:tcPr>
          <w:p>
            <w:pPr>
              <w:jc w:val="center"/>
              <w:rPr>
                <w:sz w:val="24"/>
              </w:rPr>
            </w:pPr>
            <w:r>
              <w:rPr>
                <w:sz w:val="24"/>
              </w:rPr>
              <w:t>2020-2022</w:t>
            </w:r>
          </w:p>
        </w:tc>
        <w:tc>
          <w:tcPr>
            <w:tcW w:w="1631" w:type="dxa"/>
            <w:vAlign w:val="center"/>
          </w:tcPr>
          <w:p>
            <w:pPr>
              <w:jc w:val="center"/>
              <w:rPr>
                <w:sz w:val="24"/>
              </w:rPr>
            </w:pPr>
            <w:r>
              <w:rPr>
                <w:sz w:val="24"/>
              </w:rPr>
              <w:t>宁波市商务局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2119" w:hRule="atLeast"/>
          <w:jc w:val="center"/>
        </w:trPr>
        <w:tc>
          <w:tcPr>
            <w:tcW w:w="519" w:type="dxa"/>
            <w:vAlign w:val="center"/>
          </w:tcPr>
          <w:p>
            <w:pPr>
              <w:jc w:val="center"/>
              <w:rPr>
                <w:sz w:val="24"/>
              </w:rPr>
            </w:pPr>
            <w:r>
              <w:rPr>
                <w:sz w:val="24"/>
              </w:rPr>
              <w:t>6</w:t>
            </w:r>
          </w:p>
        </w:tc>
        <w:tc>
          <w:tcPr>
            <w:tcW w:w="660" w:type="dxa"/>
            <w:vAlign w:val="center"/>
          </w:tcPr>
          <w:p>
            <w:pPr>
              <w:jc w:val="center"/>
              <w:rPr>
                <w:sz w:val="24"/>
              </w:rPr>
            </w:pPr>
            <w:r>
              <w:rPr>
                <w:sz w:val="24"/>
              </w:rPr>
              <w:t>宁波</w:t>
            </w:r>
          </w:p>
        </w:tc>
        <w:tc>
          <w:tcPr>
            <w:tcW w:w="2588" w:type="dxa"/>
            <w:vAlign w:val="center"/>
          </w:tcPr>
          <w:p>
            <w:pPr>
              <w:rPr>
                <w:sz w:val="24"/>
              </w:rPr>
            </w:pPr>
            <w:r>
              <w:rPr>
                <w:sz w:val="24"/>
              </w:rPr>
              <w:t>推进夜间经济工作实施方案</w:t>
            </w:r>
          </w:p>
        </w:tc>
        <w:tc>
          <w:tcPr>
            <w:tcW w:w="6257" w:type="dxa"/>
            <w:vAlign w:val="center"/>
          </w:tcPr>
          <w:p>
            <w:pPr>
              <w:rPr>
                <w:sz w:val="24"/>
              </w:rPr>
            </w:pPr>
            <w:r>
              <w:rPr>
                <w:sz w:val="24"/>
              </w:rPr>
              <w:t>以扩大消费、服务民生为导向，构建形成夜间经济地标商圈、特色街区、15分钟商贸便民服务圈“三圈”融合发展格局，发展夜购、夜宵、夜娱、夜游、夜学、夜练六大消费领域，实施“创魅力甬城、建风情街区、品美味佳肴、听天一夜曲、读书香宁波、赏邻里之夜、游明州夜景、看品牌赛事、醉美不夜城”九大工程，加快形成高质量的夜间经济发展格局。</w:t>
            </w:r>
          </w:p>
        </w:tc>
        <w:tc>
          <w:tcPr>
            <w:tcW w:w="1380" w:type="dxa"/>
            <w:vAlign w:val="center"/>
          </w:tcPr>
          <w:p>
            <w:pPr>
              <w:jc w:val="center"/>
              <w:rPr>
                <w:sz w:val="24"/>
              </w:rPr>
            </w:pPr>
            <w:r>
              <w:rPr>
                <w:sz w:val="24"/>
              </w:rPr>
              <w:t>2020-2022</w:t>
            </w:r>
          </w:p>
        </w:tc>
        <w:tc>
          <w:tcPr>
            <w:tcW w:w="1631" w:type="dxa"/>
            <w:vAlign w:val="center"/>
          </w:tcPr>
          <w:p>
            <w:pPr>
              <w:jc w:val="center"/>
              <w:rPr>
                <w:sz w:val="24"/>
              </w:rPr>
            </w:pPr>
            <w:r>
              <w:rPr>
                <w:sz w:val="24"/>
              </w:rPr>
              <w:t>宁波市商务局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519" w:type="dxa"/>
            <w:vAlign w:val="center"/>
          </w:tcPr>
          <w:p>
            <w:pPr>
              <w:jc w:val="center"/>
              <w:rPr>
                <w:sz w:val="24"/>
              </w:rPr>
            </w:pPr>
            <w:r>
              <w:rPr>
                <w:sz w:val="24"/>
              </w:rPr>
              <w:t>7</w:t>
            </w:r>
          </w:p>
        </w:tc>
        <w:tc>
          <w:tcPr>
            <w:tcW w:w="660" w:type="dxa"/>
            <w:vAlign w:val="center"/>
          </w:tcPr>
          <w:p>
            <w:pPr>
              <w:jc w:val="center"/>
              <w:rPr>
                <w:sz w:val="24"/>
              </w:rPr>
            </w:pPr>
            <w:r>
              <w:rPr>
                <w:sz w:val="24"/>
              </w:rPr>
              <w:t>金华</w:t>
            </w:r>
          </w:p>
        </w:tc>
        <w:tc>
          <w:tcPr>
            <w:tcW w:w="2588" w:type="dxa"/>
            <w:vAlign w:val="center"/>
          </w:tcPr>
          <w:p>
            <w:pPr>
              <w:rPr>
                <w:sz w:val="24"/>
              </w:rPr>
            </w:pPr>
            <w:r>
              <w:rPr>
                <w:sz w:val="24"/>
              </w:rPr>
              <w:t>磐安县人民政府关于促进现代服务业高质量发展的若干意见（试行）</w:t>
            </w:r>
          </w:p>
        </w:tc>
        <w:tc>
          <w:tcPr>
            <w:tcW w:w="6257" w:type="dxa"/>
            <w:vAlign w:val="center"/>
          </w:tcPr>
          <w:p>
            <w:pPr>
              <w:rPr>
                <w:sz w:val="24"/>
              </w:rPr>
            </w:pPr>
            <w:r>
              <w:rPr>
                <w:sz w:val="24"/>
              </w:rPr>
              <w:t>支持重点项目建设、下升上、培育家政服务业、再生资源回收体系建设</w:t>
            </w:r>
          </w:p>
        </w:tc>
        <w:tc>
          <w:tcPr>
            <w:tcW w:w="1380" w:type="dxa"/>
            <w:vAlign w:val="center"/>
          </w:tcPr>
          <w:p>
            <w:pPr>
              <w:jc w:val="center"/>
              <w:rPr>
                <w:sz w:val="24"/>
              </w:rPr>
            </w:pPr>
            <w:r>
              <w:rPr>
                <w:sz w:val="24"/>
              </w:rPr>
              <w:t>2020年开始</w:t>
            </w:r>
          </w:p>
        </w:tc>
        <w:tc>
          <w:tcPr>
            <w:tcW w:w="1631" w:type="dxa"/>
            <w:vAlign w:val="center"/>
          </w:tcPr>
          <w:p>
            <w:pPr>
              <w:jc w:val="center"/>
              <w:rPr>
                <w:sz w:val="24"/>
              </w:rPr>
            </w:pPr>
            <w:r>
              <w:rPr>
                <w:sz w:val="24"/>
              </w:rPr>
              <w:t>磐安县发改局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805" w:hRule="atLeast"/>
          <w:jc w:val="center"/>
        </w:trPr>
        <w:tc>
          <w:tcPr>
            <w:tcW w:w="519" w:type="dxa"/>
            <w:vAlign w:val="center"/>
          </w:tcPr>
          <w:p>
            <w:pPr>
              <w:jc w:val="center"/>
              <w:rPr>
                <w:sz w:val="24"/>
              </w:rPr>
            </w:pPr>
            <w:r>
              <w:rPr>
                <w:sz w:val="24"/>
              </w:rPr>
              <w:t>8</w:t>
            </w:r>
          </w:p>
        </w:tc>
        <w:tc>
          <w:tcPr>
            <w:tcW w:w="660" w:type="dxa"/>
            <w:vAlign w:val="center"/>
          </w:tcPr>
          <w:p>
            <w:pPr>
              <w:jc w:val="center"/>
              <w:rPr>
                <w:sz w:val="24"/>
              </w:rPr>
            </w:pPr>
            <w:r>
              <w:rPr>
                <w:sz w:val="24"/>
              </w:rPr>
              <w:t>金华</w:t>
            </w:r>
          </w:p>
        </w:tc>
        <w:tc>
          <w:tcPr>
            <w:tcW w:w="2588" w:type="dxa"/>
            <w:vAlign w:val="center"/>
          </w:tcPr>
          <w:p>
            <w:pPr>
              <w:rPr>
                <w:sz w:val="24"/>
              </w:rPr>
            </w:pPr>
            <w:r>
              <w:rPr>
                <w:sz w:val="24"/>
              </w:rPr>
              <w:t>扶持市区数字经济十条措施（电子商务部分）</w:t>
            </w:r>
          </w:p>
        </w:tc>
        <w:tc>
          <w:tcPr>
            <w:tcW w:w="6257" w:type="dxa"/>
            <w:vAlign w:val="center"/>
          </w:tcPr>
          <w:p>
            <w:pPr>
              <w:rPr>
                <w:sz w:val="24"/>
              </w:rPr>
            </w:pPr>
            <w:r>
              <w:rPr>
                <w:sz w:val="24"/>
              </w:rPr>
              <w:t>从强化企业培育、推进园区建设、优化金融服务、完善公共服务、大力发展电子商务等方面着手，推动电子商务发展</w:t>
            </w:r>
          </w:p>
        </w:tc>
        <w:tc>
          <w:tcPr>
            <w:tcW w:w="1380" w:type="dxa"/>
            <w:vAlign w:val="center"/>
          </w:tcPr>
          <w:p>
            <w:pPr>
              <w:jc w:val="center"/>
              <w:rPr>
                <w:sz w:val="24"/>
              </w:rPr>
            </w:pPr>
          </w:p>
        </w:tc>
        <w:tc>
          <w:tcPr>
            <w:tcW w:w="1631" w:type="dxa"/>
            <w:vAlign w:val="center"/>
          </w:tcPr>
          <w:p>
            <w:pPr>
              <w:jc w:val="center"/>
              <w:rPr>
                <w:sz w:val="24"/>
              </w:rPr>
            </w:pPr>
            <w:r>
              <w:rPr>
                <w:sz w:val="24"/>
              </w:rPr>
              <w:t>金华市商务局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1672" w:hRule="atLeast"/>
          <w:jc w:val="center"/>
        </w:trPr>
        <w:tc>
          <w:tcPr>
            <w:tcW w:w="519" w:type="dxa"/>
            <w:vAlign w:val="center"/>
          </w:tcPr>
          <w:p>
            <w:pPr>
              <w:jc w:val="center"/>
              <w:rPr>
                <w:sz w:val="24"/>
              </w:rPr>
            </w:pPr>
            <w:r>
              <w:rPr>
                <w:sz w:val="24"/>
              </w:rPr>
              <w:t>9</w:t>
            </w:r>
          </w:p>
        </w:tc>
        <w:tc>
          <w:tcPr>
            <w:tcW w:w="660" w:type="dxa"/>
            <w:vAlign w:val="center"/>
          </w:tcPr>
          <w:p>
            <w:pPr>
              <w:jc w:val="center"/>
              <w:rPr>
                <w:sz w:val="24"/>
              </w:rPr>
            </w:pPr>
            <w:r>
              <w:rPr>
                <w:sz w:val="24"/>
              </w:rPr>
              <w:t>金华</w:t>
            </w:r>
          </w:p>
        </w:tc>
        <w:tc>
          <w:tcPr>
            <w:tcW w:w="2588" w:type="dxa"/>
            <w:vAlign w:val="center"/>
          </w:tcPr>
          <w:p>
            <w:pPr>
              <w:rPr>
                <w:sz w:val="24"/>
              </w:rPr>
            </w:pPr>
            <w:r>
              <w:rPr>
                <w:sz w:val="24"/>
              </w:rPr>
              <w:t>跨境电商发展八条措施</w:t>
            </w:r>
          </w:p>
        </w:tc>
        <w:tc>
          <w:tcPr>
            <w:tcW w:w="6257" w:type="dxa"/>
            <w:vAlign w:val="center"/>
          </w:tcPr>
          <w:p>
            <w:pPr>
              <w:rPr>
                <w:sz w:val="24"/>
              </w:rPr>
            </w:pPr>
            <w:r>
              <w:rPr>
                <w:sz w:val="24"/>
              </w:rPr>
              <w:t>从鼓励制造业企业开展跨境电商、鼓励利用“网上展会”开拓国际市场、鼓励利用海外仓开展国际业务、支持企业注册自有商标、推动银企深度合作、促进跨境通关平台建设、鼓励开设国际物流专线、扶持领军企业发展八个方面着手，</w:t>
            </w:r>
            <w:r>
              <w:rPr>
                <w:sz w:val="24"/>
                <w:lang w:val="zh-TW"/>
              </w:rPr>
              <w:t>给予政策支持</w:t>
            </w:r>
          </w:p>
        </w:tc>
        <w:tc>
          <w:tcPr>
            <w:tcW w:w="1380" w:type="dxa"/>
            <w:vAlign w:val="center"/>
          </w:tcPr>
          <w:p>
            <w:pPr>
              <w:jc w:val="center"/>
              <w:rPr>
                <w:sz w:val="24"/>
              </w:rPr>
            </w:pPr>
          </w:p>
        </w:tc>
        <w:tc>
          <w:tcPr>
            <w:tcW w:w="1631" w:type="dxa"/>
            <w:vAlign w:val="center"/>
          </w:tcPr>
          <w:p>
            <w:pPr>
              <w:jc w:val="center"/>
              <w:rPr>
                <w:sz w:val="24"/>
              </w:rPr>
            </w:pPr>
            <w:r>
              <w:rPr>
                <w:sz w:val="24"/>
              </w:rPr>
              <w:t>金华市商务局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519" w:type="dxa"/>
            <w:vAlign w:val="center"/>
          </w:tcPr>
          <w:p>
            <w:pPr>
              <w:jc w:val="center"/>
              <w:rPr>
                <w:sz w:val="24"/>
              </w:rPr>
            </w:pPr>
            <w:r>
              <w:rPr>
                <w:sz w:val="24"/>
              </w:rPr>
              <w:t>10</w:t>
            </w:r>
          </w:p>
        </w:tc>
        <w:tc>
          <w:tcPr>
            <w:tcW w:w="660" w:type="dxa"/>
            <w:vAlign w:val="center"/>
          </w:tcPr>
          <w:p>
            <w:pPr>
              <w:jc w:val="center"/>
              <w:rPr>
                <w:sz w:val="24"/>
              </w:rPr>
            </w:pPr>
            <w:r>
              <w:rPr>
                <w:sz w:val="24"/>
              </w:rPr>
              <w:t>金华</w:t>
            </w:r>
          </w:p>
        </w:tc>
        <w:tc>
          <w:tcPr>
            <w:tcW w:w="2588" w:type="dxa"/>
            <w:vAlign w:val="center"/>
          </w:tcPr>
          <w:p>
            <w:pPr>
              <w:rPr>
                <w:sz w:val="24"/>
              </w:rPr>
            </w:pPr>
            <w:r>
              <w:rPr>
                <w:sz w:val="24"/>
              </w:rPr>
              <w:t>促进国际服务贸易发展的扶持政策</w:t>
            </w:r>
          </w:p>
        </w:tc>
        <w:tc>
          <w:tcPr>
            <w:tcW w:w="6257" w:type="dxa"/>
            <w:vAlign w:val="center"/>
          </w:tcPr>
          <w:p>
            <w:pPr>
              <w:rPr>
                <w:sz w:val="24"/>
              </w:rPr>
            </w:pPr>
            <w:r>
              <w:rPr>
                <w:sz w:val="24"/>
              </w:rPr>
              <w:t>从推动服务贸易出口快速增长，培育服务贸易出口主体，支持平台项目建设，加强人才培养和引进，加强统计和考核等五个方面着手，推动金华市服务贸易高质量发展</w:t>
            </w:r>
          </w:p>
        </w:tc>
        <w:tc>
          <w:tcPr>
            <w:tcW w:w="1380" w:type="dxa"/>
            <w:vAlign w:val="center"/>
          </w:tcPr>
          <w:p>
            <w:pPr>
              <w:jc w:val="center"/>
              <w:rPr>
                <w:sz w:val="24"/>
              </w:rPr>
            </w:pPr>
          </w:p>
        </w:tc>
        <w:tc>
          <w:tcPr>
            <w:tcW w:w="1631" w:type="dxa"/>
            <w:vAlign w:val="center"/>
          </w:tcPr>
          <w:p>
            <w:pPr>
              <w:jc w:val="center"/>
              <w:rPr>
                <w:sz w:val="24"/>
              </w:rPr>
            </w:pPr>
            <w:r>
              <w:rPr>
                <w:sz w:val="24"/>
              </w:rPr>
              <w:t>金华市商务局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519" w:type="dxa"/>
            <w:vAlign w:val="center"/>
          </w:tcPr>
          <w:p>
            <w:pPr>
              <w:jc w:val="center"/>
              <w:rPr>
                <w:sz w:val="24"/>
              </w:rPr>
            </w:pPr>
            <w:r>
              <w:rPr>
                <w:sz w:val="24"/>
              </w:rPr>
              <w:t>11</w:t>
            </w:r>
          </w:p>
        </w:tc>
        <w:tc>
          <w:tcPr>
            <w:tcW w:w="660" w:type="dxa"/>
            <w:vAlign w:val="center"/>
          </w:tcPr>
          <w:p>
            <w:pPr>
              <w:jc w:val="center"/>
              <w:rPr>
                <w:sz w:val="24"/>
              </w:rPr>
            </w:pPr>
            <w:r>
              <w:rPr>
                <w:sz w:val="24"/>
              </w:rPr>
              <w:t>金华</w:t>
            </w:r>
          </w:p>
        </w:tc>
        <w:tc>
          <w:tcPr>
            <w:tcW w:w="2588" w:type="dxa"/>
            <w:vAlign w:val="center"/>
          </w:tcPr>
          <w:p>
            <w:pPr>
              <w:rPr>
                <w:sz w:val="24"/>
              </w:rPr>
            </w:pPr>
            <w:r>
              <w:rPr>
                <w:sz w:val="24"/>
              </w:rPr>
              <w:t>《中共金华市金东区委 金华市金东区人民政府关于印发加快推进“四大战略”政策的通知》</w:t>
            </w:r>
            <w:r>
              <w:rPr>
                <w:rFonts w:hint="eastAsia"/>
                <w:sz w:val="24"/>
              </w:rPr>
              <w:t>（</w:t>
            </w:r>
            <w:r>
              <w:rPr>
                <w:sz w:val="24"/>
              </w:rPr>
              <w:t>金区委发〔2020〕11号</w:t>
            </w:r>
            <w:r>
              <w:rPr>
                <w:rFonts w:hint="eastAsia"/>
                <w:sz w:val="24"/>
              </w:rPr>
              <w:t>）</w:t>
            </w:r>
          </w:p>
        </w:tc>
        <w:tc>
          <w:tcPr>
            <w:tcW w:w="6257" w:type="dxa"/>
            <w:vAlign w:val="center"/>
          </w:tcPr>
          <w:p>
            <w:pPr>
              <w:rPr>
                <w:sz w:val="24"/>
              </w:rPr>
            </w:pPr>
            <w:r>
              <w:rPr>
                <w:sz w:val="24"/>
              </w:rPr>
              <w:t>关于加快推进“实业兴区”战略的若干意见（试行）：鼓励商贸服务业特色投资、支持商贸服务业品牌建设、培育商贸服务业主体、扩大商贸经营主体规模、拓展商贸服务业市场</w:t>
            </w:r>
          </w:p>
        </w:tc>
        <w:tc>
          <w:tcPr>
            <w:tcW w:w="1380" w:type="dxa"/>
            <w:vAlign w:val="center"/>
          </w:tcPr>
          <w:p>
            <w:pPr>
              <w:jc w:val="center"/>
              <w:rPr>
                <w:sz w:val="24"/>
              </w:rPr>
            </w:pPr>
            <w:r>
              <w:rPr>
                <w:sz w:val="24"/>
              </w:rPr>
              <w:t>2020年1月1日起施行</w:t>
            </w:r>
          </w:p>
        </w:tc>
        <w:tc>
          <w:tcPr>
            <w:tcW w:w="1631"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519" w:type="dxa"/>
            <w:vAlign w:val="center"/>
          </w:tcPr>
          <w:p>
            <w:pPr>
              <w:jc w:val="center"/>
              <w:rPr>
                <w:sz w:val="24"/>
              </w:rPr>
            </w:pPr>
            <w:r>
              <w:rPr>
                <w:sz w:val="24"/>
              </w:rPr>
              <w:t>12</w:t>
            </w:r>
          </w:p>
        </w:tc>
        <w:tc>
          <w:tcPr>
            <w:tcW w:w="660" w:type="dxa"/>
            <w:vAlign w:val="center"/>
          </w:tcPr>
          <w:p>
            <w:pPr>
              <w:jc w:val="center"/>
              <w:rPr>
                <w:sz w:val="24"/>
              </w:rPr>
            </w:pPr>
            <w:r>
              <w:rPr>
                <w:sz w:val="24"/>
              </w:rPr>
              <w:t>衢州</w:t>
            </w:r>
          </w:p>
        </w:tc>
        <w:tc>
          <w:tcPr>
            <w:tcW w:w="2588" w:type="dxa"/>
            <w:vAlign w:val="center"/>
          </w:tcPr>
          <w:p>
            <w:pPr>
              <w:widowControl/>
              <w:textAlignment w:val="center"/>
              <w:rPr>
                <w:sz w:val="24"/>
              </w:rPr>
            </w:pPr>
            <w:r>
              <w:rPr>
                <w:kern w:val="0"/>
                <w:sz w:val="24"/>
                <w:lang w:bidi="ar"/>
              </w:rPr>
              <w:t>大商贸政策</w:t>
            </w:r>
          </w:p>
        </w:tc>
        <w:tc>
          <w:tcPr>
            <w:tcW w:w="6257" w:type="dxa"/>
            <w:vAlign w:val="center"/>
          </w:tcPr>
          <w:p>
            <w:pPr>
              <w:widowControl/>
              <w:textAlignment w:val="center"/>
              <w:rPr>
                <w:sz w:val="24"/>
              </w:rPr>
            </w:pPr>
            <w:r>
              <w:rPr>
                <w:kern w:val="0"/>
                <w:sz w:val="24"/>
                <w:lang w:bidi="ar"/>
              </w:rPr>
              <w:t>关于推进创新驱动加快经济高质量发展若干政策意见</w:t>
            </w:r>
          </w:p>
        </w:tc>
        <w:tc>
          <w:tcPr>
            <w:tcW w:w="1380" w:type="dxa"/>
            <w:vAlign w:val="center"/>
          </w:tcPr>
          <w:p>
            <w:pPr>
              <w:widowControl/>
              <w:jc w:val="center"/>
              <w:textAlignment w:val="center"/>
              <w:rPr>
                <w:sz w:val="24"/>
              </w:rPr>
            </w:pPr>
          </w:p>
        </w:tc>
        <w:tc>
          <w:tcPr>
            <w:tcW w:w="1631" w:type="dxa"/>
            <w:vAlign w:val="center"/>
          </w:tcPr>
          <w:p>
            <w:pPr>
              <w:jc w:val="center"/>
              <w:rPr>
                <w:sz w:val="24"/>
              </w:rPr>
            </w:pPr>
            <w:r>
              <w:rPr>
                <w:snapToGrid w:val="0"/>
                <w:spacing w:val="-8"/>
                <w:kern w:val="0"/>
                <w:sz w:val="24"/>
              </w:rPr>
              <w:t>衢州市商务局、发改委、市场监管局、贸促会、供销社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519" w:type="dxa"/>
            <w:vAlign w:val="center"/>
          </w:tcPr>
          <w:p>
            <w:pPr>
              <w:jc w:val="center"/>
              <w:rPr>
                <w:sz w:val="24"/>
              </w:rPr>
            </w:pPr>
            <w:r>
              <w:rPr>
                <w:sz w:val="24"/>
              </w:rPr>
              <w:t>13</w:t>
            </w:r>
          </w:p>
        </w:tc>
        <w:tc>
          <w:tcPr>
            <w:tcW w:w="660" w:type="dxa"/>
            <w:vAlign w:val="center"/>
          </w:tcPr>
          <w:p>
            <w:pPr>
              <w:jc w:val="center"/>
              <w:rPr>
                <w:sz w:val="24"/>
              </w:rPr>
            </w:pPr>
            <w:r>
              <w:rPr>
                <w:sz w:val="24"/>
              </w:rPr>
              <w:t>丽水</w:t>
            </w:r>
          </w:p>
        </w:tc>
        <w:tc>
          <w:tcPr>
            <w:tcW w:w="2588" w:type="dxa"/>
            <w:vAlign w:val="center"/>
          </w:tcPr>
          <w:p>
            <w:pPr>
              <w:rPr>
                <w:sz w:val="24"/>
              </w:rPr>
            </w:pPr>
            <w:r>
              <w:rPr>
                <w:sz w:val="24"/>
              </w:rPr>
              <w:t>关于进一步加快电子商务发展的实施意见</w:t>
            </w:r>
          </w:p>
        </w:tc>
        <w:tc>
          <w:tcPr>
            <w:tcW w:w="6257" w:type="dxa"/>
            <w:vAlign w:val="center"/>
          </w:tcPr>
          <w:p>
            <w:pPr>
              <w:rPr>
                <w:sz w:val="24"/>
              </w:rPr>
            </w:pPr>
            <w:r>
              <w:rPr>
                <w:sz w:val="24"/>
              </w:rPr>
              <w:t>强化电子商务顶层设计，设定合理目标，激发创业创新动能，不断创新丽水电商发展模式，强化主体培育和扶持力度。</w:t>
            </w:r>
          </w:p>
        </w:tc>
        <w:tc>
          <w:tcPr>
            <w:tcW w:w="1380" w:type="dxa"/>
            <w:vAlign w:val="center"/>
          </w:tcPr>
          <w:p>
            <w:pPr>
              <w:jc w:val="center"/>
              <w:rPr>
                <w:sz w:val="24"/>
              </w:rPr>
            </w:pPr>
            <w:r>
              <w:rPr>
                <w:sz w:val="24"/>
              </w:rPr>
              <w:t>十四五期间</w:t>
            </w:r>
          </w:p>
        </w:tc>
        <w:tc>
          <w:tcPr>
            <w:tcW w:w="1631" w:type="dxa"/>
            <w:vAlign w:val="center"/>
          </w:tcPr>
          <w:p>
            <w:pPr>
              <w:jc w:val="center"/>
              <w:rPr>
                <w:sz w:val="24"/>
              </w:rPr>
            </w:pPr>
            <w:r>
              <w:rPr>
                <w:sz w:val="24"/>
              </w:rPr>
              <w:t>丽水市商务局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482" w:hRule="atLeast"/>
          <w:jc w:val="center"/>
        </w:trPr>
        <w:tc>
          <w:tcPr>
            <w:tcW w:w="519" w:type="dxa"/>
            <w:vAlign w:val="center"/>
          </w:tcPr>
          <w:p>
            <w:pPr>
              <w:jc w:val="center"/>
              <w:rPr>
                <w:sz w:val="24"/>
              </w:rPr>
            </w:pPr>
            <w:r>
              <w:rPr>
                <w:sz w:val="24"/>
              </w:rPr>
              <w:t>14</w:t>
            </w:r>
          </w:p>
        </w:tc>
        <w:tc>
          <w:tcPr>
            <w:tcW w:w="660" w:type="dxa"/>
            <w:vAlign w:val="center"/>
          </w:tcPr>
          <w:p>
            <w:pPr>
              <w:jc w:val="center"/>
              <w:rPr>
                <w:sz w:val="24"/>
              </w:rPr>
            </w:pPr>
            <w:r>
              <w:rPr>
                <w:sz w:val="24"/>
              </w:rPr>
              <w:t>丽水</w:t>
            </w:r>
          </w:p>
        </w:tc>
        <w:tc>
          <w:tcPr>
            <w:tcW w:w="2588" w:type="dxa"/>
            <w:vAlign w:val="center"/>
          </w:tcPr>
          <w:p>
            <w:pPr>
              <w:rPr>
                <w:sz w:val="24"/>
              </w:rPr>
            </w:pPr>
            <w:r>
              <w:rPr>
                <w:sz w:val="24"/>
              </w:rPr>
              <w:t>丽水市人民政府关于促进商贸流通业发展的实施意见</w:t>
            </w:r>
          </w:p>
        </w:tc>
        <w:tc>
          <w:tcPr>
            <w:tcW w:w="6257" w:type="dxa"/>
            <w:vAlign w:val="center"/>
          </w:tcPr>
          <w:p>
            <w:pPr>
              <w:rPr>
                <w:sz w:val="24"/>
              </w:rPr>
            </w:pPr>
            <w:r>
              <w:rPr>
                <w:sz w:val="24"/>
              </w:rPr>
              <w:t>强化商贸流通业顶层设计，设定合理目标，加大商圈建设力度，提升消费环境，推进消费模式创新，激发消费活力，扩大内需消费。</w:t>
            </w:r>
          </w:p>
        </w:tc>
        <w:tc>
          <w:tcPr>
            <w:tcW w:w="1380" w:type="dxa"/>
            <w:vAlign w:val="center"/>
          </w:tcPr>
          <w:p>
            <w:pPr>
              <w:jc w:val="center"/>
              <w:rPr>
                <w:sz w:val="24"/>
              </w:rPr>
            </w:pPr>
            <w:r>
              <w:rPr>
                <w:sz w:val="24"/>
              </w:rPr>
              <w:t>十四五期间</w:t>
            </w:r>
          </w:p>
        </w:tc>
        <w:tc>
          <w:tcPr>
            <w:tcW w:w="1631" w:type="dxa"/>
            <w:vAlign w:val="center"/>
          </w:tcPr>
          <w:p>
            <w:pPr>
              <w:jc w:val="center"/>
              <w:rPr>
                <w:sz w:val="24"/>
              </w:rPr>
            </w:pPr>
            <w:r>
              <w:rPr>
                <w:sz w:val="24"/>
              </w:rPr>
              <w:t>丽水市商务局</w:t>
            </w:r>
          </w:p>
        </w:tc>
      </w:tr>
    </w:tbl>
    <w:p>
      <w:pPr>
        <w:overflowPunct w:val="0"/>
        <w:jc w:val="center"/>
        <w:rPr>
          <w:bCs/>
          <w:szCs w:val="32"/>
        </w:rPr>
      </w:pPr>
    </w:p>
    <w:p>
      <w:pPr>
        <w:overflowPunct w:val="0"/>
        <w:jc w:val="center"/>
        <w:rPr>
          <w:bCs/>
          <w:szCs w:val="32"/>
        </w:rPr>
      </w:pPr>
    </w:p>
    <w:p>
      <w:pPr>
        <w:overflowPunct w:val="0"/>
        <w:jc w:val="center"/>
        <w:rPr>
          <w:bCs/>
          <w:szCs w:val="32"/>
        </w:rPr>
      </w:pPr>
    </w:p>
    <w:p>
      <w:pPr>
        <w:widowControl/>
        <w:overflowPunct w:val="0"/>
        <w:spacing w:line="20" w:lineRule="exact"/>
        <w:ind w:firstLine="640" w:firstLineChars="200"/>
        <w:rPr>
          <w:rFonts w:hint="eastAsia" w:eastAsia="黑体"/>
          <w:szCs w:val="32"/>
        </w:rPr>
      </w:pPr>
    </w:p>
    <w:p>
      <w:pPr>
        <w:widowControl/>
        <w:overflowPunct w:val="0"/>
        <w:spacing w:line="20" w:lineRule="exact"/>
        <w:ind w:firstLine="640" w:firstLineChars="200"/>
        <w:rPr>
          <w:rFonts w:eastAsia="黑体"/>
          <w:szCs w:val="32"/>
        </w:rPr>
        <w:sectPr>
          <w:footnotePr>
            <w:numFmt w:val="decimalEnclosedCircleChinese"/>
            <w:numRestart w:val="eachPage"/>
          </w:footnotePr>
          <w:pgSz w:w="16838" w:h="11906" w:orient="landscape"/>
          <w:pgMar w:top="1531" w:right="1871" w:bottom="1531" w:left="1701" w:header="851" w:footer="1134" w:gutter="0"/>
          <w:cols w:space="720" w:num="1"/>
          <w:docGrid w:linePitch="312" w:charSpace="0"/>
        </w:sectPr>
      </w:pPr>
    </w:p>
    <w:p>
      <w:pPr>
        <w:pStyle w:val="12"/>
        <w:spacing w:after="0" w:line="590" w:lineRule="exact"/>
        <w:ind w:left="0" w:leftChars="0" w:firstLine="640" w:firstLineChars="200"/>
        <w:rPr>
          <w:szCs w:val="32"/>
        </w:rPr>
      </w:pPr>
    </w:p>
    <w:p>
      <w:pPr>
        <w:tabs>
          <w:tab w:val="left" w:pos="615"/>
        </w:tabs>
        <w:spacing w:line="590" w:lineRule="exact"/>
        <w:rPr>
          <w:rFonts w:hint="eastAsia" w:eastAsia="方正小标宋简体"/>
          <w:szCs w:val="32"/>
        </w:rPr>
      </w:pPr>
    </w:p>
    <w:p>
      <w:pPr>
        <w:tabs>
          <w:tab w:val="left" w:pos="615"/>
        </w:tabs>
        <w:spacing w:line="590" w:lineRule="exact"/>
        <w:jc w:val="center"/>
        <w:rPr>
          <w:rFonts w:eastAsia="方正小标宋简体"/>
          <w:sz w:val="44"/>
          <w:szCs w:val="44"/>
        </w:rPr>
      </w:pPr>
      <w:r>
        <w:rPr>
          <w:rFonts w:eastAsia="方正小标宋简体"/>
          <w:sz w:val="44"/>
          <w:szCs w:val="44"/>
        </w:rPr>
        <w:t>浙江省自由贸易发展“十四五”规划</w:t>
      </w:r>
    </w:p>
    <w:p>
      <w:pPr>
        <w:tabs>
          <w:tab w:val="left" w:pos="615"/>
        </w:tabs>
        <w:spacing w:line="590" w:lineRule="exact"/>
        <w:ind w:firstLine="640" w:firstLineChars="200"/>
        <w:rPr>
          <w:szCs w:val="32"/>
        </w:rPr>
      </w:pPr>
    </w:p>
    <w:p>
      <w:pPr>
        <w:tabs>
          <w:tab w:val="left" w:pos="615"/>
        </w:tabs>
        <w:spacing w:line="590" w:lineRule="exact"/>
        <w:ind w:firstLine="640" w:firstLineChars="200"/>
        <w:rPr>
          <w:szCs w:val="32"/>
        </w:rPr>
      </w:pPr>
      <w:r>
        <w:rPr>
          <w:szCs w:val="32"/>
        </w:rPr>
        <w:t>建设自由贸易试验区是党中央、国务院作出的重大决策，是新时代推进改革开放的战略举措。为深入贯彻落实习近平总书记在浙江考察时的重要讲话精神，跳出舟山、发展浙江，更大力度将自贸试验区建设成为新时代全面展示中国特色社会主义制度优越性的“重要窗口”，推动浙江全方位高水平开放，特制定本规划</w:t>
      </w:r>
      <w:r>
        <w:rPr>
          <w:rStyle w:val="10"/>
          <w:szCs w:val="32"/>
        </w:rPr>
        <w:footnoteReference w:id="0"/>
      </w:r>
      <w:r>
        <w:rPr>
          <w:szCs w:val="32"/>
        </w:rPr>
        <w:t>。</w:t>
      </w:r>
    </w:p>
    <w:p>
      <w:pPr>
        <w:spacing w:line="590" w:lineRule="exact"/>
        <w:ind w:firstLine="640" w:firstLineChars="200"/>
        <w:outlineLvl w:val="0"/>
        <w:rPr>
          <w:rFonts w:ascii="黑体" w:hAnsi="黑体" w:eastAsia="黑体"/>
          <w:szCs w:val="32"/>
        </w:rPr>
      </w:pPr>
      <w:bookmarkStart w:id="167" w:name="_Toc3130"/>
      <w:bookmarkStart w:id="168" w:name="_Toc4163"/>
      <w:bookmarkStart w:id="169" w:name="_Toc13235"/>
      <w:bookmarkStart w:id="170" w:name="_Toc28855"/>
      <w:bookmarkStart w:id="171" w:name="_Toc27441"/>
      <w:bookmarkStart w:id="172" w:name="_Toc19585"/>
      <w:r>
        <w:rPr>
          <w:rStyle w:val="13"/>
          <w:rFonts w:ascii="黑体" w:hAnsi="黑体" w:eastAsia="黑体"/>
          <w:b w:val="0"/>
          <w:sz w:val="32"/>
          <w:szCs w:val="32"/>
        </w:rPr>
        <w:t>一、现实基础</w:t>
      </w:r>
      <w:bookmarkEnd w:id="167"/>
      <w:bookmarkEnd w:id="168"/>
      <w:bookmarkEnd w:id="169"/>
      <w:bookmarkEnd w:id="170"/>
      <w:bookmarkEnd w:id="171"/>
      <w:bookmarkEnd w:id="172"/>
    </w:p>
    <w:p>
      <w:pPr>
        <w:tabs>
          <w:tab w:val="left" w:pos="615"/>
        </w:tabs>
        <w:spacing w:line="590" w:lineRule="exact"/>
        <w:ind w:firstLine="640" w:firstLineChars="200"/>
        <w:rPr>
          <w:rFonts w:eastAsia="楷体_GB2312"/>
          <w:szCs w:val="32"/>
        </w:rPr>
      </w:pPr>
      <w:bookmarkStart w:id="173" w:name="_Toc7955"/>
      <w:bookmarkStart w:id="174" w:name="_Toc6414"/>
      <w:bookmarkStart w:id="175" w:name="_Toc19948"/>
      <w:bookmarkStart w:id="176" w:name="_Toc14058"/>
      <w:bookmarkStart w:id="177" w:name="_Toc10092"/>
      <w:bookmarkStart w:id="178" w:name="_Toc14598"/>
      <w:r>
        <w:rPr>
          <w:rStyle w:val="14"/>
          <w:rFonts w:ascii="Times New Roman"/>
          <w:bCs w:val="0"/>
        </w:rPr>
        <w:t>（一）基本成就</w:t>
      </w:r>
      <w:bookmarkEnd w:id="173"/>
      <w:bookmarkEnd w:id="174"/>
      <w:bookmarkEnd w:id="175"/>
      <w:bookmarkEnd w:id="176"/>
      <w:bookmarkEnd w:id="177"/>
      <w:bookmarkEnd w:id="178"/>
    </w:p>
    <w:p>
      <w:pPr>
        <w:tabs>
          <w:tab w:val="left" w:pos="615"/>
        </w:tabs>
        <w:spacing w:line="590" w:lineRule="exact"/>
        <w:ind w:firstLine="640" w:firstLineChars="200"/>
        <w:rPr>
          <w:szCs w:val="32"/>
        </w:rPr>
      </w:pPr>
      <w:bookmarkStart w:id="179" w:name="_Toc9127"/>
      <w:bookmarkStart w:id="180" w:name="_Toc24608"/>
      <w:bookmarkStart w:id="181" w:name="_Toc8848"/>
      <w:bookmarkStart w:id="182" w:name="_Toc31987"/>
      <w:bookmarkStart w:id="183" w:name="_Toc1419"/>
      <w:bookmarkStart w:id="184" w:name="_Toc24385"/>
      <w:r>
        <w:rPr>
          <w:rStyle w:val="15"/>
          <w:b w:val="0"/>
          <w:bCs w:val="0"/>
        </w:rPr>
        <w:t>基本奠定了“131”油气全产业链总体格局。</w:t>
      </w:r>
      <w:bookmarkEnd w:id="179"/>
      <w:bookmarkEnd w:id="180"/>
      <w:bookmarkEnd w:id="181"/>
      <w:bookmarkEnd w:id="182"/>
      <w:bookmarkEnd w:id="183"/>
      <w:bookmarkEnd w:id="184"/>
      <w:r>
        <w:rPr>
          <w:szCs w:val="32"/>
        </w:rPr>
        <w:t>围绕“一中心三基地一示范区”，油气储运、炼化加工、贸易交易、海事服务等产业链基本成型。一是国际油气交易中心建设成效初显。三年来，浙江自贸试验区已成为全国油气企业最集聚的地区，累计集聚油气企业6000余家，完成油品贸易额达6525亿元。保税船用燃料油供应量和结算量分别突破410万吨和624.5万吨，分别达到全国40%和50%以上。深化与上期所战略合作，6个油库成为上期所原油和燃料油期货指定交割库，成功开展全国首单燃料油期货交割业务，“浙油中心报价专区”在上期标准仓单交易平台上线。阿格斯、普氏能源先后发布舟山船用燃料油价格指数和估价，初步形成保税燃料油“舟山价格”。二是国际油气储备基地建设初具规模。舟山油品储罐能力达2790万吨，浙石化鱼山原油储罐全部投运，黄泽山油品储运基地项目一期已建成开港，建成投运143.9公里油气管网（含陆上段和海上段）。LNG年接卸能力达300万吨，新奥LNG项目舟山至宁波输气管道建设有序推进，完成接卸量98.5万吨。三是国际绿色石化基地建设快速推进。浙江物产中大、浙石化获批原油非国营贸易进口资质和配额，浙石化炼化一体化项目引进“世界最大乙烯裂解装置”“单套规模最大重整装置”等系列全球最大装置，累计完成投资1233.2亿元，一期已全面投产，形成2000万吨/年炼化能力，累计加工原油970万吨，项目二期全面开工建设。四是国际海事服务基地建设成效显著。宁波舟山港跃升为全国最大、全球第八大船用燃料油加注港，率先全国试点开展燃料油加注、生活用品供给、船员轮换等锚地综合海事服务。外轮供应市场加快发展，外轮供应货值突破22亿美元，年均增长107%；万吨级船舶年修理能力达3500艘，占全国市场份额40%。引进国际知名船级社挪威船级社，引进力鸿仕宝、瑞士通标、实华南油等3家全球顶尖油品检测机构，船舶管理、油品检测、航运科技等160余家海事服务产业链企业迅速集聚。五是大宗商品跨境贸易人民币国际化示范区影响扩大。在全国率先开展油品贸易人民币结算便利化试点，推出保税燃料油信用证、跨境人民币联合融资等多种创新产品。首单境外发债业务、跨境金融区块链服务平台试点业务顺利落地。年跨境人民币结算量达960亿元，16家银行开办跨境人民币业务，政策惠及面由200余家企业增至全省800余家，业务辐射香港、澳门、日本、美国、德国等43个国家和地区。</w:t>
      </w:r>
    </w:p>
    <w:p>
      <w:pPr>
        <w:tabs>
          <w:tab w:val="left" w:pos="615"/>
        </w:tabs>
        <w:spacing w:line="590" w:lineRule="exact"/>
        <w:ind w:firstLine="640" w:firstLineChars="200"/>
        <w:rPr>
          <w:szCs w:val="32"/>
        </w:rPr>
      </w:pPr>
      <w:bookmarkStart w:id="185" w:name="_Toc19182"/>
      <w:bookmarkStart w:id="186" w:name="_Toc27267"/>
      <w:bookmarkStart w:id="187" w:name="_Toc24112"/>
      <w:bookmarkStart w:id="188" w:name="_Toc32341"/>
      <w:bookmarkStart w:id="189" w:name="_Toc5729"/>
      <w:bookmarkStart w:id="190" w:name="_Toc25162"/>
      <w:r>
        <w:rPr>
          <w:rStyle w:val="15"/>
          <w:b w:val="0"/>
          <w:bCs w:val="0"/>
        </w:rPr>
        <w:t>改革探索推动差异化系统集成制度创新。</w:t>
      </w:r>
      <w:bookmarkEnd w:id="185"/>
      <w:bookmarkEnd w:id="186"/>
      <w:bookmarkEnd w:id="187"/>
      <w:bookmarkEnd w:id="188"/>
      <w:bookmarkEnd w:id="189"/>
      <w:bookmarkEnd w:id="190"/>
      <w:r>
        <w:rPr>
          <w:szCs w:val="32"/>
        </w:rPr>
        <w:t>围绕政府职能转变、投资管理、贸易便利化、金融开放、综合监管等领域改革创新，累计形成特色化、系统性制度创新成果123项，其中全国首创58项，11项被国务院复制推广，4个案例入选商务部第三批“最佳实践案例”，走在第三批自贸试验区前列。在123项制度创新成果中，油气全产业链、“最多跑一次”两大领域系统性集成超过50%。建成全国首个船舶进境通关无纸化口岸，国际贸易“单一窗口”船舶通关“一单多报”经验成为全国样板，大幅度提升了贸易便利化，船舶进出境申报数据减少2/3，通关时间从16小时缩减到2小时。率先试点船舶通关一体化改革，创新56项口岸通关监管举措，保税船用燃料油供应效率与新加坡持平。此外，设立杭州、宁波、嘉兴、金华、台州、温州等6个联动创新区，复制推广自贸试验区改革经验，开展差异化特色化改革探索。</w:t>
      </w:r>
    </w:p>
    <w:p>
      <w:pPr>
        <w:tabs>
          <w:tab w:val="left" w:pos="615"/>
        </w:tabs>
        <w:spacing w:line="590" w:lineRule="exact"/>
        <w:ind w:firstLine="640" w:firstLineChars="200"/>
        <w:rPr>
          <w:szCs w:val="32"/>
        </w:rPr>
      </w:pPr>
      <w:bookmarkStart w:id="191" w:name="_Toc28568"/>
      <w:bookmarkStart w:id="192" w:name="_Toc27924"/>
      <w:bookmarkStart w:id="193" w:name="_Toc19"/>
      <w:bookmarkStart w:id="194" w:name="_Toc31529"/>
      <w:bookmarkStart w:id="195" w:name="_Toc7088"/>
      <w:bookmarkStart w:id="196" w:name="_Toc24086"/>
      <w:r>
        <w:rPr>
          <w:rStyle w:val="15"/>
          <w:b w:val="0"/>
          <w:bCs w:val="0"/>
        </w:rPr>
        <w:t>投资建设了若干具有乘数效应的标志性项目。</w:t>
      </w:r>
      <w:bookmarkEnd w:id="191"/>
      <w:bookmarkEnd w:id="192"/>
      <w:bookmarkEnd w:id="193"/>
      <w:bookmarkEnd w:id="194"/>
      <w:bookmarkEnd w:id="195"/>
      <w:bookmarkEnd w:id="196"/>
      <w:r>
        <w:rPr>
          <w:szCs w:val="32"/>
        </w:rPr>
        <w:t>浙江自贸试验区聚力龙头产业项目，带动辐射全产业链。浙石化4000万吨/年炼化一体化项目是国内民营企业投资建设最大的单体产业项目，成为民营资本进入石化行业的标志性项目；新奥舟山LNG项目是全国首个民营千万吨级的LNG项目，为全省乃至长三角地区提供天然气能源保障；波音项目首个海外完工和交付中心交付使用，带动了航空配件、租赁等航空产业；澳牛进境加工项目带动了肉类精深加工、冷链物流、电商销售等生物食品产业链。连续举办三届油商大会，吸引了包括沙特阿美、BP、托克、霍尼韦尔、道达尔、嘉能可等一批世界油气巨头企业参与油气储运、油气贸易、低硫油合作、LNG应用等领域投资建设。引进上海期货交易所等战略投资者入股浙江国际油气交易中心，推进油气交易“期现合作”，探索油气价格发现机制。</w:t>
      </w:r>
    </w:p>
    <w:p>
      <w:pPr>
        <w:tabs>
          <w:tab w:val="left" w:pos="615"/>
        </w:tabs>
        <w:spacing w:line="590" w:lineRule="exact"/>
        <w:ind w:firstLine="640" w:firstLineChars="200"/>
        <w:rPr>
          <w:rFonts w:eastAsia="楷体_GB2312"/>
          <w:szCs w:val="32"/>
        </w:rPr>
      </w:pPr>
      <w:bookmarkStart w:id="197" w:name="_Toc3894"/>
      <w:bookmarkStart w:id="198" w:name="_Toc10570"/>
      <w:bookmarkStart w:id="199" w:name="_Toc10123"/>
      <w:bookmarkStart w:id="200" w:name="_Toc12945"/>
      <w:bookmarkStart w:id="201" w:name="_Toc6426"/>
      <w:bookmarkStart w:id="202" w:name="_Toc8626"/>
      <w:r>
        <w:rPr>
          <w:rStyle w:val="14"/>
          <w:rFonts w:ascii="Times New Roman"/>
          <w:bCs w:val="0"/>
        </w:rPr>
        <w:t>（二）存在问题</w:t>
      </w:r>
      <w:bookmarkEnd w:id="197"/>
      <w:bookmarkEnd w:id="198"/>
      <w:bookmarkEnd w:id="199"/>
      <w:bookmarkEnd w:id="200"/>
      <w:bookmarkEnd w:id="201"/>
      <w:bookmarkEnd w:id="202"/>
    </w:p>
    <w:p>
      <w:pPr>
        <w:tabs>
          <w:tab w:val="left" w:pos="615"/>
        </w:tabs>
        <w:spacing w:line="590" w:lineRule="exact"/>
        <w:ind w:firstLine="640" w:firstLineChars="200"/>
        <w:rPr>
          <w:szCs w:val="32"/>
        </w:rPr>
      </w:pPr>
      <w:bookmarkStart w:id="203" w:name="_Toc25212"/>
      <w:bookmarkStart w:id="204" w:name="_Toc13826"/>
      <w:bookmarkStart w:id="205" w:name="_Toc28091"/>
      <w:bookmarkStart w:id="206" w:name="_Toc7236"/>
      <w:bookmarkStart w:id="207" w:name="_Toc20065"/>
      <w:bookmarkStart w:id="208" w:name="_Toc16402"/>
      <w:r>
        <w:rPr>
          <w:rStyle w:val="15"/>
          <w:b w:val="0"/>
          <w:bCs w:val="0"/>
        </w:rPr>
        <w:t>国家油气储备体制改革亟需破题。</w:t>
      </w:r>
      <w:bookmarkEnd w:id="203"/>
      <w:bookmarkEnd w:id="204"/>
      <w:bookmarkEnd w:id="205"/>
      <w:bookmarkEnd w:id="206"/>
      <w:bookmarkEnd w:id="207"/>
      <w:bookmarkEnd w:id="208"/>
      <w:r>
        <w:rPr>
          <w:szCs w:val="32"/>
        </w:rPr>
        <w:t>三年多来，浙江自贸试验区的油气储备能力不断提高，但相比4000万吨目标还有较大差距，且尚未形成国储、义储、商储、企储相结合的油储联动机制，民营企业参与国家储备存在一定难度，商业储罐整体利用率不高。同时，商业储罐因租金收入小于运营成本，基本呈亏损状态，导致民营企业建设储备积极性较低，且未形成成熟的大规模油品贸易业务体系，影响了石油储备的流动性。</w:t>
      </w:r>
    </w:p>
    <w:p>
      <w:pPr>
        <w:tabs>
          <w:tab w:val="left" w:pos="615"/>
        </w:tabs>
        <w:spacing w:line="590" w:lineRule="exact"/>
        <w:ind w:firstLine="640" w:firstLineChars="200"/>
        <w:rPr>
          <w:szCs w:val="32"/>
        </w:rPr>
      </w:pPr>
      <w:bookmarkStart w:id="209" w:name="_Toc6097"/>
      <w:bookmarkStart w:id="210" w:name="_Toc20834"/>
      <w:bookmarkStart w:id="211" w:name="_Toc2535"/>
      <w:bookmarkStart w:id="212" w:name="_Toc26847"/>
      <w:bookmarkStart w:id="213" w:name="_Toc29761"/>
      <w:bookmarkStart w:id="214" w:name="_Toc21976"/>
      <w:r>
        <w:rPr>
          <w:rStyle w:val="15"/>
          <w:b w:val="0"/>
          <w:bCs w:val="0"/>
        </w:rPr>
        <w:t>高质量外资重大项目亟需落地。</w:t>
      </w:r>
      <w:bookmarkEnd w:id="209"/>
      <w:bookmarkEnd w:id="210"/>
      <w:bookmarkEnd w:id="211"/>
      <w:bookmarkEnd w:id="212"/>
      <w:bookmarkEnd w:id="213"/>
      <w:bookmarkEnd w:id="214"/>
      <w:r>
        <w:rPr>
          <w:szCs w:val="32"/>
        </w:rPr>
        <w:t>2020年1—11月，自贸试验区以不到全国千分之四的国土面积，贡献外资占比全国16.4%。利用外资是浙江自贸试验区发展短板，存在签约外资项目落地难问题，三年多来累计实际利用外资7.7亿美元，仅占全省三年实际总计利用外资1.54%。</w:t>
      </w:r>
    </w:p>
    <w:p>
      <w:pPr>
        <w:tabs>
          <w:tab w:val="left" w:pos="615"/>
        </w:tabs>
        <w:spacing w:line="590" w:lineRule="exact"/>
        <w:ind w:firstLine="640" w:firstLineChars="200"/>
        <w:rPr>
          <w:szCs w:val="32"/>
        </w:rPr>
      </w:pPr>
      <w:bookmarkStart w:id="215" w:name="_Toc24615"/>
      <w:bookmarkStart w:id="216" w:name="_Toc28832"/>
      <w:bookmarkStart w:id="217" w:name="_Toc4611"/>
      <w:bookmarkStart w:id="218" w:name="_Toc26970"/>
      <w:bookmarkStart w:id="219" w:name="_Toc209"/>
      <w:bookmarkStart w:id="220" w:name="_Toc12010"/>
      <w:r>
        <w:rPr>
          <w:rStyle w:val="15"/>
          <w:b w:val="0"/>
          <w:bCs w:val="0"/>
        </w:rPr>
        <w:t>辐射带动、联动发展亟需增强。</w:t>
      </w:r>
      <w:bookmarkEnd w:id="215"/>
      <w:bookmarkEnd w:id="216"/>
      <w:bookmarkEnd w:id="217"/>
      <w:bookmarkEnd w:id="218"/>
      <w:bookmarkEnd w:id="219"/>
      <w:bookmarkEnd w:id="220"/>
      <w:r>
        <w:rPr>
          <w:szCs w:val="32"/>
        </w:rPr>
        <w:t>一方面，浙江自贸试验区扩区前集中于舟山一域，仅有油气这一单个核心产业且规模小，对全省的辐射带动作用有限。另一方面，与上海、江苏、安徽自贸试验区合作不够紧密，尚未完</w:t>
      </w:r>
      <w:r>
        <w:rPr>
          <w:rFonts w:hint="eastAsia"/>
          <w:szCs w:val="32"/>
        </w:rPr>
        <w:t>全形成</w:t>
      </w:r>
      <w:r>
        <w:rPr>
          <w:szCs w:val="32"/>
        </w:rPr>
        <w:t>优势互补、合作共赢的区域发展共同体。</w:t>
      </w:r>
    </w:p>
    <w:p>
      <w:pPr>
        <w:tabs>
          <w:tab w:val="left" w:pos="615"/>
        </w:tabs>
        <w:spacing w:line="590" w:lineRule="exact"/>
        <w:ind w:firstLine="640" w:firstLineChars="200"/>
        <w:rPr>
          <w:szCs w:val="32"/>
        </w:rPr>
      </w:pPr>
      <w:bookmarkStart w:id="221" w:name="_Toc9082"/>
      <w:bookmarkStart w:id="222" w:name="_Toc15827"/>
      <w:bookmarkStart w:id="223" w:name="_Toc18970"/>
      <w:bookmarkStart w:id="224" w:name="_Toc15959"/>
      <w:bookmarkStart w:id="225" w:name="_Toc22008"/>
      <w:bookmarkStart w:id="226" w:name="_Toc24075"/>
      <w:r>
        <w:rPr>
          <w:rStyle w:val="15"/>
          <w:b w:val="0"/>
          <w:bCs w:val="0"/>
        </w:rPr>
        <w:t>全球高端创新人才亟需引入。</w:t>
      </w:r>
      <w:bookmarkEnd w:id="221"/>
      <w:bookmarkEnd w:id="222"/>
      <w:bookmarkEnd w:id="223"/>
      <w:bookmarkEnd w:id="224"/>
      <w:bookmarkEnd w:id="225"/>
      <w:bookmarkEnd w:id="226"/>
      <w:r>
        <w:rPr>
          <w:szCs w:val="32"/>
        </w:rPr>
        <w:t>自贸试验区建设要遵循国际化导向，坚持对标国际最高标准，坚持以制度创新为核心，需配套一批具有国际视野、创新能力强以及较强专业能力和实务方面的人才，特别是全球高端人才。三年多来，浙江自贸试验区支撑油气全产业链发展的国际专业人才不足，扩区后亟需引入“五大功能定位”所涉及领域的全球高端人才。</w:t>
      </w:r>
    </w:p>
    <w:p>
      <w:pPr>
        <w:tabs>
          <w:tab w:val="left" w:pos="615"/>
        </w:tabs>
        <w:spacing w:line="590" w:lineRule="exact"/>
        <w:ind w:firstLine="640" w:firstLineChars="200"/>
        <w:rPr>
          <w:rStyle w:val="13"/>
          <w:rFonts w:ascii="黑体" w:hAnsi="黑体" w:eastAsia="黑体"/>
          <w:b w:val="0"/>
          <w:sz w:val="32"/>
          <w:szCs w:val="32"/>
        </w:rPr>
      </w:pPr>
      <w:bookmarkStart w:id="227" w:name="_Toc28295"/>
      <w:bookmarkStart w:id="228" w:name="_Toc13076"/>
      <w:bookmarkStart w:id="229" w:name="_Toc31941"/>
      <w:bookmarkStart w:id="230" w:name="_Toc31437"/>
      <w:bookmarkStart w:id="231" w:name="_Toc6549"/>
      <w:bookmarkStart w:id="232" w:name="_Toc21219"/>
      <w:r>
        <w:rPr>
          <w:rStyle w:val="13"/>
          <w:rFonts w:ascii="黑体" w:hAnsi="黑体" w:eastAsia="黑体"/>
          <w:b w:val="0"/>
          <w:sz w:val="32"/>
          <w:szCs w:val="32"/>
        </w:rPr>
        <w:t>二、发展环境</w:t>
      </w:r>
    </w:p>
    <w:bookmarkEnd w:id="227"/>
    <w:bookmarkEnd w:id="228"/>
    <w:bookmarkEnd w:id="229"/>
    <w:bookmarkEnd w:id="230"/>
    <w:bookmarkEnd w:id="231"/>
    <w:bookmarkEnd w:id="232"/>
    <w:p>
      <w:pPr>
        <w:tabs>
          <w:tab w:val="left" w:pos="615"/>
        </w:tabs>
        <w:spacing w:line="590" w:lineRule="exact"/>
        <w:ind w:firstLine="640" w:firstLineChars="200"/>
        <w:rPr>
          <w:rFonts w:eastAsia="楷体_GB2312"/>
          <w:szCs w:val="32"/>
        </w:rPr>
      </w:pPr>
      <w:bookmarkStart w:id="233" w:name="_Toc23624"/>
      <w:bookmarkStart w:id="234" w:name="_Toc21694"/>
      <w:bookmarkStart w:id="235" w:name="_Toc30301"/>
      <w:bookmarkStart w:id="236" w:name="_Toc12805"/>
      <w:bookmarkStart w:id="237" w:name="_Toc21220"/>
      <w:bookmarkStart w:id="238" w:name="_Toc4840"/>
      <w:r>
        <w:rPr>
          <w:rStyle w:val="14"/>
          <w:rFonts w:ascii="Times New Roman"/>
          <w:bCs w:val="0"/>
        </w:rPr>
        <w:t>（一）国际环境</w:t>
      </w:r>
      <w:bookmarkEnd w:id="233"/>
      <w:bookmarkEnd w:id="234"/>
      <w:bookmarkEnd w:id="235"/>
      <w:bookmarkEnd w:id="236"/>
      <w:bookmarkEnd w:id="237"/>
      <w:bookmarkEnd w:id="238"/>
    </w:p>
    <w:p>
      <w:pPr>
        <w:tabs>
          <w:tab w:val="left" w:pos="615"/>
        </w:tabs>
        <w:spacing w:line="590" w:lineRule="exact"/>
        <w:ind w:firstLine="640" w:firstLineChars="200"/>
        <w:rPr>
          <w:rFonts w:eastAsia="楷体_GB2312"/>
          <w:szCs w:val="32"/>
        </w:rPr>
      </w:pPr>
      <w:r>
        <w:rPr>
          <w:szCs w:val="32"/>
        </w:rPr>
        <w:t>当前，世界正在经历新一轮大发展大变革大调整，</w:t>
      </w:r>
      <w:bookmarkStart w:id="545" w:name="_GoBack"/>
      <w:bookmarkEnd w:id="545"/>
      <w:r>
        <w:rPr>
          <w:rFonts w:hint="eastAsia"/>
          <w:szCs w:val="32"/>
          <w:lang w:eastAsia="zh-CN"/>
        </w:rPr>
        <w:t>新冠肺炎疫情</w:t>
      </w:r>
      <w:r>
        <w:rPr>
          <w:szCs w:val="32"/>
        </w:rPr>
        <w:t>加剧了世界经济衰退，加上保护主义、单边主义抬头，国际治理体系与国家发展格局正发生深刻变化。</w:t>
      </w:r>
      <w:r>
        <w:rPr>
          <w:rFonts w:hint="eastAsia"/>
          <w:szCs w:val="32"/>
          <w:lang w:eastAsia="zh-CN"/>
        </w:rPr>
        <w:t>新冠肺炎疫情</w:t>
      </w:r>
      <w:r>
        <w:rPr>
          <w:szCs w:val="32"/>
        </w:rPr>
        <w:t>呈现全球大流行特征，对世界经济发展带来严重冲击，全球经济和贸易跌幅都将远超国际金融危机时期，全球90%的经济体陷入衰退，国际产业链、供应链和市场渠道面临重构。以美国为代表的贸易保护主义与单边主义愈演愈烈，发起中美经贸摩擦，接连退出跨太平洋伙伴关系协定（TPP）、联合国教科文组织等国际合作组织，给未来全球治理体系带来极大的不确定性。区域全面经济伙伴关系协定（RCEP）正式签署，世界上人口数量最多、成员结构最多元、发展潜力最大的自贸区建成，将有力促进地区经济复苏和拉动全球经济增长。</w:t>
      </w:r>
    </w:p>
    <w:p>
      <w:pPr>
        <w:tabs>
          <w:tab w:val="left" w:pos="615"/>
        </w:tabs>
        <w:spacing w:line="590" w:lineRule="exact"/>
        <w:ind w:firstLine="640" w:firstLineChars="200"/>
        <w:rPr>
          <w:rFonts w:eastAsia="楷体_GB2312"/>
          <w:szCs w:val="32"/>
        </w:rPr>
      </w:pPr>
      <w:bookmarkStart w:id="239" w:name="_Toc11760"/>
      <w:bookmarkStart w:id="240" w:name="_Toc30954"/>
      <w:bookmarkStart w:id="241" w:name="_Toc30033"/>
      <w:bookmarkStart w:id="242" w:name="_Toc30948"/>
      <w:bookmarkStart w:id="243" w:name="_Toc19331"/>
      <w:bookmarkStart w:id="244" w:name="_Toc20647"/>
      <w:r>
        <w:rPr>
          <w:rStyle w:val="14"/>
          <w:rFonts w:ascii="Times New Roman"/>
          <w:bCs w:val="0"/>
        </w:rPr>
        <w:t>（二）国内环境</w:t>
      </w:r>
      <w:bookmarkEnd w:id="239"/>
      <w:bookmarkEnd w:id="240"/>
      <w:bookmarkEnd w:id="241"/>
      <w:bookmarkEnd w:id="242"/>
      <w:bookmarkEnd w:id="243"/>
      <w:bookmarkEnd w:id="244"/>
    </w:p>
    <w:p>
      <w:pPr>
        <w:tabs>
          <w:tab w:val="left" w:pos="615"/>
        </w:tabs>
        <w:spacing w:line="590" w:lineRule="exact"/>
        <w:ind w:firstLine="640" w:firstLineChars="200"/>
        <w:rPr>
          <w:szCs w:val="32"/>
        </w:rPr>
      </w:pPr>
      <w:r>
        <w:rPr>
          <w:szCs w:val="32"/>
        </w:rPr>
        <w:t>随着</w:t>
      </w:r>
      <w:r>
        <w:rPr>
          <w:rFonts w:hint="eastAsia"/>
          <w:szCs w:val="32"/>
          <w:lang w:eastAsia="zh-CN"/>
        </w:rPr>
        <w:t>新冠肺炎疫情</w:t>
      </w:r>
      <w:r>
        <w:rPr>
          <w:szCs w:val="32"/>
        </w:rPr>
        <w:t xml:space="preserve">全球扩散，我国面临较大的下行压力，党中央、国务院为稳住经济基本盘，扎实做好“六稳”工作，并把“六保”作为“六稳”工作的着力点，使各类经济指标出现边际改善，形势正逐步向好的方向转变，一个以国内循环为主、国际国内互促的双循环发展新格局正在形成。从自贸试验区到上海自贸试验区临港新片区、海南自由贸易港看出，对外政策逐步放开，产业更加高端，融入和参与重构全球产业链、供应链，努力将自贸试验区和中国特色自由贸易港建设成为链接双循环的重要平台。 </w:t>
      </w:r>
    </w:p>
    <w:p>
      <w:pPr>
        <w:tabs>
          <w:tab w:val="left" w:pos="615"/>
        </w:tabs>
        <w:spacing w:line="590" w:lineRule="exact"/>
        <w:ind w:firstLine="640" w:firstLineChars="200"/>
        <w:rPr>
          <w:rFonts w:eastAsia="楷体_GB2312"/>
          <w:szCs w:val="32"/>
        </w:rPr>
      </w:pPr>
      <w:bookmarkStart w:id="245" w:name="_Toc8605"/>
      <w:bookmarkStart w:id="246" w:name="_Toc10659"/>
      <w:bookmarkStart w:id="247" w:name="_Toc20285"/>
      <w:bookmarkStart w:id="248" w:name="_Toc13140"/>
      <w:bookmarkStart w:id="249" w:name="_Toc25746"/>
      <w:bookmarkStart w:id="250" w:name="_Toc30090"/>
      <w:r>
        <w:rPr>
          <w:rStyle w:val="14"/>
          <w:rFonts w:ascii="Times New Roman"/>
          <w:bCs w:val="0"/>
        </w:rPr>
        <w:t>（三）省内环境</w:t>
      </w:r>
      <w:bookmarkEnd w:id="245"/>
      <w:bookmarkEnd w:id="246"/>
      <w:bookmarkEnd w:id="247"/>
      <w:bookmarkEnd w:id="248"/>
      <w:bookmarkEnd w:id="249"/>
      <w:bookmarkEnd w:id="250"/>
    </w:p>
    <w:p>
      <w:pPr>
        <w:tabs>
          <w:tab w:val="left" w:pos="615"/>
        </w:tabs>
        <w:spacing w:line="590" w:lineRule="exact"/>
        <w:ind w:firstLine="640" w:firstLineChars="200"/>
        <w:rPr>
          <w:rFonts w:eastAsia="楷体_GB2312"/>
          <w:szCs w:val="32"/>
        </w:rPr>
      </w:pPr>
      <w:r>
        <w:rPr>
          <w:rFonts w:hint="eastAsia"/>
          <w:szCs w:val="32"/>
          <w:lang w:eastAsia="zh-CN"/>
        </w:rPr>
        <w:t>新冠肺炎疫情</w:t>
      </w:r>
      <w:r>
        <w:rPr>
          <w:szCs w:val="32"/>
        </w:rPr>
        <w:t>严重冲击我省经济社会，国际贸易、双向投资受阻，诸多传统产业受到重创，企业纷纷将自身经营模式从线下转向线上，跨境电商、数字贸易等新型贸易快速发展，在线办公、健康</w:t>
      </w:r>
      <w:r>
        <w:rPr>
          <w:spacing w:val="4"/>
          <w:szCs w:val="32"/>
        </w:rPr>
        <w:t>码等迅速普及，以数字经济为代表的“逆疫情经济”彰显活力，改</w:t>
      </w:r>
      <w:r>
        <w:rPr>
          <w:szCs w:val="32"/>
        </w:rPr>
        <w:t>变经济运行方式和生活方式。2020年3月29日至4月1日，习近平总书记来浙江考察，赋予“努力建设新时代全面展示中国特色社会主义制度优越性的重要窗口”的新目标新定位，迫切需要浙江自贸试验区发挥“试验田”作用，打造以数字经济、新型贸易等为代表的战略性新兴产业链集群，为全国、全省新一轮发展担当更加重大的历史使命。</w:t>
      </w:r>
    </w:p>
    <w:p>
      <w:pPr>
        <w:tabs>
          <w:tab w:val="left" w:pos="615"/>
        </w:tabs>
        <w:spacing w:line="590" w:lineRule="exact"/>
        <w:ind w:firstLine="640" w:firstLineChars="200"/>
        <w:rPr>
          <w:rStyle w:val="13"/>
          <w:rFonts w:ascii="黑体" w:hAnsi="黑体" w:eastAsia="黑体"/>
          <w:b w:val="0"/>
          <w:sz w:val="32"/>
          <w:szCs w:val="32"/>
        </w:rPr>
      </w:pPr>
      <w:bookmarkStart w:id="251" w:name="_Toc12395"/>
      <w:bookmarkStart w:id="252" w:name="_Toc18632"/>
      <w:bookmarkStart w:id="253" w:name="_Toc27263"/>
      <w:bookmarkStart w:id="254" w:name="_Toc12187"/>
      <w:bookmarkStart w:id="255" w:name="_Toc2375"/>
      <w:bookmarkStart w:id="256" w:name="_Toc18009"/>
      <w:r>
        <w:rPr>
          <w:rStyle w:val="13"/>
          <w:rFonts w:ascii="黑体" w:hAnsi="黑体" w:eastAsia="黑体"/>
          <w:b w:val="0"/>
          <w:sz w:val="32"/>
          <w:szCs w:val="32"/>
        </w:rPr>
        <w:t>三、总体思路</w:t>
      </w:r>
    </w:p>
    <w:bookmarkEnd w:id="251"/>
    <w:bookmarkEnd w:id="252"/>
    <w:bookmarkEnd w:id="253"/>
    <w:bookmarkEnd w:id="254"/>
    <w:bookmarkEnd w:id="255"/>
    <w:bookmarkEnd w:id="256"/>
    <w:p>
      <w:pPr>
        <w:tabs>
          <w:tab w:val="left" w:pos="615"/>
        </w:tabs>
        <w:spacing w:line="590" w:lineRule="exact"/>
        <w:ind w:firstLine="640" w:firstLineChars="200"/>
        <w:rPr>
          <w:rFonts w:eastAsia="楷体_GB2312"/>
          <w:szCs w:val="32"/>
        </w:rPr>
      </w:pPr>
      <w:bookmarkStart w:id="257" w:name="_Toc11444"/>
      <w:bookmarkStart w:id="258" w:name="_Toc7941"/>
      <w:bookmarkStart w:id="259" w:name="_Toc21917"/>
      <w:bookmarkStart w:id="260" w:name="_Toc1943"/>
      <w:bookmarkStart w:id="261" w:name="_Toc19944"/>
      <w:bookmarkStart w:id="262" w:name="_Toc19879"/>
      <w:r>
        <w:rPr>
          <w:rStyle w:val="14"/>
          <w:rFonts w:ascii="Times New Roman"/>
          <w:bCs w:val="0"/>
        </w:rPr>
        <w:t>（一）指导思想</w:t>
      </w:r>
      <w:bookmarkEnd w:id="257"/>
      <w:bookmarkEnd w:id="258"/>
      <w:bookmarkEnd w:id="259"/>
      <w:bookmarkEnd w:id="260"/>
      <w:bookmarkEnd w:id="261"/>
      <w:bookmarkEnd w:id="262"/>
    </w:p>
    <w:p>
      <w:pPr>
        <w:tabs>
          <w:tab w:val="left" w:pos="615"/>
        </w:tabs>
        <w:spacing w:line="590" w:lineRule="exact"/>
        <w:ind w:firstLine="640" w:firstLineChars="200"/>
        <w:rPr>
          <w:szCs w:val="32"/>
        </w:rPr>
      </w:pPr>
      <w:r>
        <w:rPr>
          <w:szCs w:val="32"/>
        </w:rPr>
        <w:t>坚持以习近平新时代中国特色社会主义思想为指导，深入贯彻党的十九大和十九届二中、三中、四中、五中全会精神，落实习近平总书记考察浙江时重要讲话精神，坚持贯彻新发展理念，忠实践行“八八战略”，奋力打造“重要窗口”，牢牢把握以开放促改革促发展主线，坚持对标国际最高规则，以数字化改革为方向，发挥油气全产业链、新型贸易、港口运输、数字经济、智能制造等产业优势，加大压力测试，积极开展首创性、差异化的改革探索，把自贸试验区打造成以油气为核心的大宗商品资源配置基地、新型国际贸易中心、国际航运和物流枢纽、数字经济发展示范区、先进制造业集聚区，把自贸试验区打造成为新发展阶段畅通国内大循环的战略平台、联通国内国际双循环的节点枢纽，打造成为新时代浙江的“金名片”。</w:t>
      </w:r>
    </w:p>
    <w:p>
      <w:pPr>
        <w:tabs>
          <w:tab w:val="left" w:pos="610"/>
        </w:tabs>
        <w:spacing w:line="590" w:lineRule="exact"/>
        <w:ind w:firstLine="640" w:firstLineChars="200"/>
        <w:rPr>
          <w:rFonts w:eastAsia="楷体_GB2312"/>
          <w:szCs w:val="32"/>
        </w:rPr>
      </w:pPr>
      <w:bookmarkStart w:id="263" w:name="_Toc3332"/>
      <w:bookmarkStart w:id="264" w:name="_Toc20745"/>
      <w:bookmarkStart w:id="265" w:name="_Toc797"/>
      <w:bookmarkStart w:id="266" w:name="_Toc11242"/>
      <w:bookmarkStart w:id="267" w:name="_Toc4677"/>
      <w:bookmarkStart w:id="268" w:name="_Toc31012"/>
      <w:r>
        <w:rPr>
          <w:rStyle w:val="14"/>
          <w:rFonts w:ascii="Times New Roman"/>
          <w:bCs w:val="0"/>
        </w:rPr>
        <w:t>（二）基本原则</w:t>
      </w:r>
      <w:bookmarkEnd w:id="263"/>
      <w:bookmarkEnd w:id="264"/>
      <w:bookmarkEnd w:id="265"/>
      <w:bookmarkEnd w:id="266"/>
      <w:bookmarkEnd w:id="267"/>
      <w:bookmarkEnd w:id="268"/>
    </w:p>
    <w:p>
      <w:pPr>
        <w:spacing w:line="590" w:lineRule="exact"/>
        <w:ind w:firstLine="640" w:firstLineChars="200"/>
        <w:rPr>
          <w:szCs w:val="32"/>
        </w:rPr>
      </w:pPr>
      <w:bookmarkStart w:id="269" w:name="_Toc5282"/>
      <w:bookmarkStart w:id="270" w:name="_Toc20268"/>
      <w:bookmarkStart w:id="271" w:name="_Toc7523"/>
      <w:bookmarkStart w:id="272" w:name="_Toc11838"/>
      <w:bookmarkStart w:id="273" w:name="_Toc3573"/>
      <w:bookmarkStart w:id="274" w:name="_Toc25580"/>
      <w:r>
        <w:rPr>
          <w:rStyle w:val="15"/>
          <w:b w:val="0"/>
          <w:bCs w:val="0"/>
        </w:rPr>
        <w:t>坚持服务国家战略。</w:t>
      </w:r>
      <w:bookmarkEnd w:id="269"/>
      <w:bookmarkEnd w:id="270"/>
      <w:bookmarkEnd w:id="271"/>
      <w:bookmarkEnd w:id="272"/>
      <w:bookmarkEnd w:id="273"/>
      <w:bookmarkEnd w:id="274"/>
      <w:r>
        <w:rPr>
          <w:szCs w:val="32"/>
        </w:rPr>
        <w:t>围绕推进形成全面开放新格局、提高参与全球治理能力的战略需要，发挥全球最大港口、最大小商品市场、最大电子商务平台和最全油气产业链的特色优势，勇于改革创新，打造更具国际市场影响力和竞争力的新经济功能区，更好服务国家对外开放总体战略布局。</w:t>
      </w:r>
    </w:p>
    <w:p>
      <w:pPr>
        <w:spacing w:line="590" w:lineRule="exact"/>
        <w:ind w:firstLine="640" w:firstLineChars="200"/>
        <w:rPr>
          <w:szCs w:val="32"/>
        </w:rPr>
      </w:pPr>
      <w:bookmarkStart w:id="275" w:name="_Toc14617"/>
      <w:bookmarkStart w:id="276" w:name="_Toc7586"/>
      <w:bookmarkStart w:id="277" w:name="_Toc5782"/>
      <w:bookmarkStart w:id="278" w:name="_Toc7990"/>
      <w:bookmarkStart w:id="279" w:name="_Toc21435"/>
      <w:bookmarkStart w:id="280" w:name="_Toc19317"/>
      <w:r>
        <w:rPr>
          <w:rStyle w:val="15"/>
          <w:b w:val="0"/>
          <w:bCs w:val="0"/>
        </w:rPr>
        <w:t>推进规则制度开放。</w:t>
      </w:r>
      <w:bookmarkEnd w:id="275"/>
      <w:bookmarkEnd w:id="276"/>
      <w:bookmarkEnd w:id="277"/>
      <w:bookmarkEnd w:id="278"/>
      <w:bookmarkEnd w:id="279"/>
      <w:bookmarkEnd w:id="280"/>
      <w:r>
        <w:rPr>
          <w:szCs w:val="32"/>
        </w:rPr>
        <w:t>借鉴国际最高标准的自由贸易区经验，在制度规则层面深化改革、扩大开放，实现境外投资经营便利、货物自由进出、资金流动便利、运输高效畅通、人员自由执业、信息快捷联通，率先建立与我国开放发展战略相适应、引领国际经贸新规则的开放型经济新体制。</w:t>
      </w:r>
    </w:p>
    <w:p>
      <w:pPr>
        <w:spacing w:line="590" w:lineRule="exact"/>
        <w:ind w:firstLine="640" w:firstLineChars="200"/>
        <w:rPr>
          <w:szCs w:val="32"/>
        </w:rPr>
      </w:pPr>
      <w:bookmarkStart w:id="281" w:name="_Toc3758"/>
      <w:bookmarkStart w:id="282" w:name="_Toc983"/>
      <w:bookmarkStart w:id="283" w:name="_Toc31667"/>
      <w:bookmarkStart w:id="284" w:name="_Toc19014"/>
      <w:bookmarkStart w:id="285" w:name="_Toc7610"/>
      <w:bookmarkStart w:id="286" w:name="_Toc3467"/>
      <w:r>
        <w:rPr>
          <w:rStyle w:val="15"/>
          <w:b w:val="0"/>
          <w:bCs w:val="0"/>
        </w:rPr>
        <w:t>着力提升发展效能。</w:t>
      </w:r>
      <w:bookmarkEnd w:id="281"/>
      <w:bookmarkEnd w:id="282"/>
      <w:bookmarkEnd w:id="283"/>
      <w:bookmarkEnd w:id="284"/>
      <w:bookmarkEnd w:id="285"/>
      <w:bookmarkEnd w:id="286"/>
      <w:r>
        <w:rPr>
          <w:szCs w:val="32"/>
        </w:rPr>
        <w:t>围绕产业转型发展、创新发展和“走出去”的实际需要，以数字化改革推进系统集成、高效协同，全面提升产业链、供应链、价值链、创新链和数据链融合集成的水平和能级，做强做优做大民营经济，推动实体经济迈向全球中高端，以高水平开放促进高质量发展。</w:t>
      </w:r>
    </w:p>
    <w:p>
      <w:pPr>
        <w:spacing w:line="590" w:lineRule="exact"/>
        <w:ind w:firstLine="640" w:firstLineChars="200"/>
        <w:rPr>
          <w:szCs w:val="32"/>
        </w:rPr>
      </w:pPr>
      <w:bookmarkStart w:id="287" w:name="_Toc29868"/>
      <w:bookmarkStart w:id="288" w:name="_Toc2864"/>
      <w:bookmarkStart w:id="289" w:name="_Toc2371"/>
      <w:bookmarkStart w:id="290" w:name="_Toc7714"/>
      <w:bookmarkStart w:id="291" w:name="_Toc321"/>
      <w:bookmarkStart w:id="292" w:name="_Toc15294"/>
      <w:r>
        <w:rPr>
          <w:rStyle w:val="15"/>
          <w:b w:val="0"/>
          <w:bCs w:val="0"/>
        </w:rPr>
        <w:t>促进区域协同发展。</w:t>
      </w:r>
      <w:bookmarkEnd w:id="287"/>
      <w:bookmarkEnd w:id="288"/>
      <w:bookmarkEnd w:id="289"/>
      <w:bookmarkEnd w:id="290"/>
      <w:bookmarkEnd w:id="291"/>
      <w:bookmarkEnd w:id="292"/>
      <w:r>
        <w:rPr>
          <w:szCs w:val="32"/>
        </w:rPr>
        <w:t>加强与省内联动创新区联动发展，推动产业优势互补、协调联动、错位发展。加强与长三角区域自贸试验区联动，共建数字长三角、世界级港口集群，放大自贸试验区辐射带动效应。</w:t>
      </w:r>
    </w:p>
    <w:p>
      <w:pPr>
        <w:spacing w:line="590" w:lineRule="exact"/>
        <w:ind w:firstLine="640" w:firstLineChars="200"/>
        <w:rPr>
          <w:rFonts w:eastAsia="楷体_GB2312"/>
          <w:szCs w:val="32"/>
        </w:rPr>
      </w:pPr>
      <w:bookmarkStart w:id="293" w:name="_Toc26252"/>
      <w:bookmarkStart w:id="294" w:name="_Toc12081"/>
      <w:bookmarkStart w:id="295" w:name="_Toc8876"/>
      <w:bookmarkStart w:id="296" w:name="_Toc25707"/>
      <w:bookmarkStart w:id="297" w:name="_Toc8184"/>
      <w:bookmarkStart w:id="298" w:name="_Toc24828"/>
      <w:r>
        <w:rPr>
          <w:rStyle w:val="14"/>
          <w:rFonts w:ascii="Times New Roman"/>
          <w:bCs w:val="0"/>
        </w:rPr>
        <w:t>（三）主要目标</w:t>
      </w:r>
      <w:bookmarkEnd w:id="293"/>
      <w:bookmarkEnd w:id="294"/>
      <w:bookmarkEnd w:id="295"/>
      <w:bookmarkEnd w:id="296"/>
      <w:bookmarkEnd w:id="297"/>
      <w:bookmarkEnd w:id="298"/>
    </w:p>
    <w:p>
      <w:pPr>
        <w:spacing w:line="590" w:lineRule="exact"/>
        <w:ind w:firstLine="640" w:firstLineChars="200"/>
        <w:rPr>
          <w:szCs w:val="32"/>
        </w:rPr>
      </w:pPr>
      <w:r>
        <w:rPr>
          <w:szCs w:val="32"/>
        </w:rPr>
        <w:t>到2025年，力争带动所在县（市、区）地区生产总值（GDP）增速和规上工业企业研发经费支出增速比重均高于全省平均2个百分点，外贸进出口总额增速和实际利用外资总额增速高于全省平均3个百分点，跨境人民币结算量1万亿元。率先探索形成新发展格局，形成一批大宗商品、新型国际贸易、航运物流、数字经济、先进制造业等领域制度成果，成为制度创新的引领区。</w:t>
      </w:r>
    </w:p>
    <w:p>
      <w:pPr>
        <w:spacing w:line="590" w:lineRule="exact"/>
        <w:ind w:firstLine="640" w:firstLineChars="200"/>
        <w:rPr>
          <w:szCs w:val="32"/>
        </w:rPr>
      </w:pPr>
      <w:r>
        <w:rPr>
          <w:szCs w:val="32"/>
        </w:rPr>
        <w:t>——</w:t>
      </w:r>
      <w:r>
        <w:rPr>
          <w:rStyle w:val="15"/>
          <w:b w:val="0"/>
          <w:bCs w:val="0"/>
        </w:rPr>
        <w:t>大宗商品全球配置能力显著提升</w:t>
      </w:r>
      <w:r>
        <w:rPr>
          <w:szCs w:val="32"/>
        </w:rPr>
        <w:t>。油品储备能力达7000万吨，炼油能力达9000万吨/年，油气交易额达1万亿元，铁矿石混配矿量达2200万吨，LNG接收规模达2300万吨/年。</w:t>
      </w:r>
    </w:p>
    <w:p>
      <w:pPr>
        <w:spacing w:line="590" w:lineRule="exact"/>
        <w:ind w:firstLine="640" w:firstLineChars="200"/>
        <w:rPr>
          <w:szCs w:val="32"/>
        </w:rPr>
      </w:pPr>
      <w:r>
        <w:rPr>
          <w:szCs w:val="32"/>
        </w:rPr>
        <w:t>——</w:t>
      </w:r>
      <w:r>
        <w:rPr>
          <w:rStyle w:val="15"/>
          <w:b w:val="0"/>
          <w:bCs w:val="0"/>
        </w:rPr>
        <w:t>新型国际贸易中心全面巩固</w:t>
      </w:r>
      <w:r>
        <w:rPr>
          <w:szCs w:val="32"/>
        </w:rPr>
        <w:t>。</w:t>
      </w:r>
      <w:bookmarkStart w:id="299" w:name="_Hlk51053179"/>
      <w:r>
        <w:rPr>
          <w:szCs w:val="32"/>
        </w:rPr>
        <w:t>新型国际贸易总额达1.2万亿元，占国际贸易额比重的三分之一，世界电子贸易平台（eWTP）布点国家和地区超过30个。</w:t>
      </w:r>
    </w:p>
    <w:bookmarkEnd w:id="299"/>
    <w:p>
      <w:pPr>
        <w:spacing w:line="590" w:lineRule="exact"/>
        <w:ind w:firstLine="640" w:firstLineChars="200"/>
        <w:rPr>
          <w:szCs w:val="32"/>
        </w:rPr>
      </w:pPr>
      <w:r>
        <w:rPr>
          <w:szCs w:val="32"/>
        </w:rPr>
        <w:t>——</w:t>
      </w:r>
      <w:r>
        <w:rPr>
          <w:rStyle w:val="15"/>
          <w:b w:val="0"/>
          <w:bCs w:val="0"/>
          <w:spacing w:val="-4"/>
        </w:rPr>
        <w:t>国际航运和物流枢纽地位进一步增强</w:t>
      </w:r>
      <w:r>
        <w:rPr>
          <w:spacing w:val="-4"/>
          <w:szCs w:val="32"/>
        </w:rPr>
        <w:t>。集装箱泊位总长度达1万米，集装箱吞吐量达3500万标箱，航空货运量达120万吨，快递业务量达150亿件，新增10个以上头部航运服务机构。</w:t>
      </w:r>
    </w:p>
    <w:p>
      <w:pPr>
        <w:spacing w:line="590" w:lineRule="exact"/>
        <w:ind w:firstLine="640" w:firstLineChars="200"/>
        <w:rPr>
          <w:szCs w:val="32"/>
        </w:rPr>
      </w:pPr>
      <w:r>
        <w:rPr>
          <w:szCs w:val="32"/>
        </w:rPr>
        <w:t>——</w:t>
      </w:r>
      <w:r>
        <w:rPr>
          <w:rStyle w:val="15"/>
          <w:b w:val="0"/>
          <w:bCs w:val="0"/>
        </w:rPr>
        <w:t>数字经济全球示范引领作用彰显</w:t>
      </w:r>
      <w:r>
        <w:rPr>
          <w:szCs w:val="32"/>
        </w:rPr>
        <w:t>。全省数字经济核心产业增加值占GDP比重达18%，数字贸易额达7000亿元，培育5家以上具有国际影响力的数字贸易平台企业，建成全球数字产业基地、国际领先的“数据大脑”和世界级“数字湾区”。</w:t>
      </w:r>
    </w:p>
    <w:p>
      <w:pPr>
        <w:spacing w:line="590" w:lineRule="exact"/>
        <w:ind w:firstLine="640" w:firstLineChars="200"/>
        <w:rPr>
          <w:szCs w:val="32"/>
        </w:rPr>
      </w:pPr>
      <w:r>
        <w:rPr>
          <w:szCs w:val="32"/>
        </w:rPr>
        <w:t>——</w:t>
      </w:r>
      <w:r>
        <w:rPr>
          <w:rStyle w:val="15"/>
          <w:b w:val="0"/>
          <w:bCs w:val="0"/>
        </w:rPr>
        <w:t>先进制造业综合实力全面跃升</w:t>
      </w:r>
      <w:r>
        <w:rPr>
          <w:szCs w:val="32"/>
        </w:rPr>
        <w:t>。建设5个先进制造业产业集群，浙江本土制造业世界500强企业6家，规上制造业工业增加值增速超过6%。</w:t>
      </w:r>
    </w:p>
    <w:p>
      <w:pPr>
        <w:tabs>
          <w:tab w:val="left" w:pos="615"/>
        </w:tabs>
        <w:spacing w:line="590" w:lineRule="exact"/>
        <w:ind w:firstLine="640" w:firstLineChars="200"/>
        <w:rPr>
          <w:rStyle w:val="13"/>
          <w:rFonts w:ascii="黑体" w:hAnsi="黑体" w:eastAsia="黑体"/>
          <w:b w:val="0"/>
          <w:sz w:val="32"/>
          <w:szCs w:val="32"/>
        </w:rPr>
      </w:pPr>
      <w:bookmarkStart w:id="300" w:name="_Toc24245"/>
      <w:bookmarkStart w:id="301" w:name="_Toc1286"/>
      <w:bookmarkStart w:id="302" w:name="_Toc1996"/>
      <w:bookmarkStart w:id="303" w:name="_Toc936"/>
      <w:bookmarkStart w:id="304" w:name="_Toc28386"/>
      <w:bookmarkStart w:id="305" w:name="_Toc17276"/>
      <w:r>
        <w:rPr>
          <w:rStyle w:val="13"/>
          <w:rFonts w:ascii="黑体" w:hAnsi="黑体" w:eastAsia="黑体"/>
          <w:b w:val="0"/>
          <w:sz w:val="32"/>
          <w:szCs w:val="32"/>
        </w:rPr>
        <w:t>四、重点任务</w:t>
      </w:r>
    </w:p>
    <w:bookmarkEnd w:id="300"/>
    <w:bookmarkEnd w:id="301"/>
    <w:bookmarkEnd w:id="302"/>
    <w:bookmarkEnd w:id="303"/>
    <w:bookmarkEnd w:id="304"/>
    <w:bookmarkEnd w:id="305"/>
    <w:p>
      <w:pPr>
        <w:tabs>
          <w:tab w:val="left" w:pos="635"/>
        </w:tabs>
        <w:spacing w:line="590" w:lineRule="exact"/>
        <w:ind w:firstLine="640" w:firstLineChars="200"/>
        <w:rPr>
          <w:szCs w:val="32"/>
        </w:rPr>
      </w:pPr>
      <w:bookmarkStart w:id="306" w:name="_Toc28230"/>
      <w:bookmarkStart w:id="307" w:name="_Toc6125"/>
      <w:bookmarkStart w:id="308" w:name="_Toc14511"/>
      <w:bookmarkStart w:id="309" w:name="_Toc24133"/>
      <w:bookmarkStart w:id="310" w:name="_Toc23542"/>
      <w:bookmarkStart w:id="311" w:name="_Toc18414"/>
      <w:r>
        <w:rPr>
          <w:rStyle w:val="14"/>
          <w:rFonts w:ascii="Times New Roman"/>
          <w:bCs w:val="0"/>
        </w:rPr>
        <w:t>（一）打造以油气为核心的大宗商品资源配置基地</w:t>
      </w:r>
      <w:bookmarkEnd w:id="306"/>
      <w:bookmarkEnd w:id="307"/>
      <w:bookmarkEnd w:id="308"/>
      <w:bookmarkEnd w:id="309"/>
      <w:bookmarkEnd w:id="310"/>
      <w:bookmarkEnd w:id="311"/>
    </w:p>
    <w:p>
      <w:pPr>
        <w:spacing w:line="590" w:lineRule="exact"/>
        <w:ind w:firstLine="640" w:firstLineChars="200"/>
        <w:rPr>
          <w:szCs w:val="32"/>
        </w:rPr>
      </w:pPr>
      <w:bookmarkStart w:id="312" w:name="_Toc26182"/>
      <w:bookmarkStart w:id="313" w:name="_Toc15681"/>
      <w:bookmarkStart w:id="314" w:name="_Toc28014"/>
      <w:bookmarkStart w:id="315" w:name="_Toc16994"/>
      <w:bookmarkStart w:id="316" w:name="_Toc31163"/>
      <w:bookmarkStart w:id="317" w:name="_Toc24965"/>
      <w:r>
        <w:rPr>
          <w:rStyle w:val="15"/>
          <w:b w:val="0"/>
          <w:bCs w:val="0"/>
        </w:rPr>
        <w:t>加快国际油气交易中心建设</w:t>
      </w:r>
      <w:bookmarkEnd w:id="312"/>
      <w:bookmarkEnd w:id="313"/>
      <w:bookmarkEnd w:id="314"/>
      <w:bookmarkEnd w:id="315"/>
      <w:bookmarkEnd w:id="316"/>
      <w:bookmarkEnd w:id="317"/>
      <w:r>
        <w:rPr>
          <w:szCs w:val="32"/>
        </w:rPr>
        <w:t>。推进与上海期货交易所等国内期货交易所合作，共建以油品为主的现货交易市场，开展期现合作模式创新。招引一批国内外专业贸易商，做大做强能源进口、转口和国内贸易。推动符合条件的企业开展原油非国营贸易进口和成品油非国营贸易出口业务。加快搭建油品内外贸分销网络，建立成品油、LNG产供销体系。积极拓展国产低硫燃料油交易新品种，加快交易模式等政策突破。加快液化天然气（LNG）接收中心建设，推动六横至宁波LNG外输管道接入省内天然气管网规划，适时接入国家管网。加快建设国际油气能源供应链中心，形成具有国际影响力的油气贸易和定价中心。</w:t>
      </w:r>
    </w:p>
    <w:p>
      <w:pPr>
        <w:spacing w:line="590" w:lineRule="exact"/>
        <w:ind w:firstLine="640" w:firstLineChars="200"/>
        <w:rPr>
          <w:szCs w:val="32"/>
        </w:rPr>
      </w:pPr>
      <w:bookmarkStart w:id="318" w:name="_Toc2969"/>
      <w:bookmarkStart w:id="319" w:name="_Toc25710"/>
      <w:bookmarkStart w:id="320" w:name="_Toc28844"/>
      <w:bookmarkStart w:id="321" w:name="_Toc28594"/>
      <w:bookmarkStart w:id="322" w:name="_Toc21477"/>
      <w:bookmarkStart w:id="323" w:name="_Toc30823"/>
      <w:r>
        <w:rPr>
          <w:rStyle w:val="15"/>
          <w:b w:val="0"/>
          <w:bCs w:val="0"/>
        </w:rPr>
        <w:t>加快国际海事服务基地建设</w:t>
      </w:r>
      <w:bookmarkEnd w:id="318"/>
      <w:bookmarkEnd w:id="319"/>
      <w:bookmarkEnd w:id="320"/>
      <w:bookmarkEnd w:id="321"/>
      <w:bookmarkEnd w:id="322"/>
      <w:bookmarkEnd w:id="323"/>
      <w:r>
        <w:rPr>
          <w:szCs w:val="32"/>
        </w:rPr>
        <w:t>。对标新加坡，聚焦“船舶、船东、船员”，做大做长海事服务产业链。鼓励优质企业生产低硫燃料油，推进低硫船用燃料油出口退税政策实施。构建长三角港口群跨港区供油体系，打造东北亚燃料油加注中心。加快培育做大外轮供应市场，推进外轮供应三大平台建设，引进培育高能级外轮供应企业。推进航运服务集聚区建设，引进知名航运金融、船舶代理、海事商事、法律服务等企业和机构，促进高端航运服务企业集聚。大力发展锚地综合海事服务，加快突破联合外供，逐步实现“同步作业”和“一船多能”。</w:t>
      </w:r>
    </w:p>
    <w:p>
      <w:pPr>
        <w:spacing w:line="590" w:lineRule="exact"/>
        <w:ind w:firstLine="640" w:firstLineChars="200"/>
        <w:rPr>
          <w:szCs w:val="32"/>
        </w:rPr>
      </w:pPr>
      <w:bookmarkStart w:id="324" w:name="_Toc4573"/>
      <w:bookmarkStart w:id="325" w:name="_Toc9303"/>
      <w:bookmarkStart w:id="326" w:name="_Toc20761"/>
      <w:bookmarkStart w:id="327" w:name="_Toc30542"/>
      <w:bookmarkStart w:id="328" w:name="_Toc29300"/>
      <w:r>
        <w:rPr>
          <w:rStyle w:val="15"/>
          <w:b w:val="0"/>
          <w:bCs w:val="0"/>
        </w:rPr>
        <w:t>加快国际油气储运基地建设</w:t>
      </w:r>
      <w:bookmarkEnd w:id="324"/>
      <w:bookmarkEnd w:id="325"/>
      <w:bookmarkEnd w:id="326"/>
      <w:bookmarkEnd w:id="327"/>
      <w:bookmarkEnd w:id="328"/>
      <w:r>
        <w:rPr>
          <w:szCs w:val="32"/>
        </w:rPr>
        <w:t>。推动油气储备体制改革，创新政府储备与企业储备相结合的石油储备模式，探索建立更加灵活的国家石油储备轮换机制，逐步增加油气储备品种。推进建设用地地上、地表、地下分别设立使用权，探索利用地下空间建设油气仓储设施。推动省属国企、民间资本等多元主体参与管网设施建设，探索创新油气管网第三方运营机制。加快黄泽山等重点油气储运项目建设，推进油气储运设施共享共用。在安全论证基础上，开展LNG罐箱水上多式联运。探索保税物流中心（B型）和保税仓库，将保税与非保税油气产品和液体化工品“同罐同储”。推动自贸试验区内企业设立保税仓库，开展国产低硫燃料油出口直供业务。</w:t>
      </w:r>
    </w:p>
    <w:p>
      <w:pPr>
        <w:spacing w:line="590" w:lineRule="exact"/>
        <w:ind w:firstLine="640" w:firstLineChars="200"/>
        <w:rPr>
          <w:szCs w:val="32"/>
        </w:rPr>
      </w:pPr>
      <w:bookmarkStart w:id="329" w:name="_Toc15877"/>
      <w:bookmarkStart w:id="330" w:name="_Toc27405"/>
      <w:bookmarkStart w:id="331" w:name="_Toc18388"/>
      <w:bookmarkStart w:id="332" w:name="_Toc31870"/>
      <w:bookmarkStart w:id="333" w:name="_Toc21096"/>
      <w:bookmarkStart w:id="334" w:name="_Toc11259"/>
      <w:r>
        <w:rPr>
          <w:rStyle w:val="15"/>
          <w:b w:val="0"/>
          <w:bCs w:val="0"/>
        </w:rPr>
        <w:t>加快国际石化基地建设</w:t>
      </w:r>
      <w:bookmarkEnd w:id="329"/>
      <w:bookmarkEnd w:id="330"/>
      <w:bookmarkEnd w:id="331"/>
      <w:bookmarkEnd w:id="332"/>
      <w:bookmarkEnd w:id="333"/>
      <w:bookmarkEnd w:id="334"/>
      <w:r>
        <w:rPr>
          <w:szCs w:val="32"/>
        </w:rPr>
        <w:t>。全力保障舟山石化基地4000万吨/年炼化一体化项目一期投产运营，推进项目二期建设，谋划项目三期建设，争取纳入国家重点战略项目。积极谋划鱼山石化基地三期项目，加快开展规划修编、先导工程建设。深入推进石化中下游产业国际化招商，聚焦以原油精炼为基础产品，乙烯、芳烃等国内紧缺的高端化工品和化工材料，做大做强化工上下游产业链，加强中下游配套产业项目落地建设，加快形成国际一流的万亿级石化产业集群。积极引进国际知名石油炼化企业建设石油炼化一体化项目，增加高端炼化产品供给。建立省级危险化学品应急救援基地，推动公共设施设备建设和基地运营。</w:t>
      </w:r>
    </w:p>
    <w:p>
      <w:pPr>
        <w:spacing w:line="590" w:lineRule="exact"/>
        <w:ind w:firstLine="640" w:firstLineChars="200"/>
        <w:rPr>
          <w:szCs w:val="32"/>
        </w:rPr>
      </w:pPr>
      <w:bookmarkStart w:id="335" w:name="_Toc20052"/>
      <w:bookmarkStart w:id="336" w:name="_Toc21091"/>
      <w:bookmarkStart w:id="337" w:name="_Toc4678"/>
      <w:bookmarkStart w:id="338" w:name="_Toc4476"/>
      <w:bookmarkStart w:id="339" w:name="_Toc32533"/>
      <w:bookmarkStart w:id="340" w:name="_Toc13752"/>
      <w:r>
        <w:rPr>
          <w:rStyle w:val="15"/>
          <w:b w:val="0"/>
          <w:bCs w:val="0"/>
        </w:rPr>
        <w:t>加快人民币国际化示范区建设</w:t>
      </w:r>
      <w:bookmarkEnd w:id="335"/>
      <w:bookmarkEnd w:id="336"/>
      <w:bookmarkEnd w:id="337"/>
      <w:bookmarkEnd w:id="338"/>
      <w:bookmarkEnd w:id="339"/>
      <w:bookmarkEnd w:id="340"/>
      <w:r>
        <w:rPr>
          <w:szCs w:val="32"/>
        </w:rPr>
        <w:t>。加强与大宗商品出口国、“一带一路”沿线国家和地区双边货币合作，全力推动保税燃料油、LNG、铁矿石等大宗商品跨境贸易人民币结算和跨境电商人民币结算。建立优质油品企业“白名单”，探索发展转口贸易跨境人民币结算，推动在转口贸易中使用LOI等单证作为外汇结算依据。争取国内外银行、证券、保险、期货等金融机构在自贸试验区内设立分支机构。探索境外人民币回流渠道，扩大境外人民币投资范围。探索构建便利交易和可监管的跨境资金管理模式。争取国家数字货币试点，允许境外个人和企业定额兑换、流通使用数字货币，探索应用于大宗商品期现交易中。</w:t>
      </w:r>
    </w:p>
    <w:p>
      <w:pPr>
        <w:spacing w:line="590" w:lineRule="exact"/>
        <w:ind w:firstLine="640" w:firstLineChars="200"/>
        <w:rPr>
          <w:szCs w:val="32"/>
        </w:rPr>
      </w:pPr>
      <w:bookmarkStart w:id="341" w:name="_Toc18465"/>
      <w:bookmarkStart w:id="342" w:name="_Toc15256"/>
      <w:bookmarkStart w:id="343" w:name="_Toc19745"/>
      <w:bookmarkStart w:id="344" w:name="_Toc3927"/>
      <w:bookmarkStart w:id="345" w:name="_Toc2189"/>
      <w:bookmarkStart w:id="346" w:name="_Toc16301"/>
      <w:r>
        <w:rPr>
          <w:rStyle w:val="15"/>
          <w:b w:val="0"/>
          <w:bCs w:val="0"/>
        </w:rPr>
        <w:t>建设亚太铁矿石分销中心</w:t>
      </w:r>
      <w:bookmarkEnd w:id="341"/>
      <w:bookmarkEnd w:id="342"/>
      <w:bookmarkEnd w:id="343"/>
      <w:bookmarkEnd w:id="344"/>
      <w:bookmarkEnd w:id="345"/>
      <w:bookmarkEnd w:id="346"/>
      <w:r>
        <w:rPr>
          <w:szCs w:val="32"/>
        </w:rPr>
        <w:t>。积极开展保税前提下油品、铁矿石等大宗商品物理混兑。加强与国际知名贸易商深度合作，做大做强混配矿国内国际分销业务。打造以铁矿石现货贸易为重点、供应链金融服务为特色的大宗商品交易平台。探索研究仓单融资等服务贸易产品，推动铁矿石贸易在自贸试验区落地开票。搭建铁矿石全程物流信息平台，形成铁矿石全程配送体系，加快发展铁矿石全程供应链服务。深化与巴西淡水河谷、澳大利亚必和必拓等铁矿石巨头的混配矿合作，全力打造集铁矿石装卸、保税混配、保税堆存、现货分销、期货交割、供应链融资等功能为一体的亚太铁矿石保税混矿分销中心，形成鼠浪湖和马迹山（三期）两大混配矿服务中心。探索建立矿石进口口岸，开展国际大宗商品保税交割业务。</w:t>
      </w:r>
    </w:p>
    <w:p>
      <w:pPr>
        <w:spacing w:line="590" w:lineRule="exact"/>
        <w:ind w:firstLine="640" w:firstLineChars="200"/>
        <w:rPr>
          <w:szCs w:val="32"/>
        </w:rPr>
      </w:pPr>
      <w:bookmarkStart w:id="347" w:name="_Toc12176"/>
      <w:bookmarkStart w:id="348" w:name="_Toc2358"/>
      <w:bookmarkStart w:id="349" w:name="_Toc24764"/>
      <w:bookmarkStart w:id="350" w:name="_Toc31168"/>
      <w:bookmarkStart w:id="351" w:name="_Toc3040"/>
      <w:bookmarkStart w:id="352" w:name="_Toc29273"/>
      <w:r>
        <w:rPr>
          <w:rStyle w:val="15"/>
          <w:b w:val="0"/>
          <w:bCs w:val="0"/>
        </w:rPr>
        <w:t>建设浙江国际农产品贸易中心</w:t>
      </w:r>
      <w:bookmarkEnd w:id="347"/>
      <w:bookmarkEnd w:id="348"/>
      <w:bookmarkEnd w:id="349"/>
      <w:bookmarkEnd w:id="350"/>
      <w:bookmarkEnd w:id="351"/>
      <w:bookmarkEnd w:id="352"/>
      <w:r>
        <w:rPr>
          <w:szCs w:val="32"/>
        </w:rPr>
        <w:t>。加快中澳现代产业园建设，争取纳入中澳自贸协定补充条款或国别产业园。推动澳牛进境加工项目建设，发展进境牛肉等高端动物蛋白加工贸易产业。建设进口粮食保税存储中转基地，健全粮食进口检疫审批制度。推动经营进口食品的跨境流通企业扩展加工服务业务。推进国家远洋渔业基地建设，大力发展远洋渔业、深水网箱、健康养殖等产业，鼓励自捕鱼回运，争取放宽远洋捕捞船网工具标准。探索开展远洋渔业引进外籍船员试点。推进舟山国际粮油产业园区建设，研究形成以海峡型船舶与主产国直接对接粮食物流通道。</w:t>
      </w:r>
    </w:p>
    <w:p>
      <w:pPr>
        <w:spacing w:line="590" w:lineRule="exact"/>
        <w:ind w:firstLine="640" w:firstLineChars="200"/>
        <w:rPr>
          <w:szCs w:val="32"/>
        </w:rPr>
      </w:pPr>
      <w:bookmarkStart w:id="353" w:name="_Toc10311"/>
      <w:bookmarkStart w:id="354" w:name="_Toc17354"/>
      <w:bookmarkStart w:id="355" w:name="_Toc21573"/>
      <w:bookmarkStart w:id="356" w:name="_Toc1914"/>
      <w:bookmarkStart w:id="357" w:name="_Toc24893"/>
      <w:bookmarkStart w:id="358" w:name="_Toc20896"/>
      <w:r>
        <w:rPr>
          <w:rStyle w:val="14"/>
          <w:rFonts w:ascii="Times New Roman"/>
          <w:bCs w:val="0"/>
        </w:rPr>
        <w:t>（二）打造新型国际贸易中心</w:t>
      </w:r>
      <w:bookmarkEnd w:id="353"/>
      <w:bookmarkEnd w:id="354"/>
      <w:bookmarkEnd w:id="355"/>
      <w:bookmarkEnd w:id="356"/>
      <w:bookmarkEnd w:id="357"/>
      <w:bookmarkEnd w:id="358"/>
    </w:p>
    <w:p>
      <w:pPr>
        <w:spacing w:line="590" w:lineRule="exact"/>
        <w:ind w:firstLine="640" w:firstLineChars="200"/>
        <w:rPr>
          <w:szCs w:val="32"/>
        </w:rPr>
      </w:pPr>
      <w:bookmarkStart w:id="359" w:name="_Toc20505"/>
      <w:bookmarkStart w:id="360" w:name="_Toc8234"/>
      <w:bookmarkStart w:id="361" w:name="_Toc14054"/>
      <w:bookmarkStart w:id="362" w:name="_Toc3801"/>
      <w:bookmarkStart w:id="363" w:name="_Toc18016"/>
      <w:bookmarkStart w:id="364" w:name="_Toc15864"/>
      <w:r>
        <w:rPr>
          <w:rStyle w:val="15"/>
          <w:b w:val="0"/>
          <w:bCs w:val="0"/>
        </w:rPr>
        <w:t>创新发展跨境电商</w:t>
      </w:r>
      <w:bookmarkEnd w:id="359"/>
      <w:bookmarkEnd w:id="360"/>
      <w:bookmarkEnd w:id="361"/>
      <w:bookmarkEnd w:id="362"/>
      <w:bookmarkEnd w:id="363"/>
      <w:bookmarkEnd w:id="364"/>
      <w:r>
        <w:rPr>
          <w:szCs w:val="32"/>
        </w:rPr>
        <w:t xml:space="preserve">。加快杭州、宁波、义乌跨境电商综试区建设，推动1210和9610出口模式运邮常态化，探索将C类快件纳入货物的一体化通关管理，推进邮件和A类、B类快件通关整合。鼓励跨境电商企业建设国际转口配送基地，依法与结算银行、支付机构开展人民币计价、结算。试点开展寄递渠道进口个人物品数字清关模式，推进药品及医疗器械跨境零售进口。完善跨境电商进口退货处理机制，开展海关特殊监管区跨境电商出口商品退货试点。探索开展全球库存同仓存储、自由调配，实现内外贸货物、退换货商品一仓调配。建设具有国际影响力的进口商品展销平台，打造进口商品“世界超市”。 </w:t>
      </w:r>
    </w:p>
    <w:p>
      <w:pPr>
        <w:spacing w:line="590" w:lineRule="exact"/>
        <w:ind w:firstLine="640" w:firstLineChars="200"/>
        <w:rPr>
          <w:szCs w:val="32"/>
        </w:rPr>
      </w:pPr>
      <w:bookmarkStart w:id="365" w:name="_Toc1517"/>
      <w:bookmarkStart w:id="366" w:name="_Toc3495"/>
      <w:bookmarkStart w:id="367" w:name="_Toc24108"/>
      <w:bookmarkStart w:id="368" w:name="_Toc8215"/>
      <w:bookmarkStart w:id="369" w:name="_Toc26716"/>
      <w:bookmarkStart w:id="370" w:name="_Toc22069"/>
      <w:r>
        <w:rPr>
          <w:rStyle w:val="15"/>
          <w:b w:val="0"/>
          <w:bCs w:val="0"/>
        </w:rPr>
        <w:t>大力发展数字贸易</w:t>
      </w:r>
      <w:bookmarkEnd w:id="365"/>
      <w:bookmarkEnd w:id="366"/>
      <w:bookmarkEnd w:id="367"/>
      <w:bookmarkEnd w:id="368"/>
      <w:bookmarkEnd w:id="369"/>
      <w:bookmarkEnd w:id="370"/>
      <w:r>
        <w:rPr>
          <w:szCs w:val="32"/>
        </w:rPr>
        <w:t>。深化杭州服务贸易创新发展试点，构建“互联网+服务贸易”新体系，逐步推进服务贸易数字化。鼓励以市场化方式推进世界电子贸易平台（eWTP）全球化布局，推进eWTP进口“数字清关”项目。加快数字贸易平台和载体建设，举办全球数字贸易博览会。加快数字服务出口，将杭州高新区物联网产业园打造为国家数字服务出口基地。建设数字贸易综合服务平台，打通支付、关汇税通道。探索在跨境数字贸易中应用区块链技术。推进服务外包转型升级，创新发展信息通信、软件、金融、物联网服务外包，开拓“一带一路”沿线市场。</w:t>
      </w:r>
    </w:p>
    <w:p>
      <w:pPr>
        <w:spacing w:line="590" w:lineRule="exact"/>
        <w:ind w:firstLine="640" w:firstLineChars="200"/>
        <w:rPr>
          <w:szCs w:val="32"/>
        </w:rPr>
      </w:pPr>
      <w:bookmarkStart w:id="371" w:name="_Toc15374"/>
      <w:bookmarkStart w:id="372" w:name="_Toc20826"/>
      <w:bookmarkStart w:id="373" w:name="_Toc17555"/>
      <w:bookmarkStart w:id="374" w:name="_Toc29382"/>
      <w:bookmarkStart w:id="375" w:name="_Toc31433"/>
      <w:bookmarkStart w:id="376" w:name="_Toc31445"/>
      <w:r>
        <w:rPr>
          <w:rStyle w:val="15"/>
          <w:b w:val="0"/>
          <w:bCs w:val="0"/>
        </w:rPr>
        <w:t>深化市场采购贸易</w:t>
      </w:r>
      <w:bookmarkEnd w:id="371"/>
      <w:bookmarkEnd w:id="372"/>
      <w:bookmarkEnd w:id="373"/>
      <w:bookmarkEnd w:id="374"/>
      <w:bookmarkEnd w:id="375"/>
      <w:bookmarkEnd w:id="376"/>
      <w:r>
        <w:rPr>
          <w:szCs w:val="32"/>
        </w:rPr>
        <w:t>。加快义乌国际贸易综合改革试验区建设，创新市场采购进出口贸易机制。提升市场采购贸易通关便利</w:t>
      </w:r>
      <w:r>
        <w:rPr>
          <w:spacing w:val="2"/>
          <w:szCs w:val="32"/>
        </w:rPr>
        <w:t>水平，创新多种贸易拼箱货物运输单证签发、流转机制。开辟外国人来华采购快捷通道，便利有常驻记录的外商入境。完善市场采购贸易方式监管机制，规范组货人管理。支持义乌依托小商品城等建设国家级进口贸易促进创新示范区，健全海关税款担保机制。</w:t>
      </w:r>
    </w:p>
    <w:p>
      <w:pPr>
        <w:spacing w:line="590" w:lineRule="exact"/>
        <w:ind w:firstLine="640" w:firstLineChars="200"/>
        <w:rPr>
          <w:szCs w:val="32"/>
        </w:rPr>
      </w:pPr>
      <w:bookmarkStart w:id="377" w:name="_Toc12072"/>
      <w:bookmarkStart w:id="378" w:name="_Toc2630"/>
      <w:bookmarkStart w:id="379" w:name="_Toc22930"/>
      <w:bookmarkStart w:id="380" w:name="_Toc6630"/>
      <w:bookmarkStart w:id="381" w:name="_Toc5116"/>
      <w:bookmarkStart w:id="382" w:name="_Toc13579"/>
      <w:r>
        <w:rPr>
          <w:rStyle w:val="15"/>
          <w:b w:val="0"/>
          <w:bCs w:val="0"/>
        </w:rPr>
        <w:t>探索发展易货贸易</w:t>
      </w:r>
      <w:bookmarkEnd w:id="377"/>
      <w:bookmarkEnd w:id="378"/>
      <w:bookmarkEnd w:id="379"/>
      <w:bookmarkEnd w:id="380"/>
      <w:bookmarkEnd w:id="381"/>
      <w:bookmarkEnd w:id="382"/>
      <w:r>
        <w:rPr>
          <w:szCs w:val="32"/>
        </w:rPr>
        <w:t>。推动宁波、舟山、金华、义乌等地联动发展“日用消费品、农产品、大宗商品”的新型易货贸易。以“一带一路”沿线国家和地区为重点，整合境内仓、海外仓和结算等全球供应链服务体系，建设供应链易货贸易服务平台和中非交流合作综合服务平台。探索在义乌小商品城等地开展小商品、大宗商品贸易联动以人民币定价的新型易货贸易模式。</w:t>
      </w:r>
    </w:p>
    <w:p>
      <w:pPr>
        <w:spacing w:line="590" w:lineRule="exact"/>
        <w:ind w:firstLine="640" w:firstLineChars="200"/>
        <w:rPr>
          <w:szCs w:val="32"/>
        </w:rPr>
      </w:pPr>
      <w:bookmarkStart w:id="383" w:name="_Toc6166"/>
      <w:bookmarkStart w:id="384" w:name="_Toc17849"/>
      <w:bookmarkStart w:id="385" w:name="_Toc20988"/>
      <w:bookmarkStart w:id="386" w:name="_Toc19876"/>
      <w:bookmarkStart w:id="387" w:name="_Toc22241"/>
      <w:bookmarkStart w:id="388" w:name="_Toc2313"/>
      <w:r>
        <w:rPr>
          <w:rStyle w:val="14"/>
          <w:rFonts w:ascii="Times New Roman"/>
          <w:bCs w:val="0"/>
        </w:rPr>
        <w:t>（三）打造国际航运和物流枢纽</w:t>
      </w:r>
      <w:bookmarkEnd w:id="383"/>
      <w:bookmarkEnd w:id="384"/>
      <w:bookmarkEnd w:id="385"/>
      <w:bookmarkEnd w:id="386"/>
      <w:bookmarkEnd w:id="387"/>
      <w:bookmarkEnd w:id="388"/>
    </w:p>
    <w:p>
      <w:pPr>
        <w:spacing w:line="590" w:lineRule="exact"/>
        <w:ind w:firstLine="640" w:firstLineChars="200"/>
        <w:rPr>
          <w:szCs w:val="32"/>
        </w:rPr>
      </w:pPr>
      <w:bookmarkStart w:id="389" w:name="_Toc16710"/>
      <w:bookmarkStart w:id="390" w:name="_Toc7630"/>
      <w:bookmarkStart w:id="391" w:name="_Toc22473"/>
      <w:bookmarkStart w:id="392" w:name="_Toc7745"/>
      <w:bookmarkStart w:id="393" w:name="_Toc18424"/>
      <w:bookmarkStart w:id="394" w:name="_Toc10393"/>
      <w:r>
        <w:rPr>
          <w:rStyle w:val="15"/>
          <w:b w:val="0"/>
          <w:bCs w:val="0"/>
        </w:rPr>
        <w:t>强化“四港”联动</w:t>
      </w:r>
      <w:bookmarkEnd w:id="389"/>
      <w:bookmarkEnd w:id="390"/>
      <w:bookmarkEnd w:id="391"/>
      <w:bookmarkEnd w:id="392"/>
      <w:bookmarkEnd w:id="393"/>
      <w:bookmarkEnd w:id="394"/>
      <w:r>
        <w:rPr>
          <w:szCs w:val="32"/>
        </w:rPr>
        <w:t>。对标国际，构建设施水平、国际化水平、航运水平、服务水平四大指标体系。争取宁波舟山港建设口岸型国家物流枢纽，推动义乌国际陆港一体化发展，在义乌建设“第六港区”。在有效监管、风险可控前提下实施启运港退税政策，争取金华、义乌等海铁联运机场站成为启运港、宁波舟山港为离境港。建立多式联运转场机制，促进海港功能和口岸功能向义乌港、浙中多式联运枢纽港等延伸。推动简化开辟至“一带一路”沿线国家和地区国际航线的经营许可审批程序，落实开通第五航权航线。探索航空中转集拼业务。争取在海关特殊监管区外开展全球航空维修业务。</w:t>
      </w:r>
    </w:p>
    <w:p>
      <w:pPr>
        <w:spacing w:line="590" w:lineRule="exact"/>
        <w:ind w:firstLine="640" w:firstLineChars="200"/>
        <w:rPr>
          <w:szCs w:val="32"/>
        </w:rPr>
      </w:pPr>
      <w:bookmarkStart w:id="395" w:name="_Toc21902"/>
      <w:bookmarkStart w:id="396" w:name="_Toc19390"/>
      <w:bookmarkStart w:id="397" w:name="_Toc5239"/>
      <w:bookmarkStart w:id="398" w:name="_Toc28320"/>
      <w:bookmarkStart w:id="399" w:name="_Toc29533"/>
      <w:bookmarkStart w:id="400" w:name="_Toc21106"/>
      <w:r>
        <w:rPr>
          <w:rStyle w:val="15"/>
          <w:b w:val="0"/>
          <w:bCs w:val="0"/>
        </w:rPr>
        <w:t>推进中欧班列民营化高质量运营</w:t>
      </w:r>
      <w:bookmarkEnd w:id="395"/>
      <w:bookmarkEnd w:id="396"/>
      <w:bookmarkEnd w:id="397"/>
      <w:bookmarkEnd w:id="398"/>
      <w:bookmarkEnd w:id="399"/>
      <w:bookmarkEnd w:id="400"/>
      <w:r>
        <w:rPr>
          <w:szCs w:val="32"/>
        </w:rPr>
        <w:t>。推进中欧班列（义新欧）的常态化运营，积极扩大进口，依托进口肉类、冰鲜水产品指定监管场地，开通“义新欧”定制冷藏班列。推进中欧班列（义新欧）便利化，依托国际贸易“单一窗口”铁路运输国家试点项目，推进信息共享和电子数据传输交换，推动班列向数字化、信息化转型。加速创新班列经营模式和经营业务，提高班列附加值和盈利能力。构建复合型多式联运通道，向西畅通欧洲、俄罗斯、中亚等贸易通道，向南开辟通达越南等东盟国家，进而辐射澳新、中东等区域的多式联运线路，向东对接义甬舟开放大通道，发展日韩等亚太国家与“一带一路”沿线国家间国际中转业务。</w:t>
      </w:r>
    </w:p>
    <w:p>
      <w:pPr>
        <w:spacing w:line="590" w:lineRule="exact"/>
        <w:ind w:firstLine="640" w:firstLineChars="200"/>
        <w:rPr>
          <w:szCs w:val="32"/>
        </w:rPr>
      </w:pPr>
      <w:bookmarkStart w:id="401" w:name="_Toc20714"/>
      <w:bookmarkStart w:id="402" w:name="_Toc6261"/>
      <w:bookmarkStart w:id="403" w:name="_Toc129"/>
      <w:bookmarkStart w:id="404" w:name="_Toc6212"/>
      <w:bookmarkStart w:id="405" w:name="_Toc16122"/>
      <w:bookmarkStart w:id="406" w:name="_Toc30435"/>
      <w:r>
        <w:rPr>
          <w:rStyle w:val="15"/>
          <w:b w:val="0"/>
          <w:bCs w:val="0"/>
        </w:rPr>
        <w:t>构建国际物流运输体系</w:t>
      </w:r>
      <w:bookmarkEnd w:id="401"/>
      <w:bookmarkEnd w:id="402"/>
      <w:bookmarkEnd w:id="403"/>
      <w:bookmarkEnd w:id="404"/>
      <w:bookmarkEnd w:id="405"/>
      <w:bookmarkEnd w:id="406"/>
      <w:r>
        <w:rPr>
          <w:szCs w:val="32"/>
        </w:rPr>
        <w:t>。建设全球快递智能骨干网络，搭建快递智控服务平台。推动快递物流指数成为全球航运物流风向标。建立浙江省国际快递物流出海网络联盟，整合平台型快递物流企业及现有海外仓和境外分拨中心。实施快递出海计划，在境外关键节点组建境外自主分拨体系。支持物流企业在RCEP区域市场和中亚、欧洲、北美等重点国家开展本地网络建设。</w:t>
      </w:r>
    </w:p>
    <w:p>
      <w:pPr>
        <w:spacing w:line="590" w:lineRule="exact"/>
        <w:ind w:firstLine="640" w:firstLineChars="200"/>
        <w:rPr>
          <w:rFonts w:eastAsia="楷体_GB2312"/>
          <w:szCs w:val="32"/>
        </w:rPr>
      </w:pPr>
      <w:bookmarkStart w:id="407" w:name="_Toc25129"/>
      <w:bookmarkStart w:id="408" w:name="_Toc19449"/>
      <w:bookmarkStart w:id="409" w:name="_Toc9124"/>
      <w:bookmarkStart w:id="410" w:name="_Toc23702"/>
      <w:bookmarkStart w:id="411" w:name="_Toc21987"/>
      <w:bookmarkStart w:id="412" w:name="_Toc7346"/>
      <w:r>
        <w:rPr>
          <w:rStyle w:val="14"/>
          <w:rFonts w:ascii="Times New Roman"/>
          <w:bCs w:val="0"/>
        </w:rPr>
        <w:t>（四）打造数字经济发展示范区</w:t>
      </w:r>
      <w:bookmarkEnd w:id="407"/>
      <w:bookmarkEnd w:id="408"/>
      <w:bookmarkEnd w:id="409"/>
      <w:bookmarkEnd w:id="410"/>
      <w:bookmarkEnd w:id="411"/>
      <w:bookmarkEnd w:id="412"/>
    </w:p>
    <w:p>
      <w:pPr>
        <w:spacing w:line="590" w:lineRule="exact"/>
        <w:ind w:firstLine="640" w:firstLineChars="200"/>
        <w:rPr>
          <w:szCs w:val="32"/>
        </w:rPr>
      </w:pPr>
      <w:bookmarkStart w:id="413" w:name="_Toc12106"/>
      <w:bookmarkStart w:id="414" w:name="_Toc20585"/>
      <w:bookmarkStart w:id="415" w:name="_Toc26089"/>
      <w:bookmarkStart w:id="416" w:name="_Toc18169"/>
      <w:bookmarkStart w:id="417" w:name="_Toc6762"/>
      <w:bookmarkStart w:id="418" w:name="_Toc6885"/>
      <w:r>
        <w:rPr>
          <w:rStyle w:val="15"/>
          <w:b w:val="0"/>
          <w:bCs w:val="0"/>
        </w:rPr>
        <w:t>加快数字基础设施建设</w:t>
      </w:r>
      <w:bookmarkEnd w:id="413"/>
      <w:bookmarkEnd w:id="414"/>
      <w:bookmarkEnd w:id="415"/>
      <w:bookmarkEnd w:id="416"/>
      <w:bookmarkEnd w:id="417"/>
      <w:bookmarkEnd w:id="418"/>
      <w:r>
        <w:rPr>
          <w:szCs w:val="32"/>
        </w:rPr>
        <w:t>。推进互联网协议第6版（IPv6）、卫星互联网、北斗等网络基础设施建设。推进“云上浙江”建设，统筹以杭州、宁波、金华等区域为核心节点，增加数据中心与国家骨干网的互联带宽，开展传统数据中心整合改造试点。积极推动杭州城西科创大走廊、宁波甬江科创大走廊与自贸试验区改革联动、创新联动。推进之江实验室、阿里达摩院、国科大杭州高等研究院等研发机构建设。推进“1+N”工业互联网平台体系建设，搭建5G基站，集中开展IPV6规模化应用。招引国内外顶尖的云制造、人工智能、大数据等领域企业，打造全球工业互联网研发应用基地。加快建设攻防实验室，增强风险防范。</w:t>
      </w:r>
    </w:p>
    <w:p>
      <w:pPr>
        <w:spacing w:line="590" w:lineRule="exact"/>
        <w:ind w:firstLine="640" w:firstLineChars="200"/>
        <w:rPr>
          <w:rFonts w:eastAsia="楷体_GB2312"/>
          <w:szCs w:val="32"/>
        </w:rPr>
      </w:pPr>
      <w:bookmarkStart w:id="419" w:name="_Toc27619"/>
      <w:bookmarkStart w:id="420" w:name="_Toc16668"/>
      <w:bookmarkStart w:id="421" w:name="_Toc21108"/>
      <w:bookmarkStart w:id="422" w:name="_Toc23457"/>
      <w:bookmarkStart w:id="423" w:name="_Toc26401"/>
      <w:bookmarkStart w:id="424" w:name="_Toc4335"/>
      <w:r>
        <w:rPr>
          <w:rStyle w:val="15"/>
          <w:b w:val="0"/>
          <w:bCs w:val="0"/>
        </w:rPr>
        <w:t>创新数字经济业态新模式</w:t>
      </w:r>
      <w:bookmarkEnd w:id="419"/>
      <w:bookmarkEnd w:id="420"/>
      <w:bookmarkEnd w:id="421"/>
      <w:bookmarkEnd w:id="422"/>
      <w:bookmarkEnd w:id="423"/>
      <w:bookmarkEnd w:id="424"/>
      <w:r>
        <w:rPr>
          <w:szCs w:val="32"/>
        </w:rPr>
        <w:t>。以数字化、品质化、全球化为主线，推进电子商务、新零售、跨境电商、服务贸易、数字自贸区建设及传统贸易数字化转型。培育壮大新兴产业，积极发展平台经济、共享经济、体验经</w:t>
      </w:r>
      <w:r>
        <w:rPr>
          <w:rFonts w:hint="eastAsia"/>
          <w:szCs w:val="32"/>
        </w:rPr>
        <w:t>济</w:t>
      </w:r>
      <w:r>
        <w:rPr>
          <w:szCs w:val="32"/>
        </w:rPr>
        <w:t>、快递经济和“宅经济”。鼓励依法设立银行卡清算机构，开展多元化支付清算服务。争取拥有境外支付牌照的企业通过并购方式获取境内支付牌照，争取金融科技企业依法备案成为证券期货市场信息技术服务商。深入推进“移动支付之省”建设，全面推广移动支付，推动手机PAY、二维码、刷脸支付、指纹支付、语音支付等多元化移动支付方式应用，拓展应用场景，在商贸旅游、交通医疗、市政公用、政务服务等领域全面实现移动支付。</w:t>
      </w:r>
    </w:p>
    <w:p>
      <w:pPr>
        <w:spacing w:line="590" w:lineRule="exact"/>
        <w:ind w:firstLine="640" w:firstLineChars="200"/>
        <w:rPr>
          <w:szCs w:val="32"/>
        </w:rPr>
      </w:pPr>
      <w:bookmarkStart w:id="425" w:name="_Toc6058"/>
      <w:bookmarkStart w:id="426" w:name="_Toc28190"/>
      <w:bookmarkStart w:id="427" w:name="_Toc14613"/>
      <w:bookmarkStart w:id="428" w:name="_Toc9824"/>
      <w:bookmarkStart w:id="429" w:name="_Toc7921"/>
      <w:bookmarkStart w:id="430" w:name="_Toc26831"/>
      <w:r>
        <w:rPr>
          <w:rStyle w:val="15"/>
          <w:b w:val="0"/>
          <w:bCs w:val="0"/>
        </w:rPr>
        <w:t>加快数字经济领域规则制定</w:t>
      </w:r>
      <w:bookmarkEnd w:id="425"/>
      <w:bookmarkEnd w:id="426"/>
      <w:bookmarkEnd w:id="427"/>
      <w:bookmarkEnd w:id="428"/>
      <w:bookmarkEnd w:id="429"/>
      <w:bookmarkEnd w:id="430"/>
      <w:r>
        <w:rPr>
          <w:szCs w:val="32"/>
        </w:rPr>
        <w:t>。加快建设国家科技标准创新基地，做大做强浙江（义乌）国家标准技术审评中心，加强数字贸易研究和数字贸易标准化建设，加强产业间知识和技术要素共享。加强数字贸易规则研究和国际合作，探索数字确权。完善“城市大脑”顶层框架体系，接入区域数字驾驶舱，加快行政机关、司法机关、行业组织数字平台一体化建设，提升数字治理能力。</w:t>
      </w:r>
    </w:p>
    <w:p>
      <w:pPr>
        <w:spacing w:line="590" w:lineRule="exact"/>
        <w:ind w:firstLine="640" w:firstLineChars="200"/>
        <w:rPr>
          <w:rFonts w:eastAsia="楷体_GB2312"/>
          <w:szCs w:val="32"/>
        </w:rPr>
      </w:pPr>
      <w:bookmarkStart w:id="431" w:name="_Toc6946"/>
      <w:bookmarkStart w:id="432" w:name="_Toc30422"/>
      <w:bookmarkStart w:id="433" w:name="_Toc22437"/>
      <w:bookmarkStart w:id="434" w:name="_Toc24829"/>
      <w:bookmarkStart w:id="435" w:name="_Toc29587"/>
      <w:bookmarkStart w:id="436" w:name="_Toc31458"/>
      <w:r>
        <w:rPr>
          <w:rStyle w:val="14"/>
          <w:rFonts w:ascii="Times New Roman"/>
          <w:bCs w:val="0"/>
        </w:rPr>
        <w:t>（五）打造先进制造业集聚区</w:t>
      </w:r>
      <w:bookmarkEnd w:id="431"/>
      <w:bookmarkEnd w:id="432"/>
      <w:bookmarkEnd w:id="433"/>
      <w:bookmarkEnd w:id="434"/>
      <w:bookmarkEnd w:id="435"/>
      <w:bookmarkEnd w:id="436"/>
    </w:p>
    <w:p>
      <w:pPr>
        <w:spacing w:line="590" w:lineRule="exact"/>
        <w:ind w:firstLine="640" w:firstLineChars="200"/>
        <w:rPr>
          <w:szCs w:val="32"/>
        </w:rPr>
      </w:pPr>
      <w:bookmarkStart w:id="437" w:name="_Toc29622"/>
      <w:bookmarkStart w:id="438" w:name="_Toc30281"/>
      <w:bookmarkStart w:id="439" w:name="_Toc31346"/>
      <w:bookmarkStart w:id="440" w:name="_Toc11948"/>
      <w:bookmarkStart w:id="441" w:name="_Toc30285"/>
      <w:bookmarkStart w:id="442" w:name="_Toc22377"/>
      <w:r>
        <w:rPr>
          <w:rStyle w:val="15"/>
          <w:b w:val="0"/>
          <w:bCs w:val="0"/>
        </w:rPr>
        <w:t>增强制造业创新能力</w:t>
      </w:r>
      <w:bookmarkEnd w:id="437"/>
      <w:bookmarkEnd w:id="438"/>
      <w:bookmarkEnd w:id="439"/>
      <w:bookmarkEnd w:id="440"/>
      <w:bookmarkEnd w:id="441"/>
      <w:bookmarkEnd w:id="442"/>
      <w:r>
        <w:rPr>
          <w:szCs w:val="32"/>
        </w:rPr>
        <w:t>。加强基础研究与关键核心技术开发，实施科技创新尖峰、尖兵、领雁、领航计划，开发一批战略创新产品。着力打造高水平公共创新平台，建设国家重点实验室、新型研发机构及科创平台，建立国家级、省级制造业创新中心，探索设立科创飞地。探索建立“离岸研发、就地转化”的产学研合作机制。推广“5G+工业互联网”、网络协同制造、数字化车间、智能工厂等技术，鼓励重点企业开展协同研发。完善制造业创新生态，建设国家科技成果转移转化示范区，探索建立研究开发、成果转化容错保护机制。</w:t>
      </w:r>
    </w:p>
    <w:p>
      <w:pPr>
        <w:spacing w:line="590" w:lineRule="exact"/>
        <w:ind w:firstLine="640" w:firstLineChars="200"/>
        <w:rPr>
          <w:szCs w:val="32"/>
        </w:rPr>
      </w:pPr>
      <w:bookmarkStart w:id="443" w:name="_Toc26053"/>
      <w:bookmarkStart w:id="444" w:name="_Toc20033"/>
      <w:bookmarkStart w:id="445" w:name="_Toc1835"/>
      <w:bookmarkStart w:id="446" w:name="_Toc27678"/>
      <w:bookmarkStart w:id="447" w:name="_Toc3080"/>
      <w:bookmarkStart w:id="448" w:name="_Toc1945"/>
      <w:r>
        <w:rPr>
          <w:rStyle w:val="15"/>
          <w:b w:val="0"/>
          <w:bCs w:val="0"/>
        </w:rPr>
        <w:t>建设制造产业集群</w:t>
      </w:r>
      <w:bookmarkEnd w:id="443"/>
      <w:bookmarkEnd w:id="444"/>
      <w:bookmarkEnd w:id="445"/>
      <w:bookmarkEnd w:id="446"/>
      <w:bookmarkEnd w:id="447"/>
      <w:bookmarkEnd w:id="448"/>
      <w:r>
        <w:rPr>
          <w:szCs w:val="32"/>
        </w:rPr>
        <w:t>。优化制造业布局，培育生命大健康、新材料、智能制造等产业集群。加快生物技术研究，发展抗体、重组蛋白、新型疫苗等新型生物技术类药物。建立关键零部件国际国内双回路供应政策体系，前瞻布局符合材料、海洋新材料、汽车轻量化材料等新兴领域。加快智能汽车、智能装备、航空航天等产业关键基础件研发，打造智能制造产业基地。布局氮化镓、碳化硅为代表的第三代半导体产业项目，推动产业链、创新链深入融合。建设全球数字安防产业中心，重点发展视频监控人工智能芯片、智能传感器、射频识别等新技术的配套终端设备和解决方案。建设海洋科技基地，推动海洋产业规模化。</w:t>
      </w:r>
    </w:p>
    <w:p>
      <w:pPr>
        <w:pStyle w:val="5"/>
        <w:spacing w:after="0" w:line="590" w:lineRule="exact"/>
        <w:ind w:firstLine="640"/>
        <w:rPr>
          <w:sz w:val="32"/>
          <w:szCs w:val="32"/>
        </w:rPr>
      </w:pPr>
      <w:bookmarkStart w:id="449" w:name="_Toc20866"/>
      <w:bookmarkStart w:id="450" w:name="_Toc23950"/>
      <w:bookmarkStart w:id="451" w:name="_Toc18542"/>
      <w:bookmarkStart w:id="452" w:name="_Toc8516"/>
      <w:bookmarkStart w:id="453" w:name="_Toc17353"/>
      <w:bookmarkStart w:id="454" w:name="_Toc31677"/>
      <w:r>
        <w:rPr>
          <w:rStyle w:val="15"/>
          <w:b w:val="0"/>
          <w:bCs w:val="0"/>
        </w:rPr>
        <w:t>推进产业配套建设</w:t>
      </w:r>
      <w:bookmarkEnd w:id="449"/>
      <w:bookmarkEnd w:id="450"/>
      <w:bookmarkEnd w:id="451"/>
      <w:bookmarkEnd w:id="452"/>
      <w:bookmarkEnd w:id="453"/>
      <w:bookmarkEnd w:id="454"/>
      <w:r>
        <w:rPr>
          <w:sz w:val="32"/>
          <w:szCs w:val="32"/>
        </w:rPr>
        <w:t>。加强先进标准供给，构建浙江制造标准体系，组建产业技术标准创新联盟。建立健全品牌培育、发展与保护机制。开展医疗器械注册人制度试点。落实科技创新进口税收政策，争取科学研究机构、科技开发机构、学校等单位依法享受进口免税政策。开展浙江制造拓市场“严选计划”专项行动。研究探索国际合作新内容、新规则、新机制，推进国际产业合作园建设。</w:t>
      </w:r>
    </w:p>
    <w:p>
      <w:pPr>
        <w:spacing w:line="590" w:lineRule="exact"/>
        <w:ind w:firstLine="640" w:firstLineChars="200"/>
        <w:rPr>
          <w:rFonts w:eastAsia="楷体_GB2312"/>
          <w:szCs w:val="32"/>
        </w:rPr>
      </w:pPr>
      <w:bookmarkStart w:id="455" w:name="_Toc13764"/>
      <w:bookmarkStart w:id="456" w:name="_Toc4624"/>
      <w:bookmarkStart w:id="457" w:name="_Toc5775"/>
      <w:bookmarkStart w:id="458" w:name="_Toc26194"/>
      <w:bookmarkStart w:id="459" w:name="_Toc16146"/>
      <w:bookmarkStart w:id="460" w:name="_Toc6611"/>
      <w:r>
        <w:rPr>
          <w:rStyle w:val="14"/>
          <w:rFonts w:ascii="Times New Roman"/>
          <w:bCs w:val="0"/>
        </w:rPr>
        <w:t>（六）强化内外合作联动发展</w:t>
      </w:r>
      <w:bookmarkEnd w:id="455"/>
      <w:bookmarkEnd w:id="456"/>
      <w:bookmarkEnd w:id="457"/>
      <w:bookmarkEnd w:id="458"/>
      <w:bookmarkEnd w:id="459"/>
      <w:bookmarkEnd w:id="460"/>
    </w:p>
    <w:p>
      <w:pPr>
        <w:spacing w:line="590" w:lineRule="exact"/>
        <w:ind w:firstLine="640" w:firstLineChars="200"/>
        <w:rPr>
          <w:szCs w:val="32"/>
        </w:rPr>
      </w:pPr>
      <w:bookmarkStart w:id="461" w:name="_Toc25563"/>
      <w:bookmarkStart w:id="462" w:name="_Toc29599"/>
      <w:bookmarkStart w:id="463" w:name="_Toc13192"/>
      <w:bookmarkStart w:id="464" w:name="_Toc29487"/>
      <w:bookmarkStart w:id="465" w:name="_Toc30194"/>
      <w:bookmarkStart w:id="466" w:name="_Toc8276"/>
      <w:r>
        <w:rPr>
          <w:rStyle w:val="15"/>
          <w:b w:val="0"/>
          <w:bCs w:val="0"/>
        </w:rPr>
        <w:t>加强自贸试验区与联动创新区联动发展</w:t>
      </w:r>
      <w:bookmarkEnd w:id="461"/>
      <w:bookmarkEnd w:id="462"/>
      <w:bookmarkEnd w:id="463"/>
      <w:bookmarkEnd w:id="464"/>
      <w:bookmarkEnd w:id="465"/>
      <w:bookmarkEnd w:id="466"/>
      <w:r>
        <w:rPr>
          <w:szCs w:val="32"/>
        </w:rPr>
        <w:t>。紧扣全省八大万亿支柱产业和战略新兴产业，加强与联动创新区联动试验和系统集成，探索在油气、海洋科技、数字经济、民营经济、智能制造、小商品贸易等领域改革联动协同创新，争取形成一批跨区域、跨部门、跨层级的改革创新成果。加快联动创新区建设，积极复制推广自贸试验区制度创新经验，共享制度和政策红利。鼓励自贸试验区与联动创新区开展平台、产业、项目、人才等方面的深度合作，推动产业优势互补、协调联动、错位发展。</w:t>
      </w:r>
    </w:p>
    <w:p>
      <w:pPr>
        <w:spacing w:line="590" w:lineRule="exact"/>
        <w:ind w:firstLine="640" w:firstLineChars="200"/>
        <w:rPr>
          <w:szCs w:val="32"/>
        </w:rPr>
      </w:pPr>
      <w:bookmarkStart w:id="467" w:name="_Toc3115"/>
      <w:bookmarkStart w:id="468" w:name="_Toc12645"/>
      <w:bookmarkStart w:id="469" w:name="_Toc11224"/>
      <w:bookmarkStart w:id="470" w:name="_Toc11550"/>
      <w:bookmarkStart w:id="471" w:name="_Toc6420"/>
      <w:bookmarkStart w:id="472" w:name="_Toc20272"/>
      <w:r>
        <w:rPr>
          <w:rStyle w:val="15"/>
          <w:b w:val="0"/>
          <w:bCs w:val="0"/>
        </w:rPr>
        <w:t>加强长三角自贸试验区联动发展</w:t>
      </w:r>
      <w:bookmarkEnd w:id="467"/>
      <w:bookmarkEnd w:id="468"/>
      <w:bookmarkEnd w:id="469"/>
      <w:bookmarkEnd w:id="470"/>
      <w:bookmarkEnd w:id="471"/>
      <w:bookmarkEnd w:id="472"/>
      <w:r>
        <w:rPr>
          <w:szCs w:val="32"/>
        </w:rPr>
        <w:t>。紧抓长三角一体化发展战略，加强与上海、江苏、安徽自贸试验区联动发展。加强与上海自贸试验区临港新片区联动，共同探索建设长三角自贸试验区协作区、期现一体化油气交易市场和“数字长三角”。探索在小洋山北侧区域建立长三角自贸试验区协作区，借助临港新片区和洋山特殊综保区政策，强化“两区”在大宗商品交易、保税船用燃料油、高端港航服务、国际贸易加工、离岸跨境金融等领域的直联互动。利用临港新片区数据跨境流动特殊政策，加快发展数字贸易，共同建设数字自贸区。推进上海港、宁波舟山港、连云港、芜湖港协作发展，打造世界级港口集群。</w:t>
      </w:r>
    </w:p>
    <w:p>
      <w:pPr>
        <w:spacing w:line="590" w:lineRule="exact"/>
        <w:ind w:firstLine="640" w:firstLineChars="200"/>
        <w:rPr>
          <w:szCs w:val="32"/>
        </w:rPr>
      </w:pPr>
      <w:bookmarkStart w:id="473" w:name="_Toc5085"/>
      <w:bookmarkStart w:id="474" w:name="_Toc8338"/>
      <w:bookmarkStart w:id="475" w:name="_Toc5532"/>
      <w:bookmarkStart w:id="476" w:name="_Toc19761"/>
      <w:bookmarkStart w:id="477" w:name="_Toc1958"/>
      <w:bookmarkStart w:id="478" w:name="_Toc18958"/>
      <w:r>
        <w:rPr>
          <w:rStyle w:val="15"/>
          <w:b w:val="0"/>
          <w:bCs w:val="0"/>
        </w:rPr>
        <w:t>加强全省自由贸易区域联动发展</w:t>
      </w:r>
      <w:bookmarkEnd w:id="473"/>
      <w:bookmarkEnd w:id="474"/>
      <w:bookmarkEnd w:id="475"/>
      <w:bookmarkEnd w:id="476"/>
      <w:bookmarkEnd w:id="477"/>
      <w:bookmarkEnd w:id="478"/>
      <w:r>
        <w:rPr>
          <w:szCs w:val="32"/>
        </w:rPr>
        <w:t>。深化与宁波、杭州、义乌等地在产业发展、项目合作、资源共享上的联动。加快甬舟一体化建设，打破区域壁垒，推进六横、金塘等地产业发展，谋划建设甬舟合作区。谋划推进北向大通道建设，打通宁波、舟山、上海沿海陆路通道，使上海港、宁波舟山港连为一体，形成东部沿海环形集疏散公路网络，推动长三角区域基础设施互联互通。探索在杭州等地设立“飞地园区”，推进两地政策叠加、人才共享，推动企业在杭创新、在舟创业。探索与义乌在小商品贸易、市场采购、跨境电商等领域联动，提升贸易便利化。</w:t>
      </w:r>
    </w:p>
    <w:p>
      <w:pPr>
        <w:spacing w:line="590" w:lineRule="exact"/>
        <w:ind w:firstLine="640" w:firstLineChars="200"/>
        <w:rPr>
          <w:szCs w:val="32"/>
        </w:rPr>
      </w:pPr>
      <w:bookmarkStart w:id="479" w:name="_Toc17142"/>
      <w:bookmarkStart w:id="480" w:name="_Toc9781"/>
      <w:bookmarkStart w:id="481" w:name="_Toc16286"/>
      <w:bookmarkStart w:id="482" w:name="_Toc30369"/>
      <w:bookmarkStart w:id="483" w:name="_Toc1543"/>
      <w:bookmarkStart w:id="484" w:name="_Toc18455"/>
      <w:r>
        <w:rPr>
          <w:rStyle w:val="14"/>
          <w:rFonts w:ascii="Times New Roman"/>
          <w:bCs w:val="0"/>
        </w:rPr>
        <w:t>（七）加快推进社会治理现代化</w:t>
      </w:r>
      <w:bookmarkEnd w:id="479"/>
      <w:bookmarkEnd w:id="480"/>
      <w:bookmarkEnd w:id="481"/>
      <w:bookmarkEnd w:id="482"/>
      <w:bookmarkEnd w:id="483"/>
      <w:bookmarkEnd w:id="484"/>
    </w:p>
    <w:p>
      <w:pPr>
        <w:spacing w:line="590" w:lineRule="exact"/>
        <w:ind w:firstLine="640" w:firstLineChars="200"/>
        <w:rPr>
          <w:szCs w:val="32"/>
        </w:rPr>
      </w:pPr>
      <w:bookmarkStart w:id="485" w:name="_Toc3627"/>
      <w:bookmarkStart w:id="486" w:name="_Toc1915"/>
      <w:bookmarkStart w:id="487" w:name="_Toc3915"/>
      <w:bookmarkStart w:id="488" w:name="_Toc191"/>
      <w:bookmarkStart w:id="489" w:name="_Toc4167"/>
      <w:bookmarkStart w:id="490" w:name="_Toc9609"/>
      <w:r>
        <w:rPr>
          <w:rStyle w:val="15"/>
          <w:b w:val="0"/>
          <w:bCs w:val="0"/>
        </w:rPr>
        <w:t>营造国际一流营商环境</w:t>
      </w:r>
      <w:bookmarkEnd w:id="485"/>
      <w:bookmarkEnd w:id="486"/>
      <w:bookmarkEnd w:id="487"/>
      <w:bookmarkEnd w:id="488"/>
      <w:bookmarkEnd w:id="489"/>
      <w:bookmarkEnd w:id="490"/>
      <w:r>
        <w:rPr>
          <w:szCs w:val="32"/>
        </w:rPr>
        <w:t>。按照“整体智治”理念，强化数字赋能，推进数字政府建设，探索新型行政服务中心，推进部门数据轨迹、对接和服务下沉，建设数字自贸区驾驶仓。纵深推动“最多跑一次”改革，全面推进“证照分离”改革全覆盖。建设具有国际水平的国际贸易“单一窗口”，纳入服务贸易管理实现。对外商投资实行准入前国民待遇加负面清单管理制度，建立与负面清单管理方式相适应的事中事后监管制度。加快推进本外币合一账户试点。推进人才管理改革，探索外国人来华工作许可差异化流程。完善知识产权保护和运用体系，探索建立自贸试验区专业市场知识产权保护工作机制。打造具有国际影响力的国际商事、海事仲裁平台，健全诉讼、仲裁、调解有机衔接、相互协调的纠纷解决机制。</w:t>
      </w:r>
    </w:p>
    <w:p>
      <w:pPr>
        <w:spacing w:line="590" w:lineRule="exact"/>
        <w:ind w:firstLine="640" w:firstLineChars="200"/>
        <w:rPr>
          <w:szCs w:val="32"/>
        </w:rPr>
      </w:pPr>
      <w:bookmarkStart w:id="491" w:name="_Toc19107"/>
      <w:bookmarkStart w:id="492" w:name="_Toc7280"/>
      <w:bookmarkStart w:id="493" w:name="_Toc26660"/>
      <w:bookmarkStart w:id="494" w:name="_Toc3748"/>
      <w:bookmarkStart w:id="495" w:name="_Toc1155"/>
      <w:bookmarkStart w:id="496" w:name="_Toc27998"/>
      <w:r>
        <w:rPr>
          <w:rStyle w:val="15"/>
          <w:b w:val="0"/>
          <w:bCs w:val="0"/>
        </w:rPr>
        <w:t>构建风险防控体系</w:t>
      </w:r>
      <w:bookmarkEnd w:id="491"/>
      <w:bookmarkEnd w:id="492"/>
      <w:bookmarkEnd w:id="493"/>
      <w:bookmarkEnd w:id="494"/>
      <w:bookmarkEnd w:id="495"/>
      <w:bookmarkEnd w:id="496"/>
      <w:r>
        <w:rPr>
          <w:szCs w:val="32"/>
        </w:rPr>
        <w:t>。加强风险防范顶层设计，健全风险责任机制。完善与投资规则相适应的过程监管制度，开展外商投资安全审查，对油气等高风险行业和领域实行重点监管。探索跨境数据流动分类监管，开展数据跨境运输安全管理试点。建立健全资金流动监测和风险防控体系，强化开展反洗钱、反恐怖融资、反逃税工作，防止非法资金跨境、跨区流动。创新运用大数据、区块链等数字技术，建设高标准智能化监管平台，探索沙盒监管模式和容错机制。建立全链条信用监管机制，探索信用评估和信用修复制度。</w:t>
      </w:r>
    </w:p>
    <w:p>
      <w:pPr>
        <w:spacing w:line="590" w:lineRule="exact"/>
        <w:ind w:firstLine="640" w:firstLineChars="200"/>
        <w:rPr>
          <w:szCs w:val="32"/>
        </w:rPr>
      </w:pPr>
      <w:bookmarkStart w:id="497" w:name="_Toc14002"/>
      <w:bookmarkStart w:id="498" w:name="_Toc25556"/>
      <w:bookmarkStart w:id="499" w:name="_Toc5912"/>
      <w:bookmarkStart w:id="500" w:name="_Toc32255"/>
      <w:bookmarkStart w:id="501" w:name="_Toc20458"/>
      <w:bookmarkStart w:id="502" w:name="_Toc9444"/>
      <w:r>
        <w:rPr>
          <w:rStyle w:val="14"/>
          <w:rFonts w:ascii="Times New Roman"/>
          <w:bCs w:val="0"/>
        </w:rPr>
        <w:t>（八）谋划建设自由贸易港</w:t>
      </w:r>
      <w:bookmarkEnd w:id="497"/>
      <w:bookmarkEnd w:id="498"/>
      <w:bookmarkEnd w:id="499"/>
      <w:bookmarkEnd w:id="500"/>
      <w:bookmarkEnd w:id="501"/>
      <w:bookmarkEnd w:id="502"/>
    </w:p>
    <w:p>
      <w:pPr>
        <w:spacing w:line="590" w:lineRule="exact"/>
        <w:ind w:firstLine="640" w:firstLineChars="200"/>
        <w:rPr>
          <w:szCs w:val="32"/>
        </w:rPr>
      </w:pPr>
      <w:bookmarkStart w:id="503" w:name="_Toc1283"/>
      <w:bookmarkStart w:id="504" w:name="_Toc31064"/>
      <w:bookmarkStart w:id="505" w:name="_Toc7146"/>
      <w:bookmarkStart w:id="506" w:name="_Toc24599"/>
      <w:bookmarkStart w:id="507" w:name="_Toc25952"/>
      <w:bookmarkStart w:id="508" w:name="_Toc28375"/>
      <w:r>
        <w:rPr>
          <w:rStyle w:val="15"/>
          <w:b w:val="0"/>
          <w:bCs w:val="0"/>
        </w:rPr>
        <w:t>探索建设衢山自由贸易港先行区</w:t>
      </w:r>
      <w:bookmarkEnd w:id="503"/>
      <w:bookmarkEnd w:id="504"/>
      <w:bookmarkEnd w:id="505"/>
      <w:bookmarkEnd w:id="506"/>
      <w:bookmarkEnd w:id="507"/>
      <w:bookmarkEnd w:id="508"/>
      <w:r>
        <w:rPr>
          <w:szCs w:val="32"/>
        </w:rPr>
        <w:t>。衢山岛海岸线长、离岛资源丰富，经济体量小，有利于控制风险，是国内最适合探索实施国际自由港开放政策的区域之一。借鉴新加坡沙盒监管模式，先行先试投资自由、贸易自由、资金自由、人员自由、航运自由等相关深度开放政策，经验成熟后在新片区推广实施。探索发展“离岸经济”，实施对标国际的特殊政策，吸引全球VIE模式（可变利益实体）企业在衢山岛注册，打造特殊经济功能区。建设国际滨海新城，打造与新加坡香港类似的国际旅游度假区，为自由进出的国际高端人才提供工作、生活配套。</w:t>
      </w:r>
    </w:p>
    <w:p>
      <w:pPr>
        <w:spacing w:line="590" w:lineRule="exact"/>
        <w:ind w:firstLine="640" w:firstLineChars="200"/>
        <w:rPr>
          <w:szCs w:val="32"/>
        </w:rPr>
      </w:pPr>
      <w:bookmarkStart w:id="509" w:name="_Toc18371"/>
      <w:bookmarkStart w:id="510" w:name="_Toc1114"/>
      <w:bookmarkStart w:id="511" w:name="_Toc18213"/>
      <w:bookmarkStart w:id="512" w:name="_Toc27070"/>
      <w:bookmarkStart w:id="513" w:name="_Toc12791"/>
      <w:bookmarkStart w:id="514" w:name="_Toc29543"/>
      <w:r>
        <w:rPr>
          <w:rStyle w:val="15"/>
          <w:b w:val="0"/>
          <w:bCs w:val="0"/>
        </w:rPr>
        <w:t>推动沪甬舟共建自由贸易港</w:t>
      </w:r>
      <w:bookmarkEnd w:id="509"/>
      <w:bookmarkEnd w:id="510"/>
      <w:bookmarkEnd w:id="511"/>
      <w:bookmarkEnd w:id="512"/>
      <w:bookmarkEnd w:id="513"/>
      <w:bookmarkEnd w:id="514"/>
      <w:r>
        <w:rPr>
          <w:szCs w:val="32"/>
        </w:rPr>
        <w:t>。上海、宁波、舟山建设自由贸易港基础条件扎实，具有连接国内外的区位、良好的港口（海、空、陆）、强有力的腹地支撑、良好的营商环境、高素质的人力资源等优势。依托强大的港口优势和市场需求，重点发展大宗商品交易、国际航运、海事服务、转口贸易、数字贸易等产业，打造全球资源配置枢纽、全球航运核心枢纽和全球新型国际贸易中心。对照国际自由港标准，探索建立以“一线完全放开，二线高效管住”为核心的境内关外制度体系，实行一体化、封闭式管理，放开区内与境外之间的要素流动限制，对区内与国内市场之间的业务比对跨境业务实施安全高效管理。建立具有国际竞争力的境内关外财政税务体系，对自由贸易港内企业在个人所得税、企业所得税、增值税、关税等方面给予优惠待遇。</w:t>
      </w:r>
    </w:p>
    <w:p>
      <w:pPr>
        <w:tabs>
          <w:tab w:val="left" w:pos="615"/>
        </w:tabs>
        <w:spacing w:line="590" w:lineRule="exact"/>
        <w:ind w:firstLine="640" w:firstLineChars="200"/>
        <w:rPr>
          <w:rStyle w:val="13"/>
          <w:rFonts w:ascii="黑体" w:hAnsi="黑体" w:eastAsia="黑体"/>
          <w:b w:val="0"/>
          <w:sz w:val="32"/>
          <w:szCs w:val="32"/>
        </w:rPr>
      </w:pPr>
      <w:bookmarkStart w:id="515" w:name="_Toc18015"/>
      <w:bookmarkStart w:id="516" w:name="_Toc4162"/>
      <w:bookmarkStart w:id="517" w:name="_Toc28351"/>
      <w:bookmarkStart w:id="518" w:name="_Toc16917"/>
      <w:bookmarkStart w:id="519" w:name="_Toc29390"/>
      <w:bookmarkStart w:id="520" w:name="_Toc21849"/>
      <w:r>
        <w:rPr>
          <w:rStyle w:val="13"/>
          <w:rFonts w:ascii="黑体" w:hAnsi="黑体" w:eastAsia="黑体"/>
          <w:b w:val="0"/>
          <w:sz w:val="32"/>
          <w:szCs w:val="32"/>
        </w:rPr>
        <w:t>五、保障措施</w:t>
      </w:r>
    </w:p>
    <w:bookmarkEnd w:id="515"/>
    <w:bookmarkEnd w:id="516"/>
    <w:bookmarkEnd w:id="517"/>
    <w:bookmarkEnd w:id="518"/>
    <w:bookmarkEnd w:id="519"/>
    <w:bookmarkEnd w:id="520"/>
    <w:p>
      <w:pPr>
        <w:tabs>
          <w:tab w:val="left" w:pos="615"/>
        </w:tabs>
        <w:spacing w:line="590" w:lineRule="exact"/>
        <w:ind w:firstLine="640" w:firstLineChars="200"/>
        <w:rPr>
          <w:rFonts w:eastAsia="楷体_GB2312"/>
          <w:szCs w:val="32"/>
        </w:rPr>
      </w:pPr>
      <w:bookmarkStart w:id="521" w:name="_Toc10691"/>
      <w:bookmarkStart w:id="522" w:name="_Toc20021"/>
      <w:bookmarkStart w:id="523" w:name="_Toc2922"/>
      <w:bookmarkStart w:id="524" w:name="_Toc4434"/>
      <w:bookmarkStart w:id="525" w:name="_Toc14786"/>
      <w:bookmarkStart w:id="526" w:name="_Toc8559"/>
      <w:r>
        <w:rPr>
          <w:rStyle w:val="14"/>
          <w:rFonts w:ascii="Times New Roman"/>
          <w:bCs w:val="0"/>
        </w:rPr>
        <w:t>（一）加强组织领导</w:t>
      </w:r>
      <w:bookmarkEnd w:id="521"/>
      <w:bookmarkEnd w:id="522"/>
      <w:bookmarkEnd w:id="523"/>
      <w:bookmarkEnd w:id="524"/>
      <w:bookmarkEnd w:id="525"/>
      <w:bookmarkEnd w:id="526"/>
    </w:p>
    <w:p>
      <w:pPr>
        <w:tabs>
          <w:tab w:val="left" w:pos="615"/>
        </w:tabs>
        <w:spacing w:line="590" w:lineRule="exact"/>
        <w:ind w:firstLine="640" w:firstLineChars="200"/>
        <w:rPr>
          <w:szCs w:val="32"/>
        </w:rPr>
      </w:pPr>
      <w:r>
        <w:rPr>
          <w:szCs w:val="32"/>
        </w:rPr>
        <w:t>坚持以党的政治建设为统领，在省自由贸易试验区工作领导小组统一领导下，赋予各片区管理机构建设主体职能，高标准高质量推进自由贸易发展。按照“权责明确、管理高效、运转协调”的原则，构建更为完善的管理体制。鼓励相关部门积极主动服务，形成省市县（市、区）一体、部门间联动的工作局面。建立健全自贸试验区与联动创新区统筹协调发展机制，推动解决建设发展中的重大问题。强化动态考核，建立改革的正向激励机制。</w:t>
      </w:r>
    </w:p>
    <w:p>
      <w:pPr>
        <w:spacing w:line="590" w:lineRule="exact"/>
        <w:ind w:firstLine="640" w:firstLineChars="200"/>
        <w:rPr>
          <w:rFonts w:eastAsia="宋体"/>
          <w:szCs w:val="32"/>
        </w:rPr>
      </w:pPr>
      <w:bookmarkStart w:id="527" w:name="_Toc396"/>
      <w:bookmarkStart w:id="528" w:name="_Toc19535"/>
      <w:bookmarkStart w:id="529" w:name="_Toc16564"/>
      <w:bookmarkStart w:id="530" w:name="_Toc11173"/>
      <w:bookmarkStart w:id="531" w:name="_Toc1706"/>
      <w:bookmarkStart w:id="532" w:name="_Toc28805"/>
      <w:r>
        <w:rPr>
          <w:rStyle w:val="14"/>
          <w:rFonts w:ascii="Times New Roman"/>
          <w:bCs w:val="0"/>
        </w:rPr>
        <w:t>（二）强化要素保障</w:t>
      </w:r>
      <w:bookmarkEnd w:id="527"/>
      <w:bookmarkEnd w:id="528"/>
      <w:bookmarkEnd w:id="529"/>
      <w:bookmarkEnd w:id="530"/>
      <w:bookmarkEnd w:id="531"/>
      <w:bookmarkEnd w:id="532"/>
    </w:p>
    <w:p>
      <w:pPr>
        <w:tabs>
          <w:tab w:val="left" w:pos="615"/>
        </w:tabs>
        <w:spacing w:line="590" w:lineRule="exact"/>
        <w:ind w:firstLine="640" w:firstLineChars="200"/>
        <w:rPr>
          <w:szCs w:val="32"/>
        </w:rPr>
      </w:pPr>
      <w:r>
        <w:rPr>
          <w:szCs w:val="32"/>
        </w:rPr>
        <w:t>研究依法将下放至</w:t>
      </w:r>
      <w:r>
        <w:rPr>
          <w:rFonts w:hint="eastAsia"/>
          <w:szCs w:val="32"/>
        </w:rPr>
        <w:t>设</w:t>
      </w:r>
      <w:r>
        <w:rPr>
          <w:szCs w:val="32"/>
        </w:rPr>
        <w:t>区市级以上城市的省级管理权限下放</w:t>
      </w:r>
      <w:r>
        <w:rPr>
          <w:spacing w:val="-6"/>
          <w:szCs w:val="32"/>
        </w:rPr>
        <w:t>至资源禀赋相近的区域。深化资源要素市场化改革，推动土地、能源、金融、数据等要素倾斜。对从事数字经济、智能制造、新材料、生命健康等关键领域核心产业，实施税收优惠政策。建立自贸试验区专项发展基金，统筹用于区内产业扶持、人才引进等。支持符合条件的公益性项目申请地方政府债券，优化资源要素配置。</w:t>
      </w:r>
    </w:p>
    <w:p>
      <w:pPr>
        <w:spacing w:line="590" w:lineRule="exact"/>
        <w:ind w:firstLine="640" w:firstLineChars="200"/>
        <w:rPr>
          <w:rFonts w:eastAsia="楷体_GB2312"/>
          <w:szCs w:val="32"/>
        </w:rPr>
      </w:pPr>
      <w:bookmarkStart w:id="533" w:name="_Toc5169"/>
      <w:bookmarkStart w:id="534" w:name="_Toc12699"/>
      <w:bookmarkStart w:id="535" w:name="_Toc6705"/>
      <w:bookmarkStart w:id="536" w:name="_Toc9966"/>
      <w:bookmarkStart w:id="537" w:name="_Toc23229"/>
      <w:bookmarkStart w:id="538" w:name="_Toc21789"/>
      <w:r>
        <w:rPr>
          <w:rStyle w:val="14"/>
          <w:rFonts w:ascii="Times New Roman"/>
          <w:bCs w:val="0"/>
        </w:rPr>
        <w:t>（三）完善工作机制</w:t>
      </w:r>
      <w:bookmarkEnd w:id="533"/>
      <w:bookmarkEnd w:id="534"/>
      <w:bookmarkEnd w:id="535"/>
      <w:bookmarkEnd w:id="536"/>
      <w:bookmarkEnd w:id="537"/>
      <w:bookmarkEnd w:id="538"/>
    </w:p>
    <w:p>
      <w:pPr>
        <w:spacing w:line="590" w:lineRule="exact"/>
        <w:ind w:firstLine="640" w:firstLineChars="200"/>
        <w:rPr>
          <w:szCs w:val="32"/>
        </w:rPr>
      </w:pPr>
      <w:r>
        <w:rPr>
          <w:szCs w:val="32"/>
        </w:rPr>
        <w:t>建立“131”工作体系，即一个工作专班、信息发布、项目推进、评估推广三个机制和一个集成智库，建立“专班干、周会商、月例会、季通报、争高分”的工作推进机制，强化浙江自贸试验区领导小组专家咨询委员会建设。开展规划实施年度监测、中期评估和总结评估，完善信息交流、发布机制和项目推进机制，营造比学赶超的氛围。完善评估推广机制，对建设成效、制度创新、营商环境、最佳实践案例等开展第三方评估。</w:t>
      </w:r>
    </w:p>
    <w:p>
      <w:pPr>
        <w:spacing w:line="590" w:lineRule="exact"/>
        <w:ind w:firstLine="640" w:firstLineChars="200"/>
        <w:rPr>
          <w:rFonts w:eastAsia="楷体_GB2312"/>
          <w:szCs w:val="32"/>
        </w:rPr>
      </w:pPr>
      <w:bookmarkStart w:id="539" w:name="_Toc31901"/>
      <w:bookmarkStart w:id="540" w:name="_Toc2559"/>
      <w:bookmarkStart w:id="541" w:name="_Toc26541"/>
      <w:bookmarkStart w:id="542" w:name="_Toc19004"/>
      <w:bookmarkStart w:id="543" w:name="_Toc30885"/>
      <w:bookmarkStart w:id="544" w:name="_Toc1342"/>
      <w:r>
        <w:rPr>
          <w:rStyle w:val="14"/>
          <w:rFonts w:ascii="Times New Roman"/>
          <w:bCs w:val="0"/>
        </w:rPr>
        <w:t>（四）加大宣传力度</w:t>
      </w:r>
      <w:bookmarkEnd w:id="539"/>
      <w:bookmarkEnd w:id="540"/>
      <w:bookmarkEnd w:id="541"/>
      <w:bookmarkEnd w:id="542"/>
      <w:bookmarkEnd w:id="543"/>
      <w:bookmarkEnd w:id="544"/>
    </w:p>
    <w:p>
      <w:pPr>
        <w:spacing w:line="590" w:lineRule="exact"/>
        <w:ind w:firstLine="640" w:firstLineChars="200"/>
        <w:rPr>
          <w:rFonts w:eastAsia="楷体_GB2312"/>
          <w:szCs w:val="32"/>
        </w:rPr>
      </w:pPr>
      <w:r>
        <w:rPr>
          <w:szCs w:val="32"/>
        </w:rPr>
        <w:t>统筹推进自贸试验区和联动创新区宣传工作，大力发展线上线下一体化宣传模式，利用世界油商大会等国际性会议，向世界推介浙江自贸试验区和联动创新区。依托浙江省新时代自贸港研究院，积极对接商务部研究院、国务院发展研究中心、中国国际经济交流中心、浙江大学等，开展各类学术研讨、培训交流等活动；汇集全国自贸试验区研究成果集，谋划编写自由贸易发展蓝皮书；谋划举办自贸试验区年度高峰论坛暨改革创新案例推介会，发布改革创新案例。</w:t>
      </w:r>
    </w:p>
    <w:p>
      <w:pPr>
        <w:widowControl/>
        <w:overflowPunct w:val="0"/>
        <w:spacing w:line="579"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00"/>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20" w:leftChars="100" w:right="320" w:rightChars="100"/>
      <w:rPr>
        <w:rStyle w:val="9"/>
        <w:rFonts w:hint="eastAsia"/>
        <w:sz w:val="28"/>
        <w:szCs w:val="28"/>
      </w:rPr>
    </w:pPr>
    <w:r>
      <w:rPr>
        <w:rStyle w:val="9"/>
        <w:rFonts w:hint="eastAsia"/>
        <w:sz w:val="28"/>
        <w:szCs w:val="28"/>
      </w:rPr>
      <w:t xml:space="preserve">— </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38</w:t>
    </w:r>
    <w:r>
      <w:rPr>
        <w:sz w:val="28"/>
        <w:szCs w:val="28"/>
      </w:rPr>
      <w:fldChar w:fldCharType="end"/>
    </w:r>
    <w:r>
      <w:rPr>
        <w:rStyle w:val="9"/>
        <w:rFonts w:hint="eastAsia"/>
        <w:sz w:val="28"/>
        <w:szCs w:val="28"/>
      </w:rPr>
      <w:t xml:space="preserve"> —</w:t>
    </w:r>
  </w:p>
  <w:p>
    <w:pPr>
      <w:pStyle w:val="6"/>
      <w:ind w:right="360" w:firstLine="360"/>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-193675</wp:posOffset>
              </wp:positionV>
              <wp:extent cx="5615940" cy="252095"/>
              <wp:effectExtent l="0" t="0" r="0" b="0"/>
              <wp:wrapNone/>
              <wp:docPr id="1" name="矩形 1"/>
              <wp:cNvGraphicFramePr/>
              <a:graphic xmlns:a="http://schemas.openxmlformats.org/drawingml/2006/main">
                <a:graphicData uri="http://schemas.microsoft.com/office/word/2010/wordprocessingShape">
                  <wps:wsp>
                    <wps:cNvSpPr/>
                    <wps:spPr>
                      <a:xfrm>
                        <a:off x="0" y="0"/>
                        <a:ext cx="5615940" cy="252095"/>
                      </a:xfrm>
                      <a:prstGeom prst="rect">
                        <a:avLst/>
                      </a:prstGeom>
                      <a:noFill/>
                      <a:ln w="9525">
                        <a:noFill/>
                      </a:ln>
                    </wps:spPr>
                    <wps:bodyPr upright="1"/>
                  </wps:wsp>
                </a:graphicData>
              </a:graphic>
            </wp:anchor>
          </w:drawing>
        </mc:Choice>
        <mc:Fallback>
          <w:pict>
            <v:rect id="_x0000_s1026" o:spid="_x0000_s1026" o:spt="1" style="position:absolute;left:0pt;margin-top:-15.25pt;height:19.85pt;width:442.2pt;mso-position-horizontal:center;mso-position-horizontal-relative:margin;z-index:251658240;mso-width-relative:page;mso-height-relative:page;" filled="f" stroked="f" coordsize="21600,21600" o:gfxdata="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C2E6Vn2AAAAAYBAAAPAAAAAAAAAAEAIAAAACIAAABkcnMvZG93bnJldi54bWxQ&#10;SwECFAAUAAAACACHTuJAkTmI6oUBAADxAgAADgAAAAAAAAABACAAAAAnAQAAZHJzL2Uyb0RvYy54&#10;bWxQSwUGAAAAAAYABgBZAQAAHgUAAAAA&#10;">
              <v:fill on="f" focussize="0,0"/>
              <v:stroke on="f"/>
              <v:imagedata o:title=""/>
              <o:lock v:ext="edit" aspectratio="f"/>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Pr>
    </w:pPr>
    <w:r>
      <w:fldChar w:fldCharType="begin"/>
    </w:r>
    <w:r>
      <w:rPr>
        <w:rStyle w:val="9"/>
      </w:rPr>
      <w:instrText xml:space="preserve">PAGE  </w:instrText>
    </w:r>
    <w:r>
      <w:fldChar w:fldCharType="end"/>
    </w:r>
  </w:p>
  <w:p>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snapToGrid w:val="0"/>
        <w:ind w:left="360" w:hanging="360" w:hangingChars="150"/>
        <w:jc w:val="left"/>
        <w:rPr>
          <w:sz w:val="24"/>
        </w:rPr>
      </w:pPr>
      <w:r>
        <w:rPr>
          <w:rStyle w:val="10"/>
          <w:sz w:val="24"/>
          <w:vertAlign w:val="baseline"/>
        </w:rPr>
        <w:footnoteRef/>
      </w:r>
      <w:r>
        <w:rPr>
          <w:sz w:val="24"/>
        </w:rPr>
        <w:t xml:space="preserve"> 本规划是以《国务院关于印发北京、湖南、安徽自由贸易试验区总体方案及浙江自由贸易试验区扩展区域方案的通知》（国发〔2020〕10号）、《浙江省人民政府关于印发中国（浙江）自由贸易试验区深化改革开放实施方案的通知》（浙政发〔2020〕32号）为指导的非区域性规划。</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B4F01"/>
    <w:multiLevelType w:val="multilevel"/>
    <w:tmpl w:val="3F4B4F01"/>
    <w:lvl w:ilvl="0" w:tentative="0">
      <w:start w:val="1"/>
      <w:numFmt w:val="chineseCountingThousand"/>
      <w:pStyle w:val="3"/>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656C4"/>
    <w:rsid w:val="1C6C3196"/>
    <w:rsid w:val="3D4B456F"/>
    <w:rsid w:val="7CD65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rFonts w:ascii="Calibri" w:hAnsi="Calibri" w:eastAsia="宋体"/>
      <w:b/>
      <w:kern w:val="44"/>
      <w:sz w:val="44"/>
      <w:szCs w:val="20"/>
    </w:rPr>
  </w:style>
  <w:style w:type="paragraph" w:styleId="3">
    <w:name w:val="heading 2"/>
    <w:basedOn w:val="1"/>
    <w:next w:val="1"/>
    <w:link w:val="14"/>
    <w:unhideWhenUsed/>
    <w:qFormat/>
    <w:uiPriority w:val="0"/>
    <w:pPr>
      <w:keepNext/>
      <w:keepLines/>
      <w:numPr>
        <w:ilvl w:val="0"/>
        <w:numId w:val="1"/>
      </w:numPr>
      <w:spacing w:line="500" w:lineRule="exact"/>
      <w:outlineLvl w:val="1"/>
    </w:pPr>
    <w:rPr>
      <w:rFonts w:ascii="Arial" w:hAnsi="Arial" w:eastAsia="楷体_GB2312"/>
      <w:bCs/>
      <w:sz w:val="32"/>
      <w:szCs w:val="32"/>
    </w:rPr>
  </w:style>
  <w:style w:type="paragraph" w:styleId="4">
    <w:name w:val="heading 3"/>
    <w:basedOn w:val="1"/>
    <w:next w:val="1"/>
    <w:link w:val="15"/>
    <w:unhideWhenUsed/>
    <w:qFormat/>
    <w:uiPriority w:val="0"/>
    <w:pPr>
      <w:keepNext/>
      <w:keepLines/>
      <w:spacing w:before="260" w:after="260" w:line="416" w:lineRule="auto"/>
      <w:outlineLvl w:val="2"/>
    </w:pPr>
    <w:rPr>
      <w:b/>
      <w:bCs/>
      <w:szCs w:val="32"/>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0"/>
    <w:pPr>
      <w:spacing w:after="120" w:line="360" w:lineRule="auto"/>
      <w:ind w:firstLine="200" w:firstLineChars="200"/>
    </w:pPr>
    <w:rPr>
      <w:sz w:val="2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styleId="10">
    <w:name w:val="footnote reference"/>
    <w:basedOn w:val="8"/>
    <w:uiPriority w:val="0"/>
    <w:rPr>
      <w:vertAlign w:val="superscript"/>
    </w:rPr>
  </w:style>
  <w:style w:type="paragraph" w:customStyle="1" w:styleId="12">
    <w:name w:val="正文首行缩进 21"/>
    <w:qFormat/>
    <w:uiPriority w:val="0"/>
    <w:pPr>
      <w:widowControl w:val="0"/>
      <w:spacing w:after="120"/>
      <w:ind w:left="420" w:leftChars="200"/>
      <w:jc w:val="both"/>
    </w:pPr>
    <w:rPr>
      <w:rFonts w:asciiTheme="minorHAnsi" w:hAnsiTheme="minorHAnsi" w:eastAsiaTheme="minorEastAsia" w:cstheme="minorBidi"/>
      <w:kern w:val="2"/>
      <w:sz w:val="32"/>
      <w:szCs w:val="22"/>
      <w:lang w:val="en-US" w:eastAsia="zh-CN" w:bidi="ar-SA"/>
    </w:rPr>
  </w:style>
  <w:style w:type="character" w:customStyle="1" w:styleId="13">
    <w:name w:val="标题 1 Char"/>
    <w:basedOn w:val="8"/>
    <w:link w:val="2"/>
    <w:qFormat/>
    <w:uiPriority w:val="9"/>
    <w:rPr>
      <w:rFonts w:ascii="Calibri" w:hAnsi="Calibri" w:eastAsia="宋体"/>
      <w:b/>
      <w:kern w:val="44"/>
      <w:sz w:val="44"/>
      <w:szCs w:val="20"/>
    </w:rPr>
  </w:style>
  <w:style w:type="character" w:customStyle="1" w:styleId="14">
    <w:name w:val="标题 2 Char"/>
    <w:basedOn w:val="8"/>
    <w:link w:val="3"/>
    <w:qFormat/>
    <w:uiPriority w:val="9"/>
    <w:rPr>
      <w:rFonts w:ascii="Arial" w:hAnsi="Arial" w:eastAsia="楷体_GB2312"/>
      <w:bCs/>
      <w:sz w:val="32"/>
      <w:szCs w:val="32"/>
    </w:rPr>
  </w:style>
  <w:style w:type="character" w:customStyle="1" w:styleId="15">
    <w:name w:val="标题 3 Char"/>
    <w:basedOn w:val="8"/>
    <w:link w:val="4"/>
    <w:qFormat/>
    <w:uiPriority w:val="9"/>
    <w:rPr>
      <w:b/>
      <w:bCs/>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2021-06-29T17:12:00Z</dcterms:created>
  <dc:creator>chanvictor</dc:creator>
  <cp:lastModifiedBy>☞ZHAO</cp:lastModifiedBy>
  <dcterms:modified xsi:type="dcterms:W3CDTF">2021-07-29T12:21:07Z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