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80" w:lineRule="exact"/>
        <w:jc w:val="center"/>
        <w:textAlignment w:val="auto"/>
        <w:outlineLvl w:val="9"/>
        <w:rPr>
          <w:rFonts w:hint="eastAsia" w:ascii="方正小标宋简体" w:hAnsi="方正小标宋简体" w:eastAsia="方正小标宋简体" w:cs="Times New Roman"/>
          <w:kern w:val="0"/>
          <w:sz w:val="44"/>
          <w:szCs w:val="44"/>
          <w:lang w:val="en-US" w:eastAsia="zh-CN" w:bidi="ar-SA"/>
        </w:rPr>
      </w:pPr>
      <w:r>
        <w:rPr>
          <w:rFonts w:hint="eastAsia" w:ascii="方正小标宋简体" w:hAnsi="方正小标宋简体" w:eastAsia="方正小标宋简体" w:cs="Times New Roman"/>
          <w:kern w:val="0"/>
          <w:sz w:val="44"/>
          <w:szCs w:val="44"/>
          <w:lang w:val="en-US" w:eastAsia="zh-CN" w:bidi="ar-SA"/>
        </w:rPr>
        <w:t>宁波市应急管理局2019年政府信息公开</w:t>
      </w:r>
    </w:p>
    <w:p>
      <w:pPr>
        <w:keepNext w:val="0"/>
        <w:keepLines w:val="0"/>
        <w:pageBreakBefore w:val="0"/>
        <w:kinsoku/>
        <w:wordWrap/>
        <w:overflowPunct/>
        <w:topLinePunct w:val="0"/>
        <w:autoSpaceDE/>
        <w:autoSpaceDN/>
        <w:bidi w:val="0"/>
        <w:spacing w:line="580" w:lineRule="exact"/>
        <w:jc w:val="center"/>
        <w:textAlignment w:val="auto"/>
        <w:outlineLvl w:val="9"/>
        <w:rPr>
          <w:rFonts w:hint="eastAsia" w:ascii="方正小标宋简体" w:hAnsi="方正小标宋简体" w:eastAsia="方正小标宋简体" w:cs="Times New Roman"/>
          <w:kern w:val="0"/>
          <w:sz w:val="44"/>
          <w:szCs w:val="44"/>
          <w:lang w:val="en-US" w:eastAsia="zh-CN" w:bidi="ar-SA"/>
        </w:rPr>
      </w:pPr>
      <w:r>
        <w:rPr>
          <w:rFonts w:hint="eastAsia" w:ascii="方正小标宋简体" w:hAnsi="方正小标宋简体" w:eastAsia="方正小标宋简体" w:cs="Times New Roman"/>
          <w:kern w:val="0"/>
          <w:sz w:val="44"/>
          <w:szCs w:val="44"/>
          <w:lang w:val="en-US" w:eastAsia="zh-CN" w:bidi="ar-SA"/>
        </w:rPr>
        <w:t>工作年度报告</w:t>
      </w:r>
    </w:p>
    <w:p>
      <w:pPr>
        <w:keepNext w:val="0"/>
        <w:keepLines w:val="0"/>
        <w:pageBreakBefore w:val="0"/>
        <w:kinsoku/>
        <w:wordWrap/>
        <w:overflowPunct/>
        <w:topLinePunct w:val="0"/>
        <w:autoSpaceDE/>
        <w:autoSpaceDN/>
        <w:bidi w:val="0"/>
        <w:spacing w:line="580" w:lineRule="exact"/>
        <w:ind w:firstLine="640" w:firstLineChars="200"/>
        <w:jc w:val="both"/>
        <w:textAlignment w:val="auto"/>
        <w:outlineLvl w:val="9"/>
        <w:rPr>
          <w:rFonts w:hint="eastAsia" w:ascii="仿宋_GB2312" w:hAnsi="Times New Roman" w:eastAsia="仿宋_GB2312" w:cs="Times New Roman"/>
          <w:kern w:val="0"/>
          <w:sz w:val="32"/>
          <w:szCs w:val="32"/>
          <w:shd w:val="clear" w:color="auto" w:fill="FFFFFF"/>
          <w:lang w:val="en-US" w:eastAsia="zh-CN" w:bidi="ar"/>
        </w:rPr>
      </w:pPr>
      <w:r>
        <w:rPr>
          <w:rFonts w:hint="eastAsia" w:ascii="仿宋_GB2312" w:hAnsi="Times New Roman" w:eastAsia="仿宋_GB2312" w:cs="Times New Roman"/>
          <w:kern w:val="0"/>
          <w:sz w:val="32"/>
          <w:szCs w:val="32"/>
          <w:shd w:val="clear" w:color="auto" w:fill="FFFFFF"/>
          <w:lang w:val="en-US" w:eastAsia="zh-CN" w:bidi="ar"/>
        </w:rPr>
        <w:t>本年报根据《中华人民共和国政府信息公开条例》（以下简称《条例》），按照2019年度宁波市应急管理局政府信息公开工作实际编制而成。年报由总体情况、主动公开政府信息情况、收到和处理政府信息公开申请情况、政府信息公开行政复议行政诉讼情况、存在的主要问题及改进情况、其他需要报告的事项等六个部分组成，并附相关数据统计。本年报中所列数据统计期限自2019年1月1日起至2019年12月31日止。本年报的电子版可在“宁波市应急管理局”网站（http://yjglj.ningbo.gov.cn/）政府信息公开专栏下载。如对本年报有疑问，请与宁波市应急管理局联系（地址：宁波市鄞州区宁穿路2001号，邮编：315066，电话：0574-89183169）。 </w:t>
      </w:r>
    </w:p>
    <w:p>
      <w:pPr>
        <w:keepNext w:val="0"/>
        <w:keepLines w:val="0"/>
        <w:pageBreakBefore w:val="0"/>
        <w:numPr>
          <w:ilvl w:val="0"/>
          <w:numId w:val="1"/>
        </w:numPr>
        <w:kinsoku/>
        <w:wordWrap/>
        <w:overflowPunct/>
        <w:topLinePunct w:val="0"/>
        <w:autoSpaceDE/>
        <w:autoSpaceDN/>
        <w:bidi w:val="0"/>
        <w:spacing w:line="580" w:lineRule="exact"/>
        <w:ind w:left="722" w:leftChars="0" w:firstLine="0" w:firstLineChars="0"/>
        <w:textAlignment w:val="auto"/>
        <w:outlineLvl w:val="9"/>
        <w:rPr>
          <w:rFonts w:hint="eastAsia" w:ascii="黑体" w:hAnsi="黑体" w:eastAsia="黑体" w:cs="Times New Roman"/>
          <w:kern w:val="0"/>
          <w:sz w:val="32"/>
          <w:szCs w:val="32"/>
          <w:shd w:val="clear" w:color="auto" w:fill="FFFFFF"/>
          <w:lang w:val="en-US" w:eastAsia="zh-CN" w:bidi="ar-SA"/>
        </w:rPr>
      </w:pPr>
      <w:r>
        <w:rPr>
          <w:rFonts w:hint="eastAsia" w:ascii="黑体" w:hAnsi="黑体" w:eastAsia="黑体" w:cs="Times New Roman"/>
          <w:kern w:val="0"/>
          <w:sz w:val="32"/>
          <w:szCs w:val="32"/>
          <w:shd w:val="clear" w:color="auto" w:fill="FFFFFF"/>
          <w:lang w:val="en-US" w:eastAsia="zh-CN" w:bidi="ar-SA"/>
        </w:rPr>
        <w:t>总体情况</w:t>
      </w:r>
    </w:p>
    <w:p>
      <w:pPr>
        <w:pStyle w:val="4"/>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580" w:lineRule="exact"/>
        <w:ind w:right="0" w:firstLine="640" w:firstLineChars="200"/>
        <w:jc w:val="both"/>
        <w:textAlignment w:val="auto"/>
        <w:outlineLvl w:val="9"/>
        <w:rPr>
          <w:rFonts w:hint="eastAsia" w:ascii="仿宋_GB2312" w:hAnsi="Times New Roman" w:eastAsia="仿宋_GB2312" w:cs="Times New Roman"/>
          <w:kern w:val="0"/>
          <w:sz w:val="32"/>
          <w:szCs w:val="32"/>
          <w:shd w:val="clear" w:color="auto" w:fill="FFFFFF"/>
          <w:lang w:val="en-US" w:eastAsia="zh-CN" w:bidi="ar"/>
        </w:rPr>
      </w:pPr>
      <w:r>
        <w:rPr>
          <w:rFonts w:hint="eastAsia" w:ascii="仿宋_GB2312" w:hAnsi="Times New Roman" w:eastAsia="仿宋_GB2312" w:cs="Times New Roman"/>
          <w:kern w:val="0"/>
          <w:sz w:val="32"/>
          <w:szCs w:val="32"/>
          <w:shd w:val="clear" w:color="auto" w:fill="FFFFFF"/>
          <w:lang w:val="en-US" w:eastAsia="zh-CN" w:bidi="ar"/>
        </w:rPr>
        <w:t>2019</w:t>
      </w:r>
      <w:r>
        <w:rPr>
          <w:rFonts w:hint="default" w:ascii="仿宋_GB2312" w:hAnsi="Times New Roman" w:eastAsia="仿宋_GB2312" w:cs="Times New Roman"/>
          <w:kern w:val="0"/>
          <w:sz w:val="32"/>
          <w:szCs w:val="32"/>
          <w:shd w:val="clear" w:color="auto" w:fill="FFFFFF"/>
          <w:lang w:val="en-US" w:eastAsia="zh-CN" w:bidi="ar"/>
        </w:rPr>
        <w:t>年，</w:t>
      </w:r>
      <w:r>
        <w:rPr>
          <w:rFonts w:hint="eastAsia" w:ascii="仿宋_GB2312" w:hAnsi="Times New Roman" w:eastAsia="仿宋_GB2312" w:cs="Times New Roman"/>
          <w:kern w:val="0"/>
          <w:sz w:val="32"/>
          <w:szCs w:val="32"/>
          <w:shd w:val="clear" w:color="auto" w:fill="FFFFFF"/>
          <w:lang w:val="en-US" w:eastAsia="zh-CN" w:bidi="ar"/>
        </w:rPr>
        <w:t>宁波市</w:t>
      </w:r>
      <w:r>
        <w:rPr>
          <w:rFonts w:hint="default" w:ascii="仿宋_GB2312" w:hAnsi="Times New Roman" w:eastAsia="仿宋_GB2312" w:cs="Times New Roman"/>
          <w:kern w:val="0"/>
          <w:sz w:val="32"/>
          <w:szCs w:val="32"/>
          <w:shd w:val="clear" w:color="auto" w:fill="FFFFFF"/>
          <w:lang w:val="en-US" w:eastAsia="zh-CN" w:bidi="ar"/>
        </w:rPr>
        <w:t>应急管理</w:t>
      </w:r>
      <w:r>
        <w:rPr>
          <w:rFonts w:hint="eastAsia" w:ascii="仿宋_GB2312" w:hAnsi="Times New Roman" w:eastAsia="仿宋_GB2312" w:cs="Times New Roman"/>
          <w:kern w:val="0"/>
          <w:sz w:val="32"/>
          <w:szCs w:val="32"/>
          <w:shd w:val="clear" w:color="auto" w:fill="FFFFFF"/>
          <w:lang w:val="en-US" w:eastAsia="zh-CN" w:bidi="ar"/>
        </w:rPr>
        <w:t>局</w:t>
      </w:r>
      <w:r>
        <w:rPr>
          <w:rFonts w:hint="default" w:ascii="仿宋_GB2312" w:hAnsi="Times New Roman" w:eastAsia="仿宋_GB2312" w:cs="Times New Roman"/>
          <w:kern w:val="0"/>
          <w:sz w:val="32"/>
          <w:szCs w:val="32"/>
          <w:shd w:val="clear" w:color="auto" w:fill="FFFFFF"/>
          <w:lang w:val="en-US" w:eastAsia="zh-CN" w:bidi="ar"/>
        </w:rPr>
        <w:t>认真落实党中央、国务院和市委、市政府关于全面推进政务公开工作的系列</w:t>
      </w:r>
      <w:r>
        <w:rPr>
          <w:rFonts w:hint="eastAsia" w:ascii="仿宋_GB2312" w:hAnsi="Times New Roman" w:eastAsia="仿宋_GB2312" w:cs="Times New Roman"/>
          <w:kern w:val="0"/>
          <w:sz w:val="32"/>
          <w:szCs w:val="32"/>
          <w:shd w:val="clear" w:color="auto" w:fill="FFFFFF"/>
          <w:lang w:val="en-US" w:eastAsia="zh-CN" w:bidi="ar"/>
        </w:rPr>
        <w:t>工作</w:t>
      </w:r>
      <w:r>
        <w:rPr>
          <w:rFonts w:hint="default" w:ascii="仿宋_GB2312" w:hAnsi="Times New Roman" w:eastAsia="仿宋_GB2312" w:cs="Times New Roman"/>
          <w:kern w:val="0"/>
          <w:sz w:val="32"/>
          <w:szCs w:val="32"/>
          <w:shd w:val="clear" w:color="auto" w:fill="FFFFFF"/>
          <w:lang w:val="en-US" w:eastAsia="zh-CN" w:bidi="ar"/>
        </w:rPr>
        <w:t>部署,根据《条例》</w:t>
      </w:r>
      <w:r>
        <w:rPr>
          <w:rFonts w:hint="eastAsia" w:ascii="仿宋_GB2312" w:hAnsi="Times New Roman" w:eastAsia="仿宋_GB2312" w:cs="Times New Roman"/>
          <w:kern w:val="0"/>
          <w:sz w:val="32"/>
          <w:szCs w:val="32"/>
          <w:shd w:val="clear" w:color="auto" w:fill="FFFFFF"/>
          <w:lang w:val="en-US" w:eastAsia="zh-CN" w:bidi="ar"/>
        </w:rPr>
        <w:t>和《2019年宁波市政务公开工作要点》（以下简称《要点》）</w:t>
      </w:r>
      <w:r>
        <w:rPr>
          <w:rFonts w:hint="default" w:ascii="仿宋_GB2312" w:hAnsi="Times New Roman" w:eastAsia="仿宋_GB2312" w:cs="Times New Roman"/>
          <w:kern w:val="0"/>
          <w:sz w:val="32"/>
          <w:szCs w:val="32"/>
          <w:shd w:val="clear" w:color="auto" w:fill="FFFFFF"/>
          <w:lang w:val="en-US" w:eastAsia="zh-CN" w:bidi="ar"/>
        </w:rPr>
        <w:t>要求，</w:t>
      </w:r>
      <w:r>
        <w:rPr>
          <w:rFonts w:hint="eastAsia" w:ascii="仿宋_GB2312" w:hAnsi="Times New Roman" w:eastAsia="仿宋_GB2312" w:cs="Times New Roman"/>
          <w:kern w:val="0"/>
          <w:sz w:val="32"/>
          <w:szCs w:val="32"/>
          <w:shd w:val="clear" w:color="auto" w:fill="FFFFFF"/>
          <w:lang w:val="en-US" w:eastAsia="zh-CN" w:bidi="ar"/>
        </w:rPr>
        <w:t>结合本单位实际，</w:t>
      </w:r>
      <w:r>
        <w:rPr>
          <w:rFonts w:hint="default" w:ascii="仿宋_GB2312" w:hAnsi="Times New Roman" w:eastAsia="仿宋_GB2312" w:cs="Times New Roman"/>
          <w:kern w:val="0"/>
          <w:sz w:val="32"/>
          <w:szCs w:val="32"/>
          <w:shd w:val="clear" w:color="auto" w:fill="FFFFFF"/>
          <w:lang w:val="en-US" w:eastAsia="zh-CN" w:bidi="ar"/>
        </w:rPr>
        <w:t>将政务公开的理念贯穿</w:t>
      </w:r>
      <w:r>
        <w:rPr>
          <w:rFonts w:hint="eastAsia" w:ascii="仿宋_GB2312" w:hAnsi="Times New Roman" w:eastAsia="仿宋_GB2312" w:cs="Times New Roman"/>
          <w:kern w:val="0"/>
          <w:sz w:val="32"/>
          <w:szCs w:val="32"/>
          <w:shd w:val="clear" w:color="auto" w:fill="FFFFFF"/>
          <w:lang w:val="en-US" w:eastAsia="zh-CN" w:bidi="ar"/>
        </w:rPr>
        <w:t>年度</w:t>
      </w:r>
      <w:r>
        <w:rPr>
          <w:rFonts w:hint="default" w:ascii="仿宋_GB2312" w:hAnsi="Times New Roman" w:eastAsia="仿宋_GB2312" w:cs="Times New Roman"/>
          <w:kern w:val="0"/>
          <w:sz w:val="32"/>
          <w:szCs w:val="32"/>
          <w:shd w:val="clear" w:color="auto" w:fill="FFFFFF"/>
          <w:lang w:val="en-US" w:eastAsia="zh-CN" w:bidi="ar"/>
        </w:rPr>
        <w:t>工作</w:t>
      </w:r>
      <w:r>
        <w:rPr>
          <w:rFonts w:hint="eastAsia" w:ascii="仿宋_GB2312" w:hAnsi="Times New Roman" w:eastAsia="仿宋_GB2312" w:cs="Times New Roman"/>
          <w:kern w:val="0"/>
          <w:sz w:val="32"/>
          <w:szCs w:val="32"/>
          <w:shd w:val="clear" w:color="auto" w:fill="FFFFFF"/>
          <w:lang w:val="en-US" w:eastAsia="zh-CN" w:bidi="ar"/>
        </w:rPr>
        <w:t>始终</w:t>
      </w:r>
      <w:r>
        <w:rPr>
          <w:rFonts w:hint="default" w:ascii="仿宋_GB2312" w:hAnsi="Times New Roman" w:eastAsia="仿宋_GB2312" w:cs="Times New Roman"/>
          <w:kern w:val="0"/>
          <w:sz w:val="32"/>
          <w:szCs w:val="32"/>
          <w:shd w:val="clear" w:color="auto" w:fill="FFFFFF"/>
          <w:lang w:val="en-US" w:eastAsia="zh-CN" w:bidi="ar"/>
        </w:rPr>
        <w:t>，不断完善工作制度</w:t>
      </w:r>
      <w:r>
        <w:rPr>
          <w:rFonts w:hint="eastAsia" w:ascii="仿宋_GB2312" w:hAnsi="Times New Roman" w:eastAsia="仿宋_GB2312" w:cs="Times New Roman"/>
          <w:kern w:val="0"/>
          <w:sz w:val="32"/>
          <w:szCs w:val="32"/>
          <w:shd w:val="clear" w:color="auto" w:fill="FFFFFF"/>
          <w:lang w:val="en-US" w:eastAsia="zh-CN" w:bidi="ar"/>
        </w:rPr>
        <w:t>、</w:t>
      </w:r>
      <w:r>
        <w:rPr>
          <w:rFonts w:hint="default" w:ascii="仿宋_GB2312" w:hAnsi="Times New Roman" w:eastAsia="仿宋_GB2312" w:cs="Times New Roman"/>
          <w:kern w:val="0"/>
          <w:sz w:val="32"/>
          <w:szCs w:val="32"/>
          <w:shd w:val="clear" w:color="auto" w:fill="FFFFFF"/>
          <w:lang w:val="en-US" w:eastAsia="zh-CN" w:bidi="ar"/>
        </w:rPr>
        <w:t>丰富公开内容</w:t>
      </w:r>
      <w:r>
        <w:rPr>
          <w:rFonts w:hint="eastAsia" w:ascii="仿宋_GB2312" w:hAnsi="Times New Roman" w:eastAsia="仿宋_GB2312" w:cs="Times New Roman"/>
          <w:kern w:val="0"/>
          <w:sz w:val="32"/>
          <w:szCs w:val="32"/>
          <w:shd w:val="clear" w:color="auto" w:fill="FFFFFF"/>
          <w:lang w:val="en-US" w:eastAsia="zh-CN" w:bidi="ar"/>
        </w:rPr>
        <w:t>、</w:t>
      </w:r>
      <w:r>
        <w:rPr>
          <w:rFonts w:hint="default" w:ascii="仿宋_GB2312" w:hAnsi="Times New Roman" w:eastAsia="仿宋_GB2312" w:cs="Times New Roman"/>
          <w:kern w:val="0"/>
          <w:sz w:val="32"/>
          <w:szCs w:val="32"/>
          <w:shd w:val="clear" w:color="auto" w:fill="FFFFFF"/>
          <w:lang w:val="en-US" w:eastAsia="zh-CN" w:bidi="ar"/>
        </w:rPr>
        <w:t>创新工作方式</w:t>
      </w:r>
      <w:r>
        <w:rPr>
          <w:rFonts w:hint="eastAsia" w:ascii="仿宋_GB2312" w:hAnsi="Times New Roman" w:eastAsia="仿宋_GB2312" w:cs="Times New Roman"/>
          <w:kern w:val="0"/>
          <w:sz w:val="32"/>
          <w:szCs w:val="32"/>
          <w:shd w:val="clear" w:color="auto" w:fill="FFFFFF"/>
          <w:lang w:val="en-US" w:eastAsia="zh-CN" w:bidi="ar"/>
        </w:rPr>
        <w:t>、</w:t>
      </w:r>
      <w:r>
        <w:rPr>
          <w:rFonts w:hint="default" w:ascii="仿宋_GB2312" w:hAnsi="Times New Roman" w:eastAsia="仿宋_GB2312" w:cs="Times New Roman"/>
          <w:kern w:val="0"/>
          <w:sz w:val="32"/>
          <w:szCs w:val="32"/>
          <w:shd w:val="clear" w:color="auto" w:fill="FFFFFF"/>
          <w:lang w:val="en-US" w:eastAsia="zh-CN" w:bidi="ar"/>
        </w:rPr>
        <w:t>加强队伍建设</w:t>
      </w:r>
      <w:r>
        <w:rPr>
          <w:rFonts w:hint="eastAsia" w:ascii="仿宋_GB2312" w:hAnsi="Times New Roman" w:eastAsia="仿宋_GB2312" w:cs="Times New Roman"/>
          <w:kern w:val="0"/>
          <w:sz w:val="32"/>
          <w:szCs w:val="32"/>
          <w:shd w:val="clear" w:color="auto" w:fill="FFFFFF"/>
          <w:lang w:val="en-US" w:eastAsia="zh-CN" w:bidi="ar"/>
        </w:rPr>
        <w:t>、优化平台建设、</w:t>
      </w:r>
      <w:r>
        <w:rPr>
          <w:rFonts w:hint="default" w:ascii="仿宋_GB2312" w:hAnsi="Times New Roman" w:eastAsia="仿宋_GB2312" w:cs="Times New Roman"/>
          <w:kern w:val="0"/>
          <w:sz w:val="32"/>
          <w:szCs w:val="32"/>
          <w:shd w:val="clear" w:color="auto" w:fill="FFFFFF"/>
          <w:lang w:val="en-US" w:eastAsia="zh-CN" w:bidi="ar"/>
        </w:rPr>
        <w:t>加强政策解读</w:t>
      </w:r>
      <w:r>
        <w:rPr>
          <w:rFonts w:hint="eastAsia" w:ascii="仿宋_GB2312" w:hAnsi="Times New Roman" w:eastAsia="仿宋_GB2312" w:cs="Times New Roman"/>
          <w:kern w:val="0"/>
          <w:sz w:val="32"/>
          <w:szCs w:val="32"/>
          <w:shd w:val="clear" w:color="auto" w:fill="FFFFFF"/>
          <w:lang w:val="en-US" w:eastAsia="zh-CN" w:bidi="ar"/>
        </w:rPr>
        <w:t>、</w:t>
      </w:r>
      <w:r>
        <w:rPr>
          <w:rFonts w:hint="default" w:ascii="仿宋_GB2312" w:hAnsi="Times New Roman" w:eastAsia="仿宋_GB2312" w:cs="Times New Roman"/>
          <w:kern w:val="0"/>
          <w:sz w:val="32"/>
          <w:szCs w:val="32"/>
          <w:shd w:val="clear" w:color="auto" w:fill="FFFFFF"/>
          <w:lang w:val="en-US" w:eastAsia="zh-CN" w:bidi="ar"/>
        </w:rPr>
        <w:t>扩大公众参与</w:t>
      </w:r>
      <w:r>
        <w:rPr>
          <w:rFonts w:hint="eastAsia" w:ascii="仿宋_GB2312" w:hAnsi="Times New Roman" w:eastAsia="仿宋_GB2312" w:cs="Times New Roman"/>
          <w:kern w:val="0"/>
          <w:sz w:val="32"/>
          <w:szCs w:val="32"/>
          <w:shd w:val="clear" w:color="auto" w:fill="FFFFFF"/>
          <w:lang w:val="en-US" w:eastAsia="zh-CN" w:bidi="ar"/>
        </w:rPr>
        <w:t>、</w:t>
      </w:r>
      <w:r>
        <w:rPr>
          <w:rFonts w:hint="default" w:ascii="仿宋_GB2312" w:hAnsi="Times New Roman" w:eastAsia="仿宋_GB2312" w:cs="Times New Roman"/>
          <w:kern w:val="0"/>
          <w:sz w:val="32"/>
          <w:szCs w:val="32"/>
          <w:shd w:val="clear" w:color="auto" w:fill="FFFFFF"/>
          <w:lang w:val="en-US" w:eastAsia="zh-CN" w:bidi="ar"/>
        </w:rPr>
        <w:t>提升公开实效，政务公开各项工作</w:t>
      </w:r>
      <w:r>
        <w:rPr>
          <w:rFonts w:hint="eastAsia" w:ascii="仿宋_GB2312" w:hAnsi="Times New Roman" w:eastAsia="仿宋_GB2312" w:cs="Times New Roman"/>
          <w:kern w:val="0"/>
          <w:sz w:val="32"/>
          <w:szCs w:val="32"/>
          <w:shd w:val="clear" w:color="auto" w:fill="FFFFFF"/>
          <w:lang w:val="en-US" w:eastAsia="zh-CN" w:bidi="ar"/>
        </w:rPr>
        <w:t>有序有效开展。</w:t>
      </w:r>
    </w:p>
    <w:p>
      <w:pPr>
        <w:pStyle w:val="4"/>
        <w:keepNext w:val="0"/>
        <w:keepLines w:val="0"/>
        <w:pageBreakBefore w:val="0"/>
        <w:widowControl/>
        <w:numPr>
          <w:ilvl w:val="0"/>
          <w:numId w:val="0"/>
        </w:numPr>
        <w:suppressLineNumbers w:val="0"/>
        <w:shd w:val="clear" w:fill="FFFFFF"/>
        <w:kinsoku/>
        <w:wordWrap/>
        <w:overflowPunct/>
        <w:topLinePunct w:val="0"/>
        <w:autoSpaceDE/>
        <w:autoSpaceDN/>
        <w:bidi w:val="0"/>
        <w:spacing w:before="0" w:beforeAutospacing="0" w:after="0" w:afterAutospacing="0" w:line="580" w:lineRule="exact"/>
        <w:ind w:right="0" w:rightChars="0" w:firstLine="640" w:firstLineChars="200"/>
        <w:jc w:val="both"/>
        <w:textAlignment w:val="auto"/>
        <w:outlineLvl w:val="9"/>
        <w:rPr>
          <w:rFonts w:hint="eastAsia" w:ascii="仿宋_GB2312" w:hAnsi="Times New Roman" w:eastAsia="仿宋_GB2312" w:cs="Times New Roman"/>
          <w:kern w:val="0"/>
          <w:sz w:val="32"/>
          <w:szCs w:val="32"/>
          <w:shd w:val="clear" w:color="auto" w:fill="FFFFFF"/>
          <w:lang w:val="en-US" w:eastAsia="zh-CN" w:bidi="ar"/>
        </w:rPr>
      </w:pPr>
      <w:r>
        <w:rPr>
          <w:rFonts w:hint="eastAsia" w:ascii="楷体_GB2312" w:hAnsi="楷体_GB2312" w:eastAsia="楷体_GB2312" w:cs="楷体_GB2312"/>
          <w:b w:val="0"/>
          <w:bCs w:val="0"/>
          <w:kern w:val="0"/>
          <w:sz w:val="32"/>
          <w:szCs w:val="32"/>
          <w:shd w:val="clear" w:color="auto" w:fill="FFFFFF"/>
          <w:lang w:val="en-US" w:eastAsia="zh-CN" w:bidi="ar-SA"/>
        </w:rPr>
        <w:t>（一）强化</w:t>
      </w:r>
      <w:r>
        <w:rPr>
          <w:rFonts w:hint="default" w:ascii="楷体_GB2312" w:hAnsi="楷体_GB2312" w:eastAsia="楷体_GB2312" w:cs="楷体_GB2312"/>
          <w:b w:val="0"/>
          <w:bCs w:val="0"/>
          <w:kern w:val="0"/>
          <w:sz w:val="32"/>
          <w:szCs w:val="32"/>
          <w:shd w:val="clear" w:color="auto" w:fill="FFFFFF"/>
          <w:lang w:val="en-US" w:eastAsia="zh-CN" w:bidi="ar-SA"/>
        </w:rPr>
        <w:t>组织领导。</w:t>
      </w:r>
      <w:r>
        <w:rPr>
          <w:rFonts w:hint="default" w:ascii="仿宋_GB2312" w:hAnsi="Times New Roman" w:eastAsia="仿宋_GB2312" w:cs="Times New Roman"/>
          <w:kern w:val="0"/>
          <w:sz w:val="32"/>
          <w:szCs w:val="32"/>
          <w:shd w:val="clear" w:color="auto" w:fill="FFFFFF"/>
          <w:lang w:val="en-US" w:eastAsia="zh-CN" w:bidi="ar"/>
        </w:rPr>
        <w:t>局</w:t>
      </w:r>
      <w:r>
        <w:rPr>
          <w:rFonts w:hint="eastAsia" w:ascii="仿宋_GB2312" w:hAnsi="Times New Roman" w:eastAsia="仿宋_GB2312" w:cs="Times New Roman"/>
          <w:kern w:val="0"/>
          <w:sz w:val="32"/>
          <w:szCs w:val="32"/>
          <w:shd w:val="clear" w:color="auto" w:fill="FFFFFF"/>
          <w:lang w:val="en-US" w:eastAsia="zh-CN" w:bidi="ar"/>
        </w:rPr>
        <w:t>领导班子</w:t>
      </w:r>
      <w:r>
        <w:rPr>
          <w:rFonts w:hint="default" w:ascii="仿宋_GB2312" w:hAnsi="Times New Roman" w:eastAsia="仿宋_GB2312" w:cs="Times New Roman"/>
          <w:kern w:val="0"/>
          <w:sz w:val="32"/>
          <w:szCs w:val="32"/>
          <w:shd w:val="clear" w:color="auto" w:fill="FFFFFF"/>
          <w:lang w:val="en-US" w:eastAsia="zh-CN" w:bidi="ar"/>
        </w:rPr>
        <w:t>高度重视政府信息公开工作，成立了由</w:t>
      </w:r>
      <w:r>
        <w:rPr>
          <w:rFonts w:hint="eastAsia" w:ascii="仿宋_GB2312" w:hAnsi="Times New Roman" w:eastAsia="仿宋_GB2312" w:cs="Times New Roman"/>
          <w:kern w:val="0"/>
          <w:sz w:val="32"/>
          <w:szCs w:val="32"/>
          <w:shd w:val="clear" w:color="auto" w:fill="FFFFFF"/>
          <w:lang w:val="en-US" w:eastAsia="zh-CN" w:bidi="ar"/>
        </w:rPr>
        <w:t>局长任组长，分管局长任副组长，职能处室负责人任成员</w:t>
      </w:r>
      <w:r>
        <w:rPr>
          <w:rFonts w:hint="default" w:ascii="仿宋_GB2312" w:hAnsi="Times New Roman" w:eastAsia="仿宋_GB2312" w:cs="Times New Roman"/>
          <w:kern w:val="0"/>
          <w:sz w:val="32"/>
          <w:szCs w:val="32"/>
          <w:shd w:val="clear" w:color="auto" w:fill="FFFFFF"/>
          <w:lang w:val="en-US" w:eastAsia="zh-CN" w:bidi="ar"/>
        </w:rPr>
        <w:t>的领导小组</w:t>
      </w:r>
      <w:r>
        <w:rPr>
          <w:rFonts w:hint="eastAsia" w:ascii="仿宋_GB2312" w:hAnsi="Times New Roman" w:eastAsia="仿宋_GB2312" w:cs="Times New Roman"/>
          <w:kern w:val="0"/>
          <w:sz w:val="32"/>
          <w:szCs w:val="32"/>
          <w:shd w:val="clear" w:color="auto" w:fill="FFFFFF"/>
          <w:lang w:val="en-US" w:eastAsia="zh-CN" w:bidi="ar"/>
        </w:rPr>
        <w:t>，充分发挥统筹协调作用，</w:t>
      </w:r>
      <w:r>
        <w:rPr>
          <w:rFonts w:hint="default" w:ascii="仿宋_GB2312" w:hAnsi="Times New Roman" w:eastAsia="仿宋_GB2312" w:cs="Times New Roman"/>
          <w:kern w:val="0"/>
          <w:sz w:val="32"/>
          <w:szCs w:val="32"/>
          <w:shd w:val="clear" w:color="auto" w:fill="FFFFFF"/>
          <w:lang w:val="en-US" w:eastAsia="zh-CN" w:bidi="ar"/>
        </w:rPr>
        <w:t>明确局办公室为牵头处室，将各职能处室作为深化政务公开的中坚力量，形成了办公室协调督办，相关处室密切配合，共同推进政府信息和政务公开工作的</w:t>
      </w:r>
      <w:r>
        <w:rPr>
          <w:rFonts w:hint="eastAsia" w:ascii="仿宋_GB2312" w:hAnsi="Times New Roman" w:eastAsia="仿宋_GB2312" w:cs="Times New Roman"/>
          <w:kern w:val="0"/>
          <w:sz w:val="32"/>
          <w:szCs w:val="32"/>
          <w:shd w:val="clear" w:color="auto" w:fill="FFFFFF"/>
          <w:lang w:val="en-US" w:eastAsia="zh-CN" w:bidi="ar"/>
        </w:rPr>
        <w:t>良好</w:t>
      </w:r>
      <w:bookmarkStart w:id="1" w:name="_GoBack"/>
      <w:bookmarkEnd w:id="1"/>
      <w:r>
        <w:rPr>
          <w:rFonts w:hint="default" w:ascii="仿宋_GB2312" w:hAnsi="Times New Roman" w:eastAsia="仿宋_GB2312" w:cs="Times New Roman"/>
          <w:kern w:val="0"/>
          <w:sz w:val="32"/>
          <w:szCs w:val="32"/>
          <w:shd w:val="clear" w:color="auto" w:fill="FFFFFF"/>
          <w:lang w:val="en-US" w:eastAsia="zh-CN" w:bidi="ar"/>
        </w:rPr>
        <w:t>格局。</w:t>
      </w:r>
      <w:r>
        <w:rPr>
          <w:rFonts w:hint="eastAsia" w:ascii="仿宋_GB2312" w:hAnsi="Times New Roman" w:eastAsia="仿宋_GB2312" w:cs="Times New Roman"/>
          <w:kern w:val="0"/>
          <w:sz w:val="32"/>
          <w:szCs w:val="32"/>
          <w:shd w:val="clear" w:color="auto" w:fill="FFFFFF"/>
          <w:lang w:val="en-US" w:eastAsia="zh-CN" w:bidi="ar"/>
        </w:rPr>
        <w:t>同时，把政务公开工作与应急管理工作、机关效能建设等工作同部署、同考核，形成了上下联动、整体推进的工作新格局和长效机制。</w:t>
      </w:r>
    </w:p>
    <w:p>
      <w:pPr>
        <w:pStyle w:val="4"/>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580" w:lineRule="exact"/>
        <w:ind w:right="0" w:firstLine="640" w:firstLineChars="200"/>
        <w:jc w:val="both"/>
        <w:textAlignment w:val="auto"/>
        <w:outlineLvl w:val="9"/>
        <w:rPr>
          <w:rFonts w:hint="eastAsia" w:ascii="仿宋_GB2312" w:hAnsi="Times New Roman" w:eastAsia="仿宋_GB2312" w:cs="Times New Roman"/>
          <w:kern w:val="0"/>
          <w:sz w:val="32"/>
          <w:szCs w:val="32"/>
          <w:shd w:val="clear" w:color="auto" w:fill="FFFFFF"/>
          <w:lang w:val="en-US" w:eastAsia="zh-CN" w:bidi="ar"/>
        </w:rPr>
      </w:pPr>
      <w:r>
        <w:rPr>
          <w:rFonts w:hint="eastAsia" w:ascii="楷体_GB2312" w:hAnsi="楷体_GB2312" w:eastAsia="楷体_GB2312" w:cs="楷体_GB2312"/>
          <w:b w:val="0"/>
          <w:bCs w:val="0"/>
          <w:kern w:val="0"/>
          <w:sz w:val="32"/>
          <w:szCs w:val="32"/>
          <w:shd w:val="clear" w:color="auto" w:fill="FFFFFF"/>
          <w:lang w:val="en-US" w:eastAsia="zh-CN" w:bidi="ar-SA"/>
        </w:rPr>
        <w:t>（二）加强队伍建设。</w:t>
      </w:r>
      <w:r>
        <w:rPr>
          <w:rFonts w:hint="eastAsia" w:ascii="仿宋_GB2312" w:hAnsi="Times New Roman" w:eastAsia="仿宋_GB2312" w:cs="Times New Roman"/>
          <w:kern w:val="0"/>
          <w:sz w:val="32"/>
          <w:szCs w:val="32"/>
          <w:shd w:val="clear" w:color="auto" w:fill="FFFFFF"/>
          <w:lang w:val="en-US" w:eastAsia="zh-CN" w:bidi="ar"/>
        </w:rPr>
        <w:t>为着力提升政务公开工作整体水平，应机构改革之需，调整充实了市县两级政务公开、新闻发言、信息、宣传、网评员队伍库。以专题会议和业务培训形式，研究、部署、推进政务公开具体工作，确保全年度各项政务公开工作高效、务实、有序开展。结合工作实际，以新修订的《条例》解读、依申请公开办理规定、保密审查以及政府网站管理等业务，全年组织召开1次政府信息公开工作专题会议，举办1次培训班，80余人次参加培训。</w:t>
      </w:r>
    </w:p>
    <w:p>
      <w:pPr>
        <w:pStyle w:val="4"/>
        <w:keepNext w:val="0"/>
        <w:keepLines w:val="0"/>
        <w:pageBreakBefore w:val="0"/>
        <w:widowControl/>
        <w:numPr>
          <w:ilvl w:val="0"/>
          <w:numId w:val="0"/>
        </w:numPr>
        <w:suppressLineNumbers w:val="0"/>
        <w:shd w:val="clear" w:fill="FFFFFF"/>
        <w:kinsoku/>
        <w:wordWrap/>
        <w:overflowPunct/>
        <w:topLinePunct w:val="0"/>
        <w:autoSpaceDE/>
        <w:autoSpaceDN/>
        <w:bidi w:val="0"/>
        <w:spacing w:before="0" w:beforeAutospacing="0" w:after="0" w:afterAutospacing="0" w:line="580" w:lineRule="exact"/>
        <w:ind w:right="0" w:rightChars="0" w:firstLine="640" w:firstLineChars="200"/>
        <w:jc w:val="both"/>
        <w:textAlignment w:val="auto"/>
        <w:outlineLvl w:val="9"/>
        <w:rPr>
          <w:rFonts w:hint="eastAsia" w:ascii="仿宋_GB2312" w:hAnsi="Times New Roman" w:eastAsia="仿宋_GB2312" w:cs="Times New Roman"/>
          <w:kern w:val="0"/>
          <w:sz w:val="32"/>
          <w:szCs w:val="32"/>
          <w:shd w:val="clear" w:color="auto" w:fill="FFFFFF"/>
          <w:lang w:val="en-US" w:eastAsia="zh-CN" w:bidi="ar"/>
        </w:rPr>
      </w:pPr>
      <w:r>
        <w:rPr>
          <w:rFonts w:hint="eastAsia" w:ascii="楷体_GB2312" w:hAnsi="楷体_GB2312" w:eastAsia="楷体_GB2312" w:cs="楷体_GB2312"/>
          <w:b w:val="0"/>
          <w:bCs w:val="0"/>
          <w:kern w:val="0"/>
          <w:sz w:val="32"/>
          <w:szCs w:val="32"/>
          <w:shd w:val="clear" w:color="auto" w:fill="FFFFFF"/>
          <w:lang w:val="en-US" w:eastAsia="zh-CN" w:bidi="ar-SA"/>
        </w:rPr>
        <w:t>（三）拓展公开渠道。</w:t>
      </w:r>
      <w:r>
        <w:rPr>
          <w:rFonts w:hint="eastAsia" w:ascii="仿宋_GB2312" w:hAnsi="Times New Roman" w:eastAsia="仿宋_GB2312" w:cs="Times New Roman"/>
          <w:kern w:val="0"/>
          <w:sz w:val="32"/>
          <w:szCs w:val="32"/>
          <w:shd w:val="clear" w:color="auto" w:fill="FFFFFF"/>
          <w:lang w:val="en-US" w:eastAsia="zh-CN" w:bidi="ar"/>
        </w:rPr>
        <w:t>充分发挥门户网站公开“主渠道”作用，改版栏目设置，及时发布政务类、办事类、服务类等信息，运用智能搜索功能实现信息检索、利用一体化，有效保障公众知情权、参与权和监督权。有效发挥政务微博微信“新阵地”作用，不断扩大政务公开影响力，官方微信设有微门户、微服务、微互动等多个板块，官方微信时时普及安全生产、防灾减灾知识。高效发挥实体窗口“深服务”作用，实现网上办事大厅与实体政务大厅办事服务信息同源管理，助理人民群众办理事项“最多跑一次”。</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outlineLvl w:val="9"/>
        <w:rPr>
          <w:rFonts w:hint="eastAsia" w:ascii="仿宋_GB2312" w:hAnsi="Times New Roman" w:eastAsia="仿宋_GB2312" w:cs="Times New Roman"/>
          <w:kern w:val="0"/>
          <w:sz w:val="32"/>
          <w:szCs w:val="32"/>
          <w:shd w:val="clear" w:color="auto" w:fill="FFFFFF"/>
          <w:lang w:val="en-US" w:eastAsia="zh-CN" w:bidi="ar"/>
        </w:rPr>
      </w:pPr>
      <w:r>
        <w:rPr>
          <w:rFonts w:hint="eastAsia" w:ascii="楷体_GB2312" w:hAnsi="楷体_GB2312" w:eastAsia="楷体_GB2312" w:cs="楷体_GB2312"/>
          <w:b w:val="0"/>
          <w:bCs w:val="0"/>
          <w:kern w:val="0"/>
          <w:sz w:val="32"/>
          <w:szCs w:val="32"/>
          <w:shd w:val="clear" w:color="auto" w:fill="FFFFFF"/>
          <w:lang w:val="en-US" w:eastAsia="zh-CN" w:bidi="ar-SA"/>
        </w:rPr>
        <w:t>（四）加大公开力度。</w:t>
      </w:r>
      <w:r>
        <w:rPr>
          <w:rFonts w:hint="eastAsia" w:ascii="仿宋_GB2312" w:hAnsi="Times New Roman" w:eastAsia="仿宋_GB2312" w:cs="Times New Roman"/>
          <w:kern w:val="0"/>
          <w:sz w:val="32"/>
          <w:szCs w:val="32"/>
          <w:shd w:val="clear" w:color="auto" w:fill="FFFFFF"/>
          <w:lang w:val="en-US" w:eastAsia="zh-CN" w:bidi="ar"/>
        </w:rPr>
        <w:t>强化预警预防信息发布，在梅汛期、台风季时，通过网站、双微平台及各级媒体提前对5次台风和17次极端天气发布预警、响应信息。完善生产安全事故信息公开机制，在局门户网站设有事故快报、事故通报和统计分析专栏。结合应急管理工作实际，通过网站、民生e点通、微博、微信等平台回应公众关注热点82次，举办新闻通气会1次，网站在线访谈5次。</w:t>
      </w:r>
    </w:p>
    <w:p>
      <w:pPr>
        <w:pStyle w:val="4"/>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580" w:lineRule="exact"/>
        <w:ind w:left="0" w:right="0" w:firstLine="420"/>
        <w:jc w:val="both"/>
        <w:textAlignment w:val="auto"/>
        <w:outlineLvl w:val="9"/>
        <w:rPr>
          <w:rFonts w:hint="eastAsia" w:ascii="仿宋_GB2312" w:hAnsi="Times New Roman" w:eastAsia="仿宋_GB2312" w:cs="Times New Roman"/>
          <w:kern w:val="0"/>
          <w:sz w:val="32"/>
          <w:szCs w:val="32"/>
          <w:shd w:val="clear" w:color="auto" w:fill="FFFFFF"/>
          <w:lang w:val="en-US" w:eastAsia="zh-CN" w:bidi="ar"/>
        </w:rPr>
      </w:pPr>
      <w:r>
        <w:rPr>
          <w:rFonts w:hint="eastAsia" w:ascii="楷体_GB2312" w:hAnsi="楷体_GB2312" w:eastAsia="楷体_GB2312" w:cs="楷体_GB2312"/>
          <w:b w:val="0"/>
          <w:bCs w:val="0"/>
          <w:kern w:val="0"/>
          <w:sz w:val="32"/>
          <w:szCs w:val="32"/>
          <w:shd w:val="clear" w:color="auto" w:fill="FFFFFF"/>
          <w:lang w:val="en-US" w:eastAsia="zh-CN" w:bidi="ar-SA"/>
        </w:rPr>
        <w:t>（五）加强政策解读。</w:t>
      </w:r>
      <w:r>
        <w:rPr>
          <w:rFonts w:hint="eastAsia" w:ascii="仿宋_GB2312" w:hAnsi="Times New Roman" w:eastAsia="仿宋_GB2312" w:cs="Times New Roman"/>
          <w:kern w:val="0"/>
          <w:sz w:val="32"/>
          <w:szCs w:val="32"/>
          <w:shd w:val="clear" w:color="auto" w:fill="FFFFFF"/>
          <w:lang w:val="en-US" w:eastAsia="zh-CN" w:bidi="ar"/>
        </w:rPr>
        <w:t>坚持“</w:t>
      </w:r>
      <w:r>
        <w:rPr>
          <w:rFonts w:hint="default" w:ascii="仿宋_GB2312" w:hAnsi="Times New Roman" w:eastAsia="仿宋_GB2312" w:cs="Times New Roman"/>
          <w:kern w:val="0"/>
          <w:sz w:val="32"/>
          <w:szCs w:val="32"/>
          <w:shd w:val="clear" w:color="auto" w:fill="FFFFFF"/>
          <w:lang w:val="en-US" w:eastAsia="zh-CN" w:bidi="ar"/>
        </w:rPr>
        <w:t>谁起草、谁解读，谁解读、谁负责</w:t>
      </w:r>
      <w:r>
        <w:rPr>
          <w:rFonts w:hint="eastAsia" w:ascii="仿宋_GB2312" w:hAnsi="Times New Roman" w:eastAsia="仿宋_GB2312" w:cs="Times New Roman"/>
          <w:kern w:val="0"/>
          <w:sz w:val="32"/>
          <w:szCs w:val="32"/>
          <w:shd w:val="clear" w:color="auto" w:fill="FFFFFF"/>
          <w:lang w:val="en-US" w:eastAsia="zh-CN" w:bidi="ar"/>
        </w:rPr>
        <w:t>”</w:t>
      </w:r>
      <w:r>
        <w:rPr>
          <w:rFonts w:hint="default" w:ascii="仿宋_GB2312" w:hAnsi="Times New Roman" w:eastAsia="仿宋_GB2312" w:cs="Times New Roman"/>
          <w:kern w:val="0"/>
          <w:sz w:val="32"/>
          <w:szCs w:val="32"/>
          <w:shd w:val="clear" w:color="auto" w:fill="FFFFFF"/>
          <w:lang w:val="en-US" w:eastAsia="zh-CN" w:bidi="ar"/>
        </w:rPr>
        <w:t>的原则</w:t>
      </w:r>
      <w:r>
        <w:rPr>
          <w:rFonts w:hint="eastAsia" w:ascii="仿宋_GB2312" w:hAnsi="Times New Roman" w:eastAsia="仿宋_GB2312" w:cs="Times New Roman"/>
          <w:kern w:val="0"/>
          <w:sz w:val="32"/>
          <w:szCs w:val="32"/>
          <w:shd w:val="clear" w:color="auto" w:fill="FFFFFF"/>
          <w:lang w:val="en-US" w:eastAsia="zh-CN" w:bidi="ar"/>
        </w:rPr>
        <w:t>，由相关责任处（室）通过媒体通气会、新闻报道、双微图解、数说等形式对烟花爆竹安全管理工作、企业安全生产信用管理、企业安全生产承诺履诺公示管理、社会救援力量发展等政策以及《宁波市禁止、限制和控制危险化学品目录（试行）》等进行公开、权威、形象解读，及时准确传递政策意图。局主要负责人和分管负责人认真履行信息发布、权威定调、自觉把关职责。</w:t>
      </w:r>
    </w:p>
    <w:p>
      <w:pPr>
        <w:keepNext w:val="0"/>
        <w:keepLines w:val="0"/>
        <w:pageBreakBefore w:val="0"/>
        <w:numPr>
          <w:ilvl w:val="0"/>
          <w:numId w:val="1"/>
        </w:numPr>
        <w:kinsoku/>
        <w:wordWrap/>
        <w:overflowPunct/>
        <w:topLinePunct w:val="0"/>
        <w:autoSpaceDE/>
        <w:autoSpaceDN/>
        <w:bidi w:val="0"/>
        <w:spacing w:line="580" w:lineRule="exact"/>
        <w:ind w:left="722" w:leftChars="0" w:firstLine="0" w:firstLineChars="0"/>
        <w:textAlignment w:val="auto"/>
        <w:outlineLvl w:val="9"/>
        <w:rPr>
          <w:rFonts w:hint="eastAsia" w:ascii="黑体" w:hAnsi="黑体" w:eastAsia="黑体" w:cs="Times New Roman"/>
          <w:kern w:val="0"/>
          <w:sz w:val="32"/>
          <w:szCs w:val="32"/>
          <w:shd w:val="clear" w:color="auto" w:fill="FFFFFF"/>
          <w:lang w:val="en-US" w:eastAsia="zh-CN" w:bidi="ar-SA"/>
        </w:rPr>
      </w:pPr>
      <w:r>
        <w:rPr>
          <w:rFonts w:hint="eastAsia" w:ascii="黑体" w:hAnsi="黑体" w:eastAsia="黑体" w:cs="Times New Roman"/>
          <w:kern w:val="0"/>
          <w:sz w:val="32"/>
          <w:szCs w:val="32"/>
          <w:shd w:val="clear" w:color="auto" w:fill="FFFFFF"/>
          <w:lang w:val="en-US" w:eastAsia="zh-CN" w:bidi="ar-SA"/>
        </w:rPr>
        <w:t>主动公开政府信息情况</w:t>
      </w:r>
    </w:p>
    <w:p>
      <w:pPr>
        <w:keepNext w:val="0"/>
        <w:keepLines w:val="0"/>
        <w:pageBreakBefore w:val="0"/>
        <w:numPr>
          <w:ilvl w:val="0"/>
          <w:numId w:val="0"/>
        </w:numPr>
        <w:kinsoku/>
        <w:wordWrap/>
        <w:overflowPunct/>
        <w:topLinePunct w:val="0"/>
        <w:autoSpaceDE/>
        <w:autoSpaceDN/>
        <w:bidi w:val="0"/>
        <w:spacing w:line="580" w:lineRule="exact"/>
        <w:ind w:firstLine="640" w:firstLineChars="200"/>
        <w:textAlignment w:val="auto"/>
        <w:outlineLvl w:val="9"/>
        <w:rPr>
          <w:rFonts w:hint="eastAsia" w:ascii="仿宋_GB2312" w:hAnsi="Times New Roman" w:eastAsia="仿宋_GB2312" w:cs="Times New Roman"/>
          <w:kern w:val="0"/>
          <w:sz w:val="32"/>
          <w:szCs w:val="32"/>
          <w:shd w:val="clear" w:color="auto" w:fill="FFFFFF"/>
          <w:lang w:val="en-US" w:eastAsia="zh-CN" w:bidi="ar"/>
        </w:rPr>
      </w:pPr>
      <w:r>
        <w:rPr>
          <w:rFonts w:hint="eastAsia" w:ascii="仿宋_GB2312" w:hAnsi="Times New Roman" w:eastAsia="仿宋_GB2312" w:cs="Times New Roman"/>
          <w:kern w:val="0"/>
          <w:sz w:val="32"/>
          <w:szCs w:val="32"/>
          <w:shd w:val="clear" w:color="auto" w:fill="FFFFFF"/>
          <w:lang w:val="en-US" w:eastAsia="zh-CN" w:bidi="ar"/>
        </w:rPr>
        <w:t>2019年，宁波市应急管理局通过不同渠道和方式主动公开各类政府信息4970条，其中，主动公开规范性文件1份，在政府公报上发布政府信息1条，门户网站发布政府信息4970条，政务微博发布政府信息159条，政务微信发布政府信息147条，此外，尚有大量政府信息通过其他多种渠道向社会公众公开。在政府信息公开前，我局都对拟公开信息的保密安全性进行审核，属主动公开的政府信息都在第一时间发布，公开的信息归类正确，内容完整，全年未发生公开信息与实际应公开内容明显不符的事件，也没有发生泄密或影响社会稳定的事件。</w:t>
      </w:r>
    </w:p>
    <w:tbl>
      <w:tblPr>
        <w:tblStyle w:val="6"/>
        <w:tblW w:w="8140" w:type="dxa"/>
        <w:jc w:val="center"/>
        <w:tblInd w:w="-10" w:type="dxa"/>
        <w:tblLayout w:type="fixed"/>
        <w:tblCellMar>
          <w:top w:w="0" w:type="dxa"/>
          <w:left w:w="0" w:type="dxa"/>
          <w:bottom w:w="0" w:type="dxa"/>
          <w:right w:w="0" w:type="dxa"/>
        </w:tblCellMar>
      </w:tblPr>
      <w:tblGrid>
        <w:gridCol w:w="3113"/>
        <w:gridCol w:w="1875"/>
        <w:gridCol w:w="6"/>
        <w:gridCol w:w="1265"/>
        <w:gridCol w:w="1881"/>
      </w:tblGrid>
      <w:tr>
        <w:tblPrEx>
          <w:tblLayout w:type="fixed"/>
          <w:tblCellMar>
            <w:top w:w="0" w:type="dxa"/>
            <w:left w:w="0" w:type="dxa"/>
            <w:bottom w:w="0" w:type="dxa"/>
            <w:right w:w="0" w:type="dxa"/>
          </w:tblCellMar>
        </w:tblPrEx>
        <w:trPr>
          <w:trHeight w:val="420" w:hRule="exac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sz w:val="21"/>
                <w:szCs w:val="21"/>
              </w:rPr>
            </w:pPr>
            <w:r>
              <w:rPr>
                <w:rFonts w:hint="eastAsia"/>
                <w:sz w:val="21"/>
                <w:szCs w:val="21"/>
                <w:lang w:val="en-US" w:eastAsia="zh-CN"/>
              </w:rPr>
              <w:t>第二十条第（一）项</w:t>
            </w:r>
          </w:p>
        </w:tc>
      </w:tr>
      <w:tr>
        <w:tblPrEx>
          <w:tblLayout w:type="fixed"/>
          <w:tblCellMar>
            <w:top w:w="0" w:type="dxa"/>
            <w:left w:w="0" w:type="dxa"/>
            <w:bottom w:w="0" w:type="dxa"/>
            <w:right w:w="0" w:type="dxa"/>
          </w:tblCellMar>
        </w:tblPrEx>
        <w:trPr>
          <w:trHeight w:val="595" w:hRule="exac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sz w:val="21"/>
                <w:szCs w:val="21"/>
              </w:rPr>
            </w:pPr>
            <w:r>
              <w:rPr>
                <w:rFonts w:hint="eastAsia"/>
                <w:sz w:val="21"/>
                <w:szCs w:val="21"/>
                <w:lang w:val="en-US" w:eastAsia="zh-CN"/>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sz w:val="21"/>
                <w:szCs w:val="21"/>
              </w:rPr>
            </w:pPr>
            <w:r>
              <w:rPr>
                <w:rFonts w:hint="eastAsia"/>
                <w:sz w:val="21"/>
                <w:szCs w:val="21"/>
                <w:lang w:val="en-US" w:eastAsia="zh-CN"/>
              </w:rPr>
              <w:t>本年新</w:t>
            </w:r>
            <w:r>
              <w:rPr>
                <w:rFonts w:hint="eastAsia"/>
                <w:sz w:val="21"/>
                <w:szCs w:val="21"/>
                <w:lang w:val="en-US" w:eastAsia="zh-CN"/>
              </w:rPr>
              <w:br w:type="textWrapping"/>
            </w:r>
            <w:r>
              <w:rPr>
                <w:rFonts w:hint="eastAsia"/>
                <w:sz w:val="21"/>
                <w:szCs w:val="21"/>
                <w:lang w:val="en-US" w:eastAsia="zh-CN"/>
              </w:rPr>
              <w:t>制作数量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sz w:val="21"/>
                <w:szCs w:val="21"/>
              </w:rPr>
            </w:pPr>
            <w:r>
              <w:rPr>
                <w:rFonts w:hint="eastAsia"/>
                <w:sz w:val="21"/>
                <w:szCs w:val="21"/>
                <w:lang w:val="en-US" w:eastAsia="zh-CN"/>
              </w:rPr>
              <w:t>本年新</w:t>
            </w:r>
            <w:r>
              <w:rPr>
                <w:rFonts w:hint="eastAsia"/>
                <w:sz w:val="21"/>
                <w:szCs w:val="21"/>
                <w:lang w:val="en-US" w:eastAsia="zh-CN"/>
              </w:rPr>
              <w:br w:type="textWrapping"/>
            </w:r>
            <w:r>
              <w:rPr>
                <w:rFonts w:hint="eastAsia"/>
                <w:sz w:val="21"/>
                <w:szCs w:val="21"/>
                <w:lang w:val="en-US" w:eastAsia="zh-CN"/>
              </w:rPr>
              <w:t>公开数量</w:t>
            </w:r>
          </w:p>
        </w:tc>
        <w:tc>
          <w:tcPr>
            <w:tcW w:w="188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sz w:val="21"/>
                <w:szCs w:val="21"/>
              </w:rPr>
            </w:pPr>
            <w:r>
              <w:rPr>
                <w:rFonts w:hint="eastAsia"/>
                <w:sz w:val="21"/>
                <w:szCs w:val="21"/>
                <w:lang w:val="en-US" w:eastAsia="zh-CN"/>
              </w:rPr>
              <w:t>对外公开总数量</w:t>
            </w:r>
          </w:p>
        </w:tc>
      </w:tr>
      <w:tr>
        <w:tblPrEx>
          <w:tblLayout w:type="fixed"/>
          <w:tblCellMar>
            <w:top w:w="0" w:type="dxa"/>
            <w:left w:w="0" w:type="dxa"/>
            <w:bottom w:w="0" w:type="dxa"/>
            <w:right w:w="0" w:type="dxa"/>
          </w:tblCellMar>
        </w:tblPrEx>
        <w:trPr>
          <w:trHeight w:val="420" w:hRule="exac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sz w:val="21"/>
                <w:szCs w:val="21"/>
              </w:rPr>
            </w:pPr>
            <w:r>
              <w:rPr>
                <w:rFonts w:hint="eastAsia"/>
                <w:sz w:val="21"/>
                <w:szCs w:val="21"/>
                <w:lang w:val="en-US" w:eastAsia="zh-CN"/>
              </w:rPr>
              <w:t>规章</w:t>
            </w:r>
          </w:p>
        </w:tc>
        <w:tc>
          <w:tcPr>
            <w:tcW w:w="187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sz w:val="21"/>
                <w:szCs w:val="21"/>
                <w:lang w:val="en-US" w:eastAsia="zh-CN"/>
              </w:rPr>
            </w:pPr>
            <w:r>
              <w:rPr>
                <w:rFonts w:hint="eastAsia"/>
                <w:sz w:val="21"/>
                <w:szCs w:val="21"/>
                <w:lang w:val="en-US" w:eastAsia="zh-CN"/>
              </w:rPr>
              <w:t>0</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sz w:val="21"/>
                <w:szCs w:val="21"/>
                <w:lang w:val="en-US" w:eastAsia="zh-CN"/>
              </w:rPr>
            </w:pPr>
            <w:r>
              <w:rPr>
                <w:rFonts w:hint="eastAsia"/>
                <w:sz w:val="21"/>
                <w:szCs w:val="21"/>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sz w:val="21"/>
                <w:szCs w:val="21"/>
                <w:lang w:val="en-US" w:eastAsia="zh-CN"/>
              </w:rPr>
            </w:pPr>
            <w:r>
              <w:rPr>
                <w:rFonts w:hint="eastAsia"/>
                <w:sz w:val="21"/>
                <w:szCs w:val="21"/>
                <w:lang w:val="en-US" w:eastAsia="zh-CN"/>
              </w:rPr>
              <w:t>0</w:t>
            </w:r>
          </w:p>
        </w:tc>
      </w:tr>
      <w:tr>
        <w:tblPrEx>
          <w:tblLayout w:type="fixed"/>
          <w:tblCellMar>
            <w:top w:w="0" w:type="dxa"/>
            <w:left w:w="0" w:type="dxa"/>
            <w:bottom w:w="0" w:type="dxa"/>
            <w:right w:w="0" w:type="dxa"/>
          </w:tblCellMar>
        </w:tblPrEx>
        <w:trPr>
          <w:trHeight w:val="420" w:hRule="exac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sz w:val="21"/>
                <w:szCs w:val="21"/>
              </w:rPr>
            </w:pPr>
            <w:r>
              <w:rPr>
                <w:rFonts w:hint="eastAsia"/>
                <w:sz w:val="21"/>
                <w:szCs w:val="21"/>
                <w:lang w:val="en-US" w:eastAsia="zh-CN"/>
              </w:rPr>
              <w:t>规范性文件</w:t>
            </w:r>
          </w:p>
        </w:tc>
        <w:tc>
          <w:tcPr>
            <w:tcW w:w="187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sz w:val="21"/>
                <w:szCs w:val="21"/>
                <w:lang w:val="en-US" w:eastAsia="zh-CN"/>
              </w:rPr>
            </w:pPr>
            <w:r>
              <w:rPr>
                <w:rFonts w:hint="eastAsia"/>
                <w:sz w:val="21"/>
                <w:szCs w:val="21"/>
                <w:lang w:val="en-US" w:eastAsia="zh-CN"/>
              </w:rPr>
              <w:t>1</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sz w:val="21"/>
                <w:szCs w:val="21"/>
                <w:lang w:val="en-US" w:eastAsia="zh-CN"/>
              </w:rPr>
            </w:pPr>
            <w:r>
              <w:rPr>
                <w:rFonts w:hint="eastAsia"/>
                <w:sz w:val="21"/>
                <w:szCs w:val="21"/>
                <w:lang w:val="en-US" w:eastAsia="zh-CN"/>
              </w:rPr>
              <w:t>1</w:t>
            </w:r>
          </w:p>
        </w:tc>
        <w:tc>
          <w:tcPr>
            <w:tcW w:w="188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sz w:val="21"/>
                <w:szCs w:val="21"/>
                <w:lang w:val="en-US" w:eastAsia="zh-CN"/>
              </w:rPr>
            </w:pPr>
            <w:r>
              <w:rPr>
                <w:rFonts w:hint="eastAsia"/>
                <w:sz w:val="21"/>
                <w:szCs w:val="21"/>
                <w:lang w:val="en-US" w:eastAsia="zh-CN"/>
              </w:rPr>
              <w:t>1</w:t>
            </w:r>
          </w:p>
        </w:tc>
      </w:tr>
      <w:tr>
        <w:tblPrEx>
          <w:tblLayout w:type="fixed"/>
          <w:tblCellMar>
            <w:top w:w="0" w:type="dxa"/>
            <w:left w:w="0" w:type="dxa"/>
            <w:bottom w:w="0" w:type="dxa"/>
            <w:right w:w="0" w:type="dxa"/>
          </w:tblCellMar>
        </w:tblPrEx>
        <w:trPr>
          <w:trHeight w:val="420" w:hRule="exac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sz w:val="21"/>
                <w:szCs w:val="21"/>
              </w:rPr>
            </w:pPr>
            <w:r>
              <w:rPr>
                <w:rFonts w:hint="eastAsia"/>
                <w:sz w:val="21"/>
                <w:szCs w:val="21"/>
                <w:lang w:val="en-US" w:eastAsia="zh-CN"/>
              </w:rPr>
              <w:t>第二十条第（五）项</w:t>
            </w:r>
          </w:p>
        </w:tc>
      </w:tr>
      <w:tr>
        <w:tblPrEx>
          <w:tblLayout w:type="fixed"/>
          <w:tblCellMar>
            <w:top w:w="0" w:type="dxa"/>
            <w:left w:w="0" w:type="dxa"/>
            <w:bottom w:w="0" w:type="dxa"/>
            <w:right w:w="0" w:type="dxa"/>
          </w:tblCellMar>
        </w:tblPrEx>
        <w:trPr>
          <w:trHeight w:val="420" w:hRule="exac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sz w:val="21"/>
                <w:szCs w:val="21"/>
              </w:rPr>
            </w:pPr>
            <w:r>
              <w:rPr>
                <w:rFonts w:hint="eastAsia"/>
                <w:sz w:val="21"/>
                <w:szCs w:val="21"/>
                <w:lang w:val="en-US" w:eastAsia="zh-CN"/>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sz w:val="21"/>
                <w:szCs w:val="21"/>
              </w:rPr>
            </w:pPr>
            <w:r>
              <w:rPr>
                <w:rFonts w:hint="eastAsia"/>
                <w:sz w:val="21"/>
                <w:szCs w:val="21"/>
                <w:lang w:val="en-US" w:eastAsia="zh-CN"/>
              </w:rPr>
              <w:t>上一年项目数量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sz w:val="21"/>
                <w:szCs w:val="21"/>
              </w:rPr>
            </w:pPr>
            <w:r>
              <w:rPr>
                <w:rFonts w:hint="eastAsia"/>
                <w:sz w:val="21"/>
                <w:szCs w:val="21"/>
                <w:lang w:val="en-US" w:eastAsia="zh-CN"/>
              </w:rPr>
              <w:t>本年增/减</w:t>
            </w:r>
          </w:p>
        </w:tc>
        <w:tc>
          <w:tcPr>
            <w:tcW w:w="188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sz w:val="21"/>
                <w:szCs w:val="21"/>
              </w:rPr>
            </w:pPr>
            <w:r>
              <w:rPr>
                <w:rFonts w:hint="eastAsia"/>
                <w:sz w:val="21"/>
                <w:szCs w:val="21"/>
                <w:lang w:val="en-US" w:eastAsia="zh-CN"/>
              </w:rPr>
              <w:t>处理决定数量</w:t>
            </w:r>
          </w:p>
        </w:tc>
      </w:tr>
      <w:tr>
        <w:tblPrEx>
          <w:tblLayout w:type="fixed"/>
          <w:tblCellMar>
            <w:top w:w="0" w:type="dxa"/>
            <w:left w:w="0" w:type="dxa"/>
            <w:bottom w:w="0" w:type="dxa"/>
            <w:right w:w="0" w:type="dxa"/>
          </w:tblCellMar>
        </w:tblPrEx>
        <w:trPr>
          <w:trHeight w:val="420" w:hRule="exac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sz w:val="21"/>
                <w:szCs w:val="21"/>
              </w:rPr>
            </w:pPr>
            <w:r>
              <w:rPr>
                <w:rFonts w:hint="eastAsia"/>
                <w:sz w:val="21"/>
                <w:szCs w:val="21"/>
                <w:lang w:val="en-US" w:eastAsia="zh-CN"/>
              </w:rPr>
              <w:t>行政许可</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sz w:val="21"/>
                <w:szCs w:val="21"/>
                <w:lang w:val="en-US" w:eastAsia="zh-CN"/>
              </w:rPr>
            </w:pPr>
            <w:r>
              <w:rPr>
                <w:rFonts w:hint="eastAsia"/>
                <w:sz w:val="21"/>
                <w:szCs w:val="21"/>
                <w:lang w:val="en-US" w:eastAsia="zh-CN"/>
              </w:rPr>
              <w:t>148</w:t>
            </w:r>
          </w:p>
        </w:tc>
        <w:tc>
          <w:tcPr>
            <w:tcW w:w="126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sz w:val="21"/>
                <w:szCs w:val="21"/>
                <w:lang w:val="en-US" w:eastAsia="zh-CN"/>
              </w:rPr>
            </w:pPr>
            <w:r>
              <w:rPr>
                <w:rFonts w:hint="eastAsia"/>
                <w:sz w:val="21"/>
                <w:szCs w:val="21"/>
                <w:lang w:val="en-US" w:eastAsia="zh-CN"/>
              </w:rPr>
              <w:t>-85</w:t>
            </w:r>
          </w:p>
        </w:tc>
        <w:tc>
          <w:tcPr>
            <w:tcW w:w="188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sz w:val="21"/>
                <w:szCs w:val="21"/>
                <w:lang w:val="en-US" w:eastAsia="zh-CN"/>
              </w:rPr>
            </w:pPr>
            <w:r>
              <w:rPr>
                <w:rFonts w:hint="eastAsia"/>
                <w:sz w:val="21"/>
                <w:szCs w:val="21"/>
                <w:lang w:val="en-US" w:eastAsia="zh-CN"/>
              </w:rPr>
              <w:t>63</w:t>
            </w:r>
          </w:p>
        </w:tc>
      </w:tr>
      <w:tr>
        <w:tblPrEx>
          <w:tblLayout w:type="fixed"/>
          <w:tblCellMar>
            <w:top w:w="0" w:type="dxa"/>
            <w:left w:w="0" w:type="dxa"/>
            <w:bottom w:w="0" w:type="dxa"/>
            <w:right w:w="0" w:type="dxa"/>
          </w:tblCellMar>
        </w:tblPrEx>
        <w:trPr>
          <w:trHeight w:val="420" w:hRule="exac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sz w:val="21"/>
                <w:szCs w:val="21"/>
              </w:rPr>
            </w:pPr>
            <w:r>
              <w:rPr>
                <w:rFonts w:hint="eastAsia"/>
                <w:sz w:val="21"/>
                <w:szCs w:val="21"/>
                <w:lang w:val="en-US" w:eastAsia="zh-CN"/>
              </w:rPr>
              <w:t>其他对外管理服务事项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sz w:val="21"/>
                <w:szCs w:val="21"/>
                <w:lang w:val="en-US" w:eastAsia="zh-CN"/>
              </w:rPr>
            </w:pPr>
            <w:r>
              <w:rPr>
                <w:rFonts w:hint="eastAsia"/>
                <w:sz w:val="21"/>
                <w:szCs w:val="21"/>
                <w:lang w:val="en-US" w:eastAsia="zh-CN"/>
              </w:rPr>
              <w:t>1</w:t>
            </w:r>
          </w:p>
        </w:tc>
        <w:tc>
          <w:tcPr>
            <w:tcW w:w="126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sz w:val="21"/>
                <w:szCs w:val="21"/>
                <w:lang w:val="en-US" w:eastAsia="zh-CN"/>
              </w:rPr>
            </w:pPr>
            <w:r>
              <w:rPr>
                <w:rFonts w:hint="eastAsia"/>
                <w:sz w:val="21"/>
                <w:szCs w:val="21"/>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sz w:val="21"/>
                <w:szCs w:val="21"/>
                <w:lang w:val="en-US" w:eastAsia="zh-CN"/>
              </w:rPr>
            </w:pPr>
            <w:r>
              <w:rPr>
                <w:rFonts w:hint="eastAsia"/>
                <w:sz w:val="21"/>
                <w:szCs w:val="21"/>
                <w:lang w:val="en-US" w:eastAsia="zh-CN"/>
              </w:rPr>
              <w:t>1902</w:t>
            </w:r>
          </w:p>
        </w:tc>
      </w:tr>
      <w:tr>
        <w:tblPrEx>
          <w:tblLayout w:type="fixed"/>
          <w:tblCellMar>
            <w:top w:w="0" w:type="dxa"/>
            <w:left w:w="0" w:type="dxa"/>
            <w:bottom w:w="0" w:type="dxa"/>
            <w:right w:w="0" w:type="dxa"/>
          </w:tblCellMar>
        </w:tblPrEx>
        <w:trPr>
          <w:trHeight w:val="420" w:hRule="exac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sz w:val="21"/>
                <w:szCs w:val="21"/>
              </w:rPr>
            </w:pPr>
            <w:r>
              <w:rPr>
                <w:rFonts w:hint="eastAsia"/>
                <w:sz w:val="21"/>
                <w:szCs w:val="21"/>
                <w:lang w:val="en-US" w:eastAsia="zh-CN"/>
              </w:rPr>
              <w:t>第二十条第（六）项</w:t>
            </w:r>
          </w:p>
        </w:tc>
      </w:tr>
      <w:tr>
        <w:tblPrEx>
          <w:tblLayout w:type="fixed"/>
          <w:tblCellMar>
            <w:top w:w="0" w:type="dxa"/>
            <w:left w:w="0" w:type="dxa"/>
            <w:bottom w:w="0" w:type="dxa"/>
            <w:right w:w="0" w:type="dxa"/>
          </w:tblCellMar>
        </w:tblPrEx>
        <w:trPr>
          <w:trHeight w:val="420" w:hRule="exac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sz w:val="21"/>
                <w:szCs w:val="21"/>
              </w:rPr>
            </w:pPr>
            <w:r>
              <w:rPr>
                <w:rFonts w:hint="eastAsia"/>
                <w:sz w:val="21"/>
                <w:szCs w:val="21"/>
                <w:lang w:val="en-US" w:eastAsia="zh-CN"/>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sz w:val="21"/>
                <w:szCs w:val="21"/>
              </w:rPr>
            </w:pPr>
            <w:r>
              <w:rPr>
                <w:rFonts w:hint="eastAsia"/>
                <w:sz w:val="21"/>
                <w:szCs w:val="21"/>
                <w:lang w:val="en-US" w:eastAsia="zh-CN"/>
              </w:rPr>
              <w:t>上一年项目数量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sz w:val="21"/>
                <w:szCs w:val="21"/>
              </w:rPr>
            </w:pPr>
            <w:r>
              <w:rPr>
                <w:rFonts w:hint="eastAsia"/>
                <w:sz w:val="21"/>
                <w:szCs w:val="21"/>
                <w:lang w:val="en-US" w:eastAsia="zh-CN"/>
              </w:rPr>
              <w:t>本年增/减</w:t>
            </w:r>
          </w:p>
        </w:tc>
        <w:tc>
          <w:tcPr>
            <w:tcW w:w="188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sz w:val="21"/>
                <w:szCs w:val="21"/>
              </w:rPr>
            </w:pPr>
            <w:r>
              <w:rPr>
                <w:rFonts w:hint="eastAsia"/>
                <w:sz w:val="21"/>
                <w:szCs w:val="21"/>
                <w:lang w:val="en-US" w:eastAsia="zh-CN"/>
              </w:rPr>
              <w:t>处理决定数量</w:t>
            </w:r>
          </w:p>
        </w:tc>
      </w:tr>
      <w:tr>
        <w:tblPrEx>
          <w:tblLayout w:type="fixed"/>
          <w:tblCellMar>
            <w:top w:w="0" w:type="dxa"/>
            <w:left w:w="0" w:type="dxa"/>
            <w:bottom w:w="0" w:type="dxa"/>
            <w:right w:w="0" w:type="dxa"/>
          </w:tblCellMar>
        </w:tblPrEx>
        <w:trPr>
          <w:trHeight w:val="420" w:hRule="exac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sz w:val="21"/>
                <w:szCs w:val="21"/>
              </w:rPr>
            </w:pPr>
            <w:r>
              <w:rPr>
                <w:rFonts w:hint="eastAsia"/>
                <w:sz w:val="21"/>
                <w:szCs w:val="21"/>
                <w:lang w:val="en-US" w:eastAsia="zh-CN"/>
              </w:rPr>
              <w:t>行政处罚</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sz w:val="21"/>
                <w:szCs w:val="21"/>
                <w:lang w:val="en-US" w:eastAsia="zh-CN"/>
              </w:rPr>
            </w:pPr>
            <w:r>
              <w:rPr>
                <w:rFonts w:hint="eastAsia"/>
                <w:sz w:val="21"/>
                <w:szCs w:val="21"/>
                <w:lang w:val="en-US" w:eastAsia="zh-CN"/>
              </w:rPr>
              <w:t>44</w:t>
            </w:r>
          </w:p>
        </w:tc>
        <w:tc>
          <w:tcPr>
            <w:tcW w:w="126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sz w:val="21"/>
                <w:szCs w:val="21"/>
                <w:lang w:val="en-US" w:eastAsia="zh-CN"/>
              </w:rPr>
            </w:pPr>
            <w:r>
              <w:rPr>
                <w:rFonts w:hint="eastAsia"/>
                <w:sz w:val="21"/>
                <w:szCs w:val="21"/>
                <w:lang w:val="en-US" w:eastAsia="zh-CN"/>
              </w:rPr>
              <w:t>-1</w:t>
            </w:r>
          </w:p>
        </w:tc>
        <w:tc>
          <w:tcPr>
            <w:tcW w:w="188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sz w:val="21"/>
                <w:szCs w:val="21"/>
                <w:lang w:val="en-US" w:eastAsia="zh-CN"/>
              </w:rPr>
            </w:pPr>
            <w:r>
              <w:rPr>
                <w:rFonts w:hint="eastAsia"/>
                <w:sz w:val="21"/>
                <w:szCs w:val="21"/>
                <w:lang w:val="en-US" w:eastAsia="zh-CN"/>
              </w:rPr>
              <w:t>43</w:t>
            </w:r>
          </w:p>
        </w:tc>
      </w:tr>
      <w:tr>
        <w:tblPrEx>
          <w:tblLayout w:type="fixed"/>
          <w:tblCellMar>
            <w:top w:w="0" w:type="dxa"/>
            <w:left w:w="0" w:type="dxa"/>
            <w:bottom w:w="0" w:type="dxa"/>
            <w:right w:w="0" w:type="dxa"/>
          </w:tblCellMar>
        </w:tblPrEx>
        <w:trPr>
          <w:trHeight w:val="420" w:hRule="exac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sz w:val="21"/>
                <w:szCs w:val="21"/>
              </w:rPr>
            </w:pPr>
            <w:r>
              <w:rPr>
                <w:rFonts w:hint="eastAsia"/>
                <w:sz w:val="21"/>
                <w:szCs w:val="21"/>
                <w:lang w:val="en-US" w:eastAsia="zh-CN"/>
              </w:rPr>
              <w:t>行政强制</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sz w:val="21"/>
                <w:szCs w:val="21"/>
                <w:lang w:val="en-US" w:eastAsia="zh-CN"/>
              </w:rPr>
            </w:pPr>
            <w:r>
              <w:rPr>
                <w:rFonts w:hint="eastAsia"/>
                <w:sz w:val="21"/>
                <w:szCs w:val="21"/>
                <w:lang w:val="en-US" w:eastAsia="zh-CN"/>
              </w:rPr>
              <w:t>0</w:t>
            </w:r>
          </w:p>
        </w:tc>
        <w:tc>
          <w:tcPr>
            <w:tcW w:w="126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sz w:val="21"/>
                <w:szCs w:val="21"/>
                <w:lang w:val="en-US" w:eastAsia="zh-CN"/>
              </w:rPr>
            </w:pPr>
            <w:r>
              <w:rPr>
                <w:rFonts w:hint="eastAsia"/>
                <w:sz w:val="21"/>
                <w:szCs w:val="21"/>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sz w:val="21"/>
                <w:szCs w:val="21"/>
                <w:lang w:val="en-US" w:eastAsia="zh-CN"/>
              </w:rPr>
            </w:pPr>
            <w:r>
              <w:rPr>
                <w:rFonts w:hint="eastAsia"/>
                <w:sz w:val="21"/>
                <w:szCs w:val="21"/>
                <w:lang w:val="en-US" w:eastAsia="zh-CN"/>
              </w:rPr>
              <w:t>0</w:t>
            </w:r>
          </w:p>
        </w:tc>
      </w:tr>
      <w:tr>
        <w:tblPrEx>
          <w:tblLayout w:type="fixed"/>
          <w:tblCellMar>
            <w:top w:w="0" w:type="dxa"/>
            <w:left w:w="0" w:type="dxa"/>
            <w:bottom w:w="0" w:type="dxa"/>
            <w:right w:w="0" w:type="dxa"/>
          </w:tblCellMar>
        </w:tblPrEx>
        <w:trPr>
          <w:trHeight w:val="420" w:hRule="exac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sz w:val="21"/>
                <w:szCs w:val="21"/>
              </w:rPr>
            </w:pPr>
            <w:r>
              <w:rPr>
                <w:rFonts w:hint="eastAsia"/>
                <w:sz w:val="21"/>
                <w:szCs w:val="21"/>
                <w:lang w:val="en-US" w:eastAsia="zh-CN"/>
              </w:rPr>
              <w:t>第二十条第（八）项</w:t>
            </w:r>
          </w:p>
        </w:tc>
      </w:tr>
      <w:tr>
        <w:tblPrEx>
          <w:tblLayout w:type="fixed"/>
          <w:tblCellMar>
            <w:top w:w="0" w:type="dxa"/>
            <w:left w:w="0" w:type="dxa"/>
            <w:bottom w:w="0" w:type="dxa"/>
            <w:right w:w="0" w:type="dxa"/>
          </w:tblCellMar>
        </w:tblPrEx>
        <w:trPr>
          <w:trHeight w:val="420" w:hRule="exac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sz w:val="21"/>
                <w:szCs w:val="21"/>
              </w:rPr>
            </w:pPr>
            <w:r>
              <w:rPr>
                <w:rFonts w:hint="eastAsia"/>
                <w:sz w:val="21"/>
                <w:szCs w:val="21"/>
                <w:lang w:val="en-US" w:eastAsia="zh-CN"/>
              </w:rPr>
              <w:t>信息内容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sz w:val="21"/>
                <w:szCs w:val="21"/>
              </w:rPr>
            </w:pPr>
            <w:r>
              <w:rPr>
                <w:rFonts w:hint="eastAsia"/>
                <w:sz w:val="21"/>
                <w:szCs w:val="21"/>
                <w:lang w:val="en-US" w:eastAsia="zh-CN"/>
              </w:rPr>
              <w:t>上一年项目数量</w:t>
            </w:r>
          </w:p>
        </w:tc>
        <w:tc>
          <w:tcPr>
            <w:tcW w:w="3146" w:type="dxa"/>
            <w:gridSpan w:val="2"/>
            <w:tcBorders>
              <w:top w:val="single" w:color="auto" w:sz="8" w:space="0"/>
              <w:left w:val="nil"/>
              <w:bottom w:val="single" w:color="auto"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sz w:val="21"/>
                <w:szCs w:val="21"/>
              </w:rPr>
            </w:pPr>
            <w:r>
              <w:rPr>
                <w:rFonts w:hint="eastAsia"/>
                <w:sz w:val="21"/>
                <w:szCs w:val="21"/>
                <w:lang w:val="en-US" w:eastAsia="zh-CN"/>
              </w:rPr>
              <w:t>本年增/减</w:t>
            </w:r>
          </w:p>
        </w:tc>
      </w:tr>
      <w:tr>
        <w:tblPrEx>
          <w:tblLayout w:type="fixed"/>
          <w:tblCellMar>
            <w:top w:w="0" w:type="dxa"/>
            <w:left w:w="0" w:type="dxa"/>
            <w:bottom w:w="0" w:type="dxa"/>
            <w:right w:w="0" w:type="dxa"/>
          </w:tblCellMar>
        </w:tblPrEx>
        <w:trPr>
          <w:trHeight w:val="420" w:hRule="exac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sz w:val="21"/>
                <w:szCs w:val="21"/>
              </w:rPr>
            </w:pPr>
            <w:r>
              <w:rPr>
                <w:rFonts w:hint="eastAsia"/>
                <w:sz w:val="21"/>
                <w:szCs w:val="21"/>
                <w:lang w:val="en-US" w:eastAsia="zh-CN"/>
              </w:rPr>
              <w:t>行政事业性收费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sz w:val="21"/>
                <w:szCs w:val="21"/>
                <w:lang w:val="en-US" w:eastAsia="zh-CN"/>
              </w:rPr>
            </w:pPr>
            <w:r>
              <w:rPr>
                <w:rFonts w:hint="eastAsia"/>
                <w:sz w:val="21"/>
                <w:szCs w:val="21"/>
                <w:lang w:val="en-US" w:eastAsia="zh-CN"/>
              </w:rPr>
              <w:t>1</w:t>
            </w:r>
          </w:p>
        </w:tc>
        <w:tc>
          <w:tcPr>
            <w:tcW w:w="3146" w:type="dxa"/>
            <w:gridSpan w:val="2"/>
            <w:tcBorders>
              <w:top w:val="nil"/>
              <w:left w:val="nil"/>
              <w:bottom w:val="single" w:color="auto"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sz w:val="21"/>
                <w:szCs w:val="21"/>
                <w:lang w:val="en-US" w:eastAsia="zh-CN"/>
              </w:rPr>
            </w:pPr>
            <w:r>
              <w:rPr>
                <w:rFonts w:hint="eastAsia"/>
                <w:sz w:val="21"/>
                <w:szCs w:val="21"/>
                <w:lang w:val="en-US" w:eastAsia="zh-CN"/>
              </w:rPr>
              <w:t>0</w:t>
            </w:r>
          </w:p>
        </w:tc>
      </w:tr>
      <w:tr>
        <w:tblPrEx>
          <w:tblLayout w:type="fixed"/>
          <w:tblCellMar>
            <w:top w:w="0" w:type="dxa"/>
            <w:left w:w="0" w:type="dxa"/>
            <w:bottom w:w="0" w:type="dxa"/>
            <w:right w:w="0" w:type="dxa"/>
          </w:tblCellMar>
        </w:tblPrEx>
        <w:trPr>
          <w:trHeight w:val="420" w:hRule="exac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sz w:val="21"/>
                <w:szCs w:val="21"/>
              </w:rPr>
            </w:pPr>
            <w:r>
              <w:rPr>
                <w:rFonts w:hint="eastAsia"/>
                <w:sz w:val="21"/>
                <w:szCs w:val="21"/>
                <w:lang w:val="en-US" w:eastAsia="zh-CN"/>
              </w:rPr>
              <w:t>第二十条第（九）项</w:t>
            </w:r>
          </w:p>
        </w:tc>
      </w:tr>
      <w:tr>
        <w:tblPrEx>
          <w:tblLayout w:type="fixed"/>
          <w:tblCellMar>
            <w:top w:w="0" w:type="dxa"/>
            <w:left w:w="0" w:type="dxa"/>
            <w:bottom w:w="0" w:type="dxa"/>
            <w:right w:w="0" w:type="dxa"/>
          </w:tblCellMar>
        </w:tblPrEx>
        <w:trPr>
          <w:trHeight w:val="420" w:hRule="exac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sz w:val="21"/>
                <w:szCs w:val="21"/>
              </w:rPr>
            </w:pPr>
            <w:r>
              <w:rPr>
                <w:rFonts w:hint="eastAsia"/>
                <w:sz w:val="21"/>
                <w:szCs w:val="21"/>
                <w:lang w:val="en-US" w:eastAsia="zh-CN"/>
              </w:rPr>
              <w:t>信息内容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sz w:val="21"/>
                <w:szCs w:val="21"/>
              </w:rPr>
            </w:pPr>
            <w:r>
              <w:rPr>
                <w:rFonts w:hint="eastAsia"/>
                <w:sz w:val="21"/>
                <w:szCs w:val="21"/>
                <w:lang w:val="en-US" w:eastAsia="zh-CN"/>
              </w:rPr>
              <w:t>采购项目数量</w:t>
            </w:r>
          </w:p>
        </w:tc>
        <w:tc>
          <w:tcPr>
            <w:tcW w:w="3146" w:type="dxa"/>
            <w:gridSpan w:val="2"/>
            <w:tcBorders>
              <w:top w:val="single" w:color="auto" w:sz="8" w:space="0"/>
              <w:left w:val="nil"/>
              <w:bottom w:val="single" w:color="auto"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sz w:val="21"/>
                <w:szCs w:val="21"/>
              </w:rPr>
            </w:pPr>
            <w:r>
              <w:rPr>
                <w:rFonts w:hint="eastAsia"/>
                <w:sz w:val="21"/>
                <w:szCs w:val="21"/>
                <w:lang w:val="en-US" w:eastAsia="zh-CN"/>
              </w:rPr>
              <w:t>采购总金额</w:t>
            </w:r>
          </w:p>
        </w:tc>
      </w:tr>
      <w:tr>
        <w:tblPrEx>
          <w:tblLayout w:type="fixed"/>
          <w:tblCellMar>
            <w:top w:w="0" w:type="dxa"/>
            <w:left w:w="0" w:type="dxa"/>
            <w:bottom w:w="0" w:type="dxa"/>
            <w:right w:w="0" w:type="dxa"/>
          </w:tblCellMar>
        </w:tblPrEx>
        <w:trPr>
          <w:trHeight w:val="420" w:hRule="exac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sz w:val="21"/>
                <w:szCs w:val="21"/>
              </w:rPr>
            </w:pPr>
            <w:r>
              <w:rPr>
                <w:rFonts w:hint="eastAsia"/>
                <w:sz w:val="21"/>
                <w:szCs w:val="21"/>
                <w:lang w:val="en-US" w:eastAsia="zh-CN"/>
              </w:rPr>
              <w:t>政府集中采购</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sz w:val="21"/>
                <w:szCs w:val="21"/>
                <w:lang w:val="en-US" w:eastAsia="zh-CN"/>
              </w:rPr>
            </w:pPr>
            <w:r>
              <w:rPr>
                <w:rFonts w:hint="eastAsia"/>
                <w:sz w:val="21"/>
                <w:szCs w:val="21"/>
                <w:lang w:val="en-US" w:eastAsia="zh-CN"/>
              </w:rPr>
              <w:t>68</w:t>
            </w:r>
          </w:p>
        </w:tc>
        <w:tc>
          <w:tcPr>
            <w:tcW w:w="3146" w:type="dxa"/>
            <w:gridSpan w:val="2"/>
            <w:tcBorders>
              <w:top w:val="nil"/>
              <w:left w:val="nil"/>
              <w:bottom w:val="single" w:color="auto"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sz w:val="21"/>
                <w:szCs w:val="21"/>
                <w:lang w:val="en-US" w:eastAsia="zh-CN"/>
              </w:rPr>
            </w:pPr>
            <w:r>
              <w:rPr>
                <w:rFonts w:hint="eastAsia"/>
                <w:sz w:val="21"/>
                <w:szCs w:val="21"/>
                <w:lang w:val="en-US" w:eastAsia="zh-CN"/>
              </w:rPr>
              <w:t>418333.00元</w:t>
            </w:r>
          </w:p>
        </w:tc>
      </w:tr>
    </w:tbl>
    <w:p>
      <w:pPr>
        <w:keepNext w:val="0"/>
        <w:keepLines w:val="0"/>
        <w:pageBreakBefore w:val="0"/>
        <w:numPr>
          <w:ilvl w:val="0"/>
          <w:numId w:val="1"/>
        </w:numPr>
        <w:kinsoku/>
        <w:wordWrap/>
        <w:overflowPunct/>
        <w:topLinePunct w:val="0"/>
        <w:autoSpaceDE/>
        <w:autoSpaceDN/>
        <w:bidi w:val="0"/>
        <w:spacing w:line="580" w:lineRule="exact"/>
        <w:ind w:left="722" w:leftChars="0" w:firstLine="0" w:firstLineChars="0"/>
        <w:textAlignment w:val="auto"/>
        <w:outlineLvl w:val="9"/>
        <w:rPr>
          <w:rFonts w:hint="eastAsia" w:ascii="黑体" w:hAnsi="黑体" w:eastAsia="黑体" w:cs="Times New Roman"/>
          <w:kern w:val="0"/>
          <w:sz w:val="32"/>
          <w:szCs w:val="32"/>
          <w:shd w:val="clear" w:color="auto" w:fill="FFFFFF"/>
          <w:lang w:val="en-US" w:eastAsia="zh-CN" w:bidi="ar-SA"/>
        </w:rPr>
      </w:pPr>
      <w:r>
        <w:rPr>
          <w:rFonts w:hint="eastAsia" w:ascii="黑体" w:hAnsi="黑体" w:eastAsia="黑体" w:cs="Times New Roman"/>
          <w:kern w:val="0"/>
          <w:sz w:val="32"/>
          <w:szCs w:val="32"/>
          <w:shd w:val="clear" w:color="auto" w:fill="FFFFFF"/>
          <w:lang w:val="en-US" w:eastAsia="zh-CN" w:bidi="ar-SA"/>
        </w:rPr>
        <w:t>收到和处理政府信息公开申请情况</w:t>
      </w:r>
    </w:p>
    <w:p>
      <w:pPr>
        <w:keepNext w:val="0"/>
        <w:keepLines w:val="0"/>
        <w:pageBreakBefore w:val="0"/>
        <w:kinsoku/>
        <w:wordWrap/>
        <w:overflowPunct/>
        <w:topLinePunct w:val="0"/>
        <w:autoSpaceDE/>
        <w:autoSpaceDN/>
        <w:bidi w:val="0"/>
        <w:spacing w:line="580" w:lineRule="exact"/>
        <w:ind w:firstLine="640" w:firstLineChars="200"/>
        <w:jc w:val="both"/>
        <w:textAlignment w:val="auto"/>
        <w:outlineLvl w:val="9"/>
        <w:rPr>
          <w:rFonts w:hint="eastAsia" w:ascii="仿宋_GB2312" w:hAnsi="Times New Roman" w:eastAsia="仿宋_GB2312" w:cs="Times New Roman"/>
          <w:kern w:val="0"/>
          <w:sz w:val="32"/>
          <w:szCs w:val="32"/>
          <w:shd w:val="clear" w:color="auto" w:fill="FFFFFF"/>
          <w:lang w:val="en-US" w:eastAsia="zh-CN" w:bidi="ar"/>
        </w:rPr>
      </w:pPr>
      <w:r>
        <w:rPr>
          <w:rFonts w:hint="eastAsia" w:ascii="仿宋_GB2312" w:hAnsi="Times New Roman" w:eastAsia="仿宋_GB2312" w:cs="Times New Roman"/>
          <w:kern w:val="0"/>
          <w:sz w:val="32"/>
          <w:szCs w:val="32"/>
          <w:shd w:val="clear" w:color="auto" w:fill="FFFFFF"/>
          <w:lang w:val="en-US" w:eastAsia="zh-CN" w:bidi="ar"/>
        </w:rPr>
        <w:t>我局积极参与上级组织的政府信息公开业务培训，认真回应申请人的信息诉求，严格按照“答复及时，内容完整，格式规范”的要求，不断完善政府信息公开申请的受理机制，规范工作规程，落实公开责任，明确受理、审查、处理、答复等各个环节的规定，充分保障申请人的合法权益和政府信息公开的质量。2019年，共受理政府信息公开申请4件，均为无法提供类别，其中3件属本机关不掌握相关政府信息，1件属没有现成信息需要另行制作，所有申请件均依法依规在规定时间内给予答复处理。同时全面、及时、准确地主动公开政府信息，有效减少依申请公开数量，切实提高工作效率和群众满意度。</w:t>
      </w:r>
    </w:p>
    <w:tbl>
      <w:tblPr>
        <w:tblStyle w:val="6"/>
        <w:tblW w:w="9936"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5"/>
        <w:gridCol w:w="765"/>
        <w:gridCol w:w="3165"/>
        <w:gridCol w:w="692"/>
        <w:gridCol w:w="755"/>
        <w:gridCol w:w="755"/>
        <w:gridCol w:w="814"/>
        <w:gridCol w:w="974"/>
        <w:gridCol w:w="712"/>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545" w:type="dxa"/>
            <w:gridSpan w:val="3"/>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（本列数据的勾稽关系为：第一项加第二项之和，等于第三项加第四项之和）</w:t>
            </w:r>
          </w:p>
        </w:tc>
        <w:tc>
          <w:tcPr>
            <w:tcW w:w="5391" w:type="dxa"/>
            <w:gridSpan w:val="7"/>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545"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rPr>
            </w:pPr>
          </w:p>
        </w:tc>
        <w:tc>
          <w:tcPr>
            <w:tcW w:w="692"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lang w:val="en-US" w:eastAsia="zh-CN"/>
              </w:rPr>
            </w:pPr>
            <w:r>
              <w:rPr>
                <w:rFonts w:hint="eastAsia"/>
                <w:lang w:val="en-US" w:eastAsia="zh-CN"/>
              </w:rPr>
              <w:t>自</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lang w:val="en-US" w:eastAsia="zh-CN"/>
              </w:rPr>
            </w:pPr>
            <w:r>
              <w:rPr>
                <w:rFonts w:hint="eastAsia"/>
                <w:lang w:val="en-US" w:eastAsia="zh-CN"/>
              </w:rPr>
              <w:t>然</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人</w:t>
            </w:r>
          </w:p>
        </w:tc>
        <w:tc>
          <w:tcPr>
            <w:tcW w:w="4010" w:type="dxa"/>
            <w:gridSpan w:val="5"/>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法人或其他组织</w:t>
            </w:r>
          </w:p>
        </w:tc>
        <w:tc>
          <w:tcPr>
            <w:tcW w:w="689"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50" w:hRule="atLeast"/>
          <w:jc w:val="center"/>
        </w:trPr>
        <w:tc>
          <w:tcPr>
            <w:tcW w:w="4545"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rPr>
            </w:pPr>
          </w:p>
        </w:tc>
        <w:tc>
          <w:tcPr>
            <w:tcW w:w="692"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rPr>
            </w:pP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商业企业</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科研机构</w:t>
            </w:r>
          </w:p>
        </w:tc>
        <w:tc>
          <w:tcPr>
            <w:tcW w:w="814"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社会公益组织</w:t>
            </w:r>
          </w:p>
        </w:tc>
        <w:tc>
          <w:tcPr>
            <w:tcW w:w="974"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法律服务机构</w:t>
            </w:r>
          </w:p>
        </w:tc>
        <w:tc>
          <w:tcPr>
            <w:tcW w:w="712"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其他</w:t>
            </w:r>
          </w:p>
        </w:tc>
        <w:tc>
          <w:tcPr>
            <w:tcW w:w="689"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545" w:type="dxa"/>
            <w:gridSpan w:val="3"/>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一、本年新收政府信息公开申请数量</w:t>
            </w:r>
          </w:p>
        </w:tc>
        <w:tc>
          <w:tcPr>
            <w:tcW w:w="69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4</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eastAsiaTheme="minorEastAsia"/>
                <w:lang w:val="en-US" w:eastAsia="zh-CN"/>
              </w:rPr>
            </w:pPr>
            <w:r>
              <w:rPr>
                <w:rFonts w:hint="eastAsia"/>
                <w:lang w:val="en-US" w:eastAsia="zh-CN"/>
              </w:rPr>
              <w:t>0</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eastAsiaTheme="minorEastAsia"/>
                <w:lang w:val="en-US" w:eastAsia="zh-CN"/>
              </w:rPr>
            </w:pPr>
            <w:r>
              <w:rPr>
                <w:rFonts w:hint="eastAsia"/>
                <w:lang w:val="en-US" w:eastAsia="zh-CN"/>
              </w:rPr>
              <w:t>0</w:t>
            </w: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eastAsiaTheme="minorEastAsia"/>
                <w:lang w:val="en-US" w:eastAsia="zh-CN"/>
              </w:rPr>
            </w:pPr>
            <w:r>
              <w:rPr>
                <w:rFonts w:hint="eastAsia"/>
                <w:lang w:val="en-US" w:eastAsia="zh-CN"/>
              </w:rPr>
              <w:t>0</w:t>
            </w: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eastAsiaTheme="minor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545" w:type="dxa"/>
            <w:gridSpan w:val="3"/>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二、上年结转政府信息公开申请数量</w:t>
            </w:r>
          </w:p>
        </w:tc>
        <w:tc>
          <w:tcPr>
            <w:tcW w:w="69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5"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三、本年度办理结果</w:t>
            </w:r>
          </w:p>
        </w:tc>
        <w:tc>
          <w:tcPr>
            <w:tcW w:w="3930"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（一）予以公开</w:t>
            </w:r>
          </w:p>
        </w:tc>
        <w:tc>
          <w:tcPr>
            <w:tcW w:w="69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689"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rPr>
            </w:pPr>
          </w:p>
        </w:tc>
        <w:tc>
          <w:tcPr>
            <w:tcW w:w="3930"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（二）部分公开（区分处理的，只计这一情形，不计其他情形）</w:t>
            </w:r>
          </w:p>
        </w:tc>
        <w:tc>
          <w:tcPr>
            <w:tcW w:w="69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rPr>
            </w:pPr>
          </w:p>
        </w:tc>
        <w:tc>
          <w:tcPr>
            <w:tcW w:w="765"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（三）不予公开</w:t>
            </w:r>
          </w:p>
        </w:tc>
        <w:tc>
          <w:tcPr>
            <w:tcW w:w="316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1.属于国家秘密</w:t>
            </w:r>
          </w:p>
        </w:tc>
        <w:tc>
          <w:tcPr>
            <w:tcW w:w="69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689"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rPr>
            </w:pPr>
          </w:p>
        </w:tc>
        <w:tc>
          <w:tcPr>
            <w:tcW w:w="765"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rPr>
            </w:pPr>
          </w:p>
        </w:tc>
        <w:tc>
          <w:tcPr>
            <w:tcW w:w="316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2.其他法律行政法规禁止公开</w:t>
            </w:r>
          </w:p>
        </w:tc>
        <w:tc>
          <w:tcPr>
            <w:tcW w:w="69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rPr>
            </w:pPr>
          </w:p>
        </w:tc>
        <w:tc>
          <w:tcPr>
            <w:tcW w:w="765"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rPr>
            </w:pPr>
          </w:p>
        </w:tc>
        <w:tc>
          <w:tcPr>
            <w:tcW w:w="316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3.危及“三安全一稳定”</w:t>
            </w:r>
          </w:p>
        </w:tc>
        <w:tc>
          <w:tcPr>
            <w:tcW w:w="69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rPr>
            </w:pPr>
          </w:p>
        </w:tc>
        <w:tc>
          <w:tcPr>
            <w:tcW w:w="765"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rPr>
            </w:pPr>
          </w:p>
        </w:tc>
        <w:tc>
          <w:tcPr>
            <w:tcW w:w="316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4.保护第三方合法权益</w:t>
            </w:r>
          </w:p>
        </w:tc>
        <w:tc>
          <w:tcPr>
            <w:tcW w:w="69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rPr>
            </w:pPr>
          </w:p>
        </w:tc>
        <w:tc>
          <w:tcPr>
            <w:tcW w:w="765"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rPr>
            </w:pPr>
          </w:p>
        </w:tc>
        <w:tc>
          <w:tcPr>
            <w:tcW w:w="316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5.属于三类内部事务信息</w:t>
            </w:r>
          </w:p>
        </w:tc>
        <w:tc>
          <w:tcPr>
            <w:tcW w:w="69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rPr>
            </w:pPr>
          </w:p>
        </w:tc>
        <w:tc>
          <w:tcPr>
            <w:tcW w:w="765"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rPr>
            </w:pPr>
          </w:p>
        </w:tc>
        <w:tc>
          <w:tcPr>
            <w:tcW w:w="316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6.属于四类过程性信息</w:t>
            </w:r>
          </w:p>
        </w:tc>
        <w:tc>
          <w:tcPr>
            <w:tcW w:w="69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rPr>
            </w:pPr>
          </w:p>
        </w:tc>
        <w:tc>
          <w:tcPr>
            <w:tcW w:w="765"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rPr>
            </w:pPr>
          </w:p>
        </w:tc>
        <w:tc>
          <w:tcPr>
            <w:tcW w:w="316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7.属于行政执法案卷</w:t>
            </w:r>
          </w:p>
        </w:tc>
        <w:tc>
          <w:tcPr>
            <w:tcW w:w="69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rPr>
            </w:pPr>
          </w:p>
        </w:tc>
        <w:tc>
          <w:tcPr>
            <w:tcW w:w="765"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rPr>
            </w:pPr>
          </w:p>
        </w:tc>
        <w:tc>
          <w:tcPr>
            <w:tcW w:w="316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8.属于行政查询事项</w:t>
            </w:r>
          </w:p>
        </w:tc>
        <w:tc>
          <w:tcPr>
            <w:tcW w:w="69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rPr>
            </w:pPr>
          </w:p>
        </w:tc>
        <w:tc>
          <w:tcPr>
            <w:tcW w:w="765"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（四）无法提供</w:t>
            </w:r>
          </w:p>
        </w:tc>
        <w:tc>
          <w:tcPr>
            <w:tcW w:w="316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1.本机关不掌握相关政府信息</w:t>
            </w:r>
          </w:p>
        </w:tc>
        <w:tc>
          <w:tcPr>
            <w:tcW w:w="69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eastAsiaTheme="minorEastAsia"/>
                <w:lang w:val="en-US" w:eastAsia="zh-CN"/>
              </w:rPr>
            </w:pPr>
            <w:r>
              <w:rPr>
                <w:rFonts w:hint="eastAsia"/>
                <w:lang w:val="en-US" w:eastAsia="zh-CN"/>
              </w:rPr>
              <w:t>3</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eastAsiaTheme="minorEastAsia"/>
                <w:lang w:val="en-US" w:eastAsia="zh-CN"/>
              </w:rPr>
            </w:pPr>
            <w:r>
              <w:rPr>
                <w:rFonts w:hint="eastAsia"/>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rPr>
            </w:pPr>
          </w:p>
        </w:tc>
        <w:tc>
          <w:tcPr>
            <w:tcW w:w="765"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rPr>
            </w:pPr>
          </w:p>
        </w:tc>
        <w:tc>
          <w:tcPr>
            <w:tcW w:w="316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2.没有现成信息需要另行制作</w:t>
            </w:r>
          </w:p>
        </w:tc>
        <w:tc>
          <w:tcPr>
            <w:tcW w:w="69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eastAsiaTheme="minorEastAsia"/>
                <w:lang w:val="en-US" w:eastAsia="zh-CN"/>
              </w:rPr>
            </w:pPr>
            <w:r>
              <w:rPr>
                <w:rFonts w:hint="eastAsia"/>
                <w:lang w:val="en-US" w:eastAsia="zh-CN"/>
              </w:rPr>
              <w:t>1</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eastAsiaTheme="minorEastAsia"/>
                <w:lang w:val="en-US" w:eastAsia="zh-CN"/>
              </w:rPr>
            </w:pPr>
            <w:r>
              <w:rPr>
                <w:rFonts w:hint="eastAsia"/>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rPr>
            </w:pPr>
          </w:p>
        </w:tc>
        <w:tc>
          <w:tcPr>
            <w:tcW w:w="765"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rPr>
            </w:pPr>
          </w:p>
        </w:tc>
        <w:tc>
          <w:tcPr>
            <w:tcW w:w="316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3.补正后申请内容仍不明确</w:t>
            </w:r>
          </w:p>
        </w:tc>
        <w:tc>
          <w:tcPr>
            <w:tcW w:w="69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rPr>
            </w:pPr>
          </w:p>
        </w:tc>
        <w:tc>
          <w:tcPr>
            <w:tcW w:w="765"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（五）不予处理</w:t>
            </w:r>
          </w:p>
        </w:tc>
        <w:tc>
          <w:tcPr>
            <w:tcW w:w="316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1.信访举报投诉类申请</w:t>
            </w:r>
          </w:p>
        </w:tc>
        <w:tc>
          <w:tcPr>
            <w:tcW w:w="69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rPr>
            </w:pPr>
          </w:p>
        </w:tc>
        <w:tc>
          <w:tcPr>
            <w:tcW w:w="765"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rPr>
            </w:pPr>
          </w:p>
        </w:tc>
        <w:tc>
          <w:tcPr>
            <w:tcW w:w="316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2.重复申请</w:t>
            </w:r>
          </w:p>
        </w:tc>
        <w:tc>
          <w:tcPr>
            <w:tcW w:w="69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rPr>
            </w:pPr>
          </w:p>
        </w:tc>
        <w:tc>
          <w:tcPr>
            <w:tcW w:w="765"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rPr>
            </w:pPr>
          </w:p>
        </w:tc>
        <w:tc>
          <w:tcPr>
            <w:tcW w:w="316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3.要求提供公开出版物</w:t>
            </w:r>
          </w:p>
        </w:tc>
        <w:tc>
          <w:tcPr>
            <w:tcW w:w="69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rPr>
            </w:pPr>
          </w:p>
        </w:tc>
        <w:tc>
          <w:tcPr>
            <w:tcW w:w="765"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rPr>
            </w:pPr>
          </w:p>
        </w:tc>
        <w:tc>
          <w:tcPr>
            <w:tcW w:w="316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4.无正当理由大量反复申请</w:t>
            </w:r>
          </w:p>
        </w:tc>
        <w:tc>
          <w:tcPr>
            <w:tcW w:w="69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rPr>
            </w:pPr>
          </w:p>
        </w:tc>
        <w:tc>
          <w:tcPr>
            <w:tcW w:w="765"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rPr>
            </w:pPr>
          </w:p>
        </w:tc>
        <w:tc>
          <w:tcPr>
            <w:tcW w:w="316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5.要求行政机关确认或重新出具已获取信息</w:t>
            </w:r>
          </w:p>
        </w:tc>
        <w:tc>
          <w:tcPr>
            <w:tcW w:w="69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rPr>
            </w:pPr>
          </w:p>
        </w:tc>
        <w:tc>
          <w:tcPr>
            <w:tcW w:w="3930"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（六）其他处理</w:t>
            </w:r>
          </w:p>
        </w:tc>
        <w:tc>
          <w:tcPr>
            <w:tcW w:w="69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rPr>
            </w:pPr>
          </w:p>
        </w:tc>
        <w:tc>
          <w:tcPr>
            <w:tcW w:w="3930"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（七）总计</w:t>
            </w:r>
          </w:p>
        </w:tc>
        <w:tc>
          <w:tcPr>
            <w:tcW w:w="69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eastAsiaTheme="minorEastAsia"/>
                <w:lang w:val="en-US" w:eastAsia="zh-CN"/>
              </w:rPr>
            </w:pPr>
            <w:r>
              <w:rPr>
                <w:rFonts w:hint="eastAsia"/>
                <w:lang w:val="en-US" w:eastAsia="zh-CN"/>
              </w:rPr>
              <w:t>4</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eastAsiaTheme="minorEastAsia"/>
                <w:lang w:val="en-US" w:eastAsia="zh-CN"/>
              </w:rPr>
            </w:pPr>
            <w:r>
              <w:rPr>
                <w:rFonts w:hint="eastAsia"/>
                <w:lang w:val="en-US" w:eastAsia="zh-CN"/>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545" w:type="dxa"/>
            <w:gridSpan w:val="3"/>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四、结转下年度继续办理</w:t>
            </w:r>
          </w:p>
        </w:tc>
        <w:tc>
          <w:tcPr>
            <w:tcW w:w="69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lang w:val="en-US" w:eastAsia="zh-CN"/>
              </w:rPr>
              <w:t>0</w:t>
            </w: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rPr>
            </w:pPr>
            <w:r>
              <w:rPr>
                <w:rFonts w:hint="eastAsia"/>
                <w:lang w:val="en-US" w:eastAsia="zh-CN"/>
              </w:rPr>
              <w:t>0</w:t>
            </w:r>
          </w:p>
        </w:tc>
      </w:tr>
    </w:tbl>
    <w:p>
      <w:pPr>
        <w:keepNext w:val="0"/>
        <w:keepLines w:val="0"/>
        <w:pageBreakBefore w:val="0"/>
        <w:numPr>
          <w:ilvl w:val="0"/>
          <w:numId w:val="1"/>
        </w:numPr>
        <w:kinsoku/>
        <w:wordWrap/>
        <w:overflowPunct/>
        <w:topLinePunct w:val="0"/>
        <w:autoSpaceDE/>
        <w:autoSpaceDN/>
        <w:bidi w:val="0"/>
        <w:spacing w:line="580" w:lineRule="exact"/>
        <w:ind w:left="722" w:leftChars="0" w:firstLine="0" w:firstLineChars="0"/>
        <w:textAlignment w:val="auto"/>
        <w:outlineLvl w:val="9"/>
        <w:rPr>
          <w:rFonts w:hint="eastAsia" w:ascii="黑体" w:hAnsi="黑体" w:eastAsia="黑体" w:cs="Times New Roman"/>
          <w:kern w:val="0"/>
          <w:sz w:val="32"/>
          <w:szCs w:val="32"/>
          <w:shd w:val="clear" w:color="auto" w:fill="FFFFFF"/>
          <w:lang w:val="en-US" w:eastAsia="zh-CN" w:bidi="ar-SA"/>
        </w:rPr>
      </w:pPr>
      <w:r>
        <w:rPr>
          <w:rFonts w:hint="eastAsia" w:ascii="黑体" w:hAnsi="黑体" w:eastAsia="黑体" w:cs="Times New Roman"/>
          <w:kern w:val="0"/>
          <w:sz w:val="32"/>
          <w:szCs w:val="32"/>
          <w:shd w:val="clear" w:color="auto" w:fill="FFFFFF"/>
          <w:lang w:val="en-US" w:eastAsia="zh-CN" w:bidi="ar-SA"/>
        </w:rPr>
        <w:t>政府信息公开行政复议、行政诉讼情况</w:t>
      </w:r>
    </w:p>
    <w:p>
      <w:pPr>
        <w:keepNext w:val="0"/>
        <w:keepLines w:val="0"/>
        <w:pageBreakBefore w:val="0"/>
        <w:kinsoku/>
        <w:wordWrap/>
        <w:overflowPunct/>
        <w:topLinePunct w:val="0"/>
        <w:autoSpaceDE/>
        <w:autoSpaceDN/>
        <w:bidi w:val="0"/>
        <w:spacing w:line="580" w:lineRule="exact"/>
        <w:ind w:firstLine="640" w:firstLineChars="200"/>
        <w:jc w:val="both"/>
        <w:textAlignment w:val="auto"/>
        <w:outlineLvl w:val="9"/>
        <w:rPr>
          <w:rFonts w:hint="eastAsia" w:ascii="仿宋_GB2312" w:hAnsi="Times New Roman" w:eastAsia="仿宋_GB2312" w:cs="Times New Roman"/>
          <w:kern w:val="0"/>
          <w:sz w:val="32"/>
          <w:szCs w:val="32"/>
          <w:shd w:val="clear" w:color="auto" w:fill="FFFFFF"/>
          <w:lang w:val="en-US" w:eastAsia="zh-CN" w:bidi="ar"/>
        </w:rPr>
      </w:pPr>
      <w:r>
        <w:rPr>
          <w:rFonts w:hint="eastAsia" w:ascii="仿宋_GB2312" w:hAnsi="Times New Roman" w:eastAsia="仿宋_GB2312" w:cs="Times New Roman"/>
          <w:kern w:val="0"/>
          <w:sz w:val="32"/>
          <w:szCs w:val="32"/>
          <w:shd w:val="clear" w:color="auto" w:fill="FFFFFF"/>
          <w:lang w:val="en-US" w:eastAsia="zh-CN" w:bidi="ar"/>
        </w:rPr>
        <w:t>2019年度，宁波市应急管理局未发生因政府信息公开的行政复议以及行政诉讼情况。</w:t>
      </w:r>
    </w:p>
    <w:tbl>
      <w:tblPr>
        <w:tblStyle w:val="6"/>
        <w:tblW w:w="9071" w:type="dxa"/>
        <w:jc w:val="center"/>
        <w:tblInd w:w="-2"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pPr>
            <w:r>
              <w:rPr>
                <w:rFonts w:hint="eastAsia"/>
                <w:lang w:val="en-US" w:eastAsia="zh-CN"/>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pPr>
            <w:r>
              <w:rPr>
                <w:rFonts w:hint="eastAsia"/>
                <w:lang w:val="en-US" w:eastAsia="zh-CN"/>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pPr>
            <w:r>
              <w:rPr>
                <w:rFonts w:hint="eastAsia"/>
                <w:lang w:val="en-US" w:eastAsia="zh-CN"/>
              </w:rPr>
              <w:t>结果维持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pPr>
            <w:r>
              <w:rPr>
                <w:rFonts w:hint="eastAsia"/>
                <w:lang w:val="en-US" w:eastAsia="zh-CN"/>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pPr>
            <w:r>
              <w:rPr>
                <w:rFonts w:hint="eastAsia"/>
                <w:lang w:val="en-US" w:eastAsia="zh-CN"/>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pPr>
            <w:r>
              <w:rPr>
                <w:rFonts w:hint="eastAsia"/>
                <w:lang w:val="en-US" w:eastAsia="zh-CN"/>
              </w:rPr>
              <w:t>尚未审结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pPr>
            <w:r>
              <w:rPr>
                <w:rFonts w:hint="eastAsia"/>
                <w:lang w:val="en-US" w:eastAsia="zh-CN"/>
              </w:rPr>
              <w:t>总计</w:t>
            </w:r>
          </w:p>
        </w:tc>
        <w:tc>
          <w:tcPr>
            <w:tcW w:w="29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pPr>
            <w:r>
              <w:rPr>
                <w:rFonts w:hint="eastAsia"/>
                <w:lang w:val="en-US" w:eastAsia="zh-CN"/>
              </w:rPr>
              <w:t>未经复议直接起诉</w:t>
            </w:r>
          </w:p>
        </w:tc>
        <w:tc>
          <w:tcPr>
            <w:tcW w:w="3027" w:type="dxa"/>
            <w:gridSpan w:val="5"/>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pPr>
            <w:r>
              <w:rPr>
                <w:rFonts w:hint="eastAsia"/>
                <w:lang w:val="en-US" w:eastAsia="zh-CN"/>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rPr>
            </w:pPr>
          </w:p>
        </w:tc>
        <w:tc>
          <w:tcPr>
            <w:tcW w:w="60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rPr>
            </w:pPr>
          </w:p>
        </w:tc>
        <w:tc>
          <w:tcPr>
            <w:tcW w:w="658"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rPr>
            </w:pPr>
          </w:p>
        </w:tc>
        <w:tc>
          <w:tcPr>
            <w:tcW w:w="55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pPr>
            <w:r>
              <w:rPr>
                <w:rFonts w:hint="eastAsia"/>
                <w:lang w:val="en-US" w:eastAsia="zh-CN"/>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pPr>
            <w:r>
              <w:rPr>
                <w:rFonts w:hint="eastAsia"/>
                <w:lang w:val="en-US" w:eastAsia="zh-CN"/>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pPr>
            <w:r>
              <w:rPr>
                <w:rFonts w:hint="eastAsia"/>
                <w:lang w:val="en-US" w:eastAsia="zh-CN"/>
              </w:rPr>
              <w:t>其他结果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pPr>
            <w:r>
              <w:rPr>
                <w:rFonts w:hint="eastAsia"/>
                <w:lang w:val="en-US" w:eastAsia="zh-CN"/>
              </w:rPr>
              <w:t>尚未审结</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pPr>
            <w:r>
              <w:rPr>
                <w:rFonts w:hint="eastAsia"/>
                <w:lang w:val="en-US" w:eastAsia="zh-CN"/>
              </w:rPr>
              <w:t>总计</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pPr>
            <w:r>
              <w:rPr>
                <w:rFonts w:hint="eastAsia"/>
                <w:lang w:val="en-US" w:eastAsia="zh-CN"/>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pPr>
            <w:r>
              <w:rPr>
                <w:rFonts w:hint="eastAsia"/>
                <w:lang w:val="en-US" w:eastAsia="zh-CN"/>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pPr>
            <w:r>
              <w:rPr>
                <w:rFonts w:hint="eastAsia"/>
                <w:lang w:val="en-US" w:eastAsia="zh-CN"/>
              </w:rPr>
              <w:t>其他结果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pPr>
            <w:r>
              <w:rPr>
                <w:rFonts w:hint="eastAsia"/>
                <w:lang w:val="en-US" w:eastAsia="zh-CN"/>
              </w:rPr>
              <w:t>尚未审结</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pPr>
            <w:r>
              <w:rPr>
                <w:rFonts w:hint="eastAsia"/>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pPr>
            <w:r>
              <w:rPr>
                <w:rFonts w:hint="eastAsia"/>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pPr>
            <w:r>
              <w:rPr>
                <w:rFonts w:hint="eastAsia"/>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pPr>
            <w:r>
              <w:rPr>
                <w:rFonts w:hint="eastAsia"/>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pPr>
            <w:r>
              <w:rPr>
                <w:rFonts w:hint="eastAsia"/>
                <w:lang w:val="en-US" w:eastAsia="zh-CN"/>
              </w:rPr>
              <w:t>0</w:t>
            </w:r>
          </w:p>
        </w:tc>
        <w:tc>
          <w:tcPr>
            <w:tcW w:w="65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pPr>
            <w:r>
              <w:rPr>
                <w:rFonts w:hint="eastAsia"/>
                <w:lang w:val="en-US" w:eastAsia="zh-CN"/>
              </w:rPr>
              <w:t>0</w:t>
            </w:r>
          </w:p>
        </w:tc>
        <w:tc>
          <w:tcPr>
            <w:tcW w:w="55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pPr>
            <w:r>
              <w:rPr>
                <w:rFonts w:hint="eastAsia"/>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pPr>
            <w:r>
              <w:rPr>
                <w:rFonts w:hint="eastAsia"/>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pPr>
            <w:r>
              <w:rPr>
                <w:rFonts w:hint="eastAsia"/>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pPr>
            <w:r>
              <w:rPr>
                <w:rFonts w:hint="eastAsia"/>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pPr>
            <w:r>
              <w:rPr>
                <w:rFonts w:hint="eastAsia"/>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pPr>
            <w:r>
              <w:rPr>
                <w:rFonts w:hint="eastAsia"/>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pPr>
            <w:r>
              <w:rPr>
                <w:rFonts w:hint="eastAsia"/>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pPr>
            <w:r>
              <w:rPr>
                <w:rFonts w:hint="eastAsia"/>
                <w:lang w:val="en-US" w:eastAsia="zh-CN"/>
              </w:rPr>
              <w:t>0</w:t>
            </w:r>
          </w:p>
        </w:tc>
        <w:tc>
          <w:tcPr>
            <w:tcW w:w="60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pPr>
            <w:r>
              <w:rPr>
                <w:rFonts w:hint="eastAsia"/>
                <w:lang w:val="en-US" w:eastAsia="zh-CN"/>
              </w:rPr>
              <w:t>0</w:t>
            </w:r>
          </w:p>
        </w:tc>
        <w:tc>
          <w:tcPr>
            <w:tcW w:w="60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lang w:val="en-US" w:eastAsia="zh-CN"/>
              </w:rPr>
            </w:pPr>
            <w:r>
              <w:rPr>
                <w:rFonts w:hint="eastAsia"/>
                <w:lang w:val="en-US" w:eastAsia="zh-CN"/>
              </w:rPr>
              <w:t>0</w:t>
            </w:r>
          </w:p>
        </w:tc>
      </w:tr>
    </w:tbl>
    <w:p>
      <w:pPr>
        <w:keepNext w:val="0"/>
        <w:keepLines w:val="0"/>
        <w:pageBreakBefore w:val="0"/>
        <w:numPr>
          <w:ilvl w:val="0"/>
          <w:numId w:val="1"/>
        </w:numPr>
        <w:kinsoku/>
        <w:wordWrap/>
        <w:overflowPunct/>
        <w:topLinePunct w:val="0"/>
        <w:autoSpaceDE/>
        <w:autoSpaceDN/>
        <w:bidi w:val="0"/>
        <w:spacing w:line="580" w:lineRule="exact"/>
        <w:ind w:left="722" w:leftChars="0" w:firstLine="0" w:firstLineChars="0"/>
        <w:textAlignment w:val="auto"/>
        <w:outlineLvl w:val="9"/>
        <w:rPr>
          <w:rFonts w:hint="eastAsia" w:ascii="黑体" w:hAnsi="黑体" w:eastAsia="黑体" w:cs="Times New Roman"/>
          <w:kern w:val="0"/>
          <w:sz w:val="32"/>
          <w:szCs w:val="32"/>
          <w:shd w:val="clear" w:color="auto" w:fill="FFFFFF"/>
          <w:lang w:val="en-US" w:eastAsia="zh-CN" w:bidi="ar-SA"/>
        </w:rPr>
      </w:pPr>
      <w:r>
        <w:rPr>
          <w:rFonts w:hint="eastAsia" w:ascii="黑体" w:hAnsi="黑体" w:eastAsia="黑体" w:cs="Times New Roman"/>
          <w:kern w:val="0"/>
          <w:sz w:val="32"/>
          <w:szCs w:val="32"/>
          <w:shd w:val="clear" w:color="auto" w:fill="FFFFFF"/>
          <w:lang w:val="en-US" w:eastAsia="zh-CN" w:bidi="ar-SA"/>
        </w:rPr>
        <w:t>存在主要问题及改进情况</w:t>
      </w:r>
    </w:p>
    <w:p>
      <w:pPr>
        <w:keepNext w:val="0"/>
        <w:keepLines w:val="0"/>
        <w:pageBreakBefore w:val="0"/>
        <w:kinsoku/>
        <w:wordWrap/>
        <w:overflowPunct/>
        <w:topLinePunct w:val="0"/>
        <w:autoSpaceDE/>
        <w:autoSpaceDN/>
        <w:bidi w:val="0"/>
        <w:spacing w:line="580" w:lineRule="exact"/>
        <w:ind w:firstLine="640" w:firstLineChars="200"/>
        <w:jc w:val="both"/>
        <w:textAlignment w:val="auto"/>
        <w:outlineLvl w:val="9"/>
        <w:rPr>
          <w:rFonts w:hint="eastAsia" w:ascii="仿宋_GB2312" w:hAnsi="Times New Roman" w:eastAsia="仿宋_GB2312" w:cs="Times New Roman"/>
          <w:kern w:val="0"/>
          <w:sz w:val="32"/>
          <w:szCs w:val="32"/>
          <w:shd w:val="clear" w:color="auto" w:fill="FFFFFF"/>
          <w:lang w:val="en-US" w:eastAsia="zh-CN" w:bidi="ar"/>
        </w:rPr>
      </w:pPr>
      <w:r>
        <w:rPr>
          <w:rFonts w:hint="eastAsia" w:ascii="仿宋_GB2312" w:hAnsi="Times New Roman" w:eastAsia="仿宋_GB2312" w:cs="Times New Roman"/>
          <w:kern w:val="0"/>
          <w:sz w:val="32"/>
          <w:szCs w:val="32"/>
          <w:shd w:val="clear" w:color="auto" w:fill="FFFFFF"/>
          <w:lang w:val="en-US" w:eastAsia="zh-CN" w:bidi="ar"/>
        </w:rPr>
        <w:t>2019年，宁波市应急管理局的政府信息公开工作虽然取得一定成绩，但与大应急、大安全、大减灾工作体系以及人民群众日益增长的应急管理信息需求相比还存在一定差距。主要表现在：整体工作系统性有待进一步提升；主动公开意识有待进一步增强；回应公众关切质量有待进一步提高。新的一年里，我们将继续加强组织领导、强化制度保障、加大培训力度、提升业务水平，进一步提高应急管理政府信息公开工作的整体效能。</w:t>
      </w:r>
    </w:p>
    <w:p>
      <w:pPr>
        <w:keepNext w:val="0"/>
        <w:keepLines w:val="0"/>
        <w:pageBreakBefore w:val="0"/>
        <w:numPr>
          <w:ilvl w:val="0"/>
          <w:numId w:val="1"/>
        </w:numPr>
        <w:kinsoku/>
        <w:wordWrap/>
        <w:overflowPunct/>
        <w:topLinePunct w:val="0"/>
        <w:autoSpaceDE/>
        <w:autoSpaceDN/>
        <w:bidi w:val="0"/>
        <w:spacing w:line="580" w:lineRule="exact"/>
        <w:ind w:left="722" w:leftChars="0" w:firstLine="0" w:firstLineChars="0"/>
        <w:textAlignment w:val="auto"/>
        <w:outlineLvl w:val="9"/>
        <w:rPr>
          <w:rFonts w:hint="eastAsia" w:ascii="仿宋_GB2312" w:hAnsi="Times New Roman" w:eastAsia="仿宋_GB2312" w:cs="Times New Roman"/>
          <w:kern w:val="0"/>
          <w:sz w:val="32"/>
          <w:szCs w:val="32"/>
          <w:shd w:val="clear" w:color="auto" w:fill="FFFFFF"/>
          <w:lang w:val="en-US" w:eastAsia="zh-CN" w:bidi="ar"/>
        </w:rPr>
      </w:pPr>
      <w:r>
        <w:rPr>
          <w:rFonts w:hint="eastAsia" w:ascii="黑体" w:hAnsi="黑体" w:eastAsia="黑体" w:cs="Times New Roman"/>
          <w:kern w:val="0"/>
          <w:sz w:val="32"/>
          <w:szCs w:val="32"/>
          <w:shd w:val="clear" w:color="auto" w:fill="FFFFFF"/>
          <w:lang w:val="en-US" w:eastAsia="zh-CN" w:bidi="ar-SA"/>
        </w:rPr>
        <w:t>其他需要报告的事项</w:t>
      </w:r>
    </w:p>
    <w:p>
      <w:pPr>
        <w:keepNext w:val="0"/>
        <w:keepLines w:val="0"/>
        <w:pageBreakBefore w:val="0"/>
        <w:numPr>
          <w:ilvl w:val="0"/>
          <w:numId w:val="0"/>
        </w:numPr>
        <w:kinsoku/>
        <w:wordWrap/>
        <w:overflowPunct/>
        <w:topLinePunct w:val="0"/>
        <w:autoSpaceDE/>
        <w:autoSpaceDN/>
        <w:bidi w:val="0"/>
        <w:spacing w:line="580" w:lineRule="exact"/>
        <w:ind w:firstLine="640" w:firstLineChars="200"/>
        <w:textAlignment w:val="auto"/>
        <w:outlineLvl w:val="9"/>
        <w:rPr>
          <w:rFonts w:hint="eastAsia" w:ascii="仿宋_GB2312" w:hAnsi="Times New Roman" w:eastAsia="仿宋_GB2312" w:cs="Times New Roman"/>
          <w:kern w:val="0"/>
          <w:sz w:val="32"/>
          <w:szCs w:val="32"/>
          <w:shd w:val="clear" w:color="auto" w:fill="FFFFFF"/>
          <w:lang w:val="en-US" w:eastAsia="zh-CN" w:bidi="ar"/>
        </w:rPr>
      </w:pPr>
      <w:r>
        <w:rPr>
          <w:rFonts w:hint="eastAsia" w:ascii="仿宋_GB2312" w:hAnsi="Times New Roman" w:eastAsia="仿宋_GB2312" w:cs="Times New Roman"/>
          <w:kern w:val="0"/>
          <w:sz w:val="32"/>
          <w:szCs w:val="32"/>
          <w:shd w:val="clear" w:color="auto" w:fill="FFFFFF"/>
          <w:lang w:val="en-US" w:eastAsia="zh-CN" w:bidi="ar"/>
        </w:rPr>
        <w:t>本年度无其他需要报告的事项。</w:t>
      </w:r>
    </w:p>
    <w:p>
      <w:pPr>
        <w:keepNext w:val="0"/>
        <w:keepLines w:val="0"/>
        <w:pageBreakBefore w:val="0"/>
        <w:numPr>
          <w:ilvl w:val="0"/>
          <w:numId w:val="0"/>
        </w:numPr>
        <w:kinsoku/>
        <w:wordWrap/>
        <w:overflowPunct/>
        <w:topLinePunct w:val="0"/>
        <w:autoSpaceDE/>
        <w:autoSpaceDN/>
        <w:bidi w:val="0"/>
        <w:spacing w:line="580" w:lineRule="exact"/>
        <w:ind w:firstLine="640" w:firstLineChars="200"/>
        <w:textAlignment w:val="auto"/>
        <w:outlineLvl w:val="9"/>
        <w:rPr>
          <w:rFonts w:hint="eastAsia" w:ascii="仿宋_GB2312" w:hAnsi="Times New Roman" w:eastAsia="仿宋_GB2312" w:cs="Times New Roman"/>
          <w:w w:val="90"/>
          <w:kern w:val="0"/>
          <w:sz w:val="32"/>
          <w:szCs w:val="32"/>
          <w:shd w:val="clear" w:color="auto" w:fill="FFFFFF"/>
          <w:lang w:val="en-US" w:eastAsia="zh-CN" w:bidi="ar"/>
        </w:rPr>
      </w:pPr>
      <w:r>
        <w:rPr>
          <w:rFonts w:hint="eastAsia" w:ascii="仿宋_GB2312" w:hAnsi="Times New Roman" w:eastAsia="仿宋_GB2312" w:cs="Times New Roman"/>
          <w:kern w:val="0"/>
          <w:sz w:val="32"/>
          <w:szCs w:val="32"/>
          <w:shd w:val="clear" w:color="auto" w:fill="FFFFFF"/>
          <w:lang w:val="en-US" w:eastAsia="zh-CN" w:bidi="ar"/>
        </w:rPr>
        <w:t>附件：</w:t>
      </w:r>
      <w:r>
        <w:rPr>
          <w:rFonts w:hint="eastAsia" w:ascii="仿宋_GB2312" w:hAnsi="Times New Roman" w:eastAsia="仿宋_GB2312" w:cs="Times New Roman"/>
          <w:w w:val="90"/>
          <w:kern w:val="0"/>
          <w:sz w:val="32"/>
          <w:szCs w:val="32"/>
          <w:shd w:val="clear" w:color="auto" w:fill="FFFFFF"/>
          <w:lang w:val="en-US" w:eastAsia="zh-CN" w:bidi="ar"/>
        </w:rPr>
        <w:t>2019年度宁波市应急管理局政府信息公开情况统计表</w:t>
      </w:r>
    </w:p>
    <w:p>
      <w:pPr>
        <w:pStyle w:val="4"/>
        <w:keepNext w:val="0"/>
        <w:keepLines w:val="0"/>
        <w:widowControl/>
        <w:suppressLineNumbers w:val="0"/>
        <w:shd w:val="clear" w:fill="FFFFFF"/>
        <w:spacing w:before="0" w:beforeAutospacing="0" w:after="0" w:afterAutospacing="0"/>
        <w:ind w:left="0" w:right="0" w:firstLine="420"/>
        <w:jc w:val="left"/>
        <w:rPr>
          <w:rFonts w:hint="eastAsia" w:ascii="仿宋_GB2312" w:hAnsi="Times New Roman" w:eastAsia="仿宋_GB2312" w:cs="Times New Roman"/>
          <w:kern w:val="0"/>
          <w:sz w:val="32"/>
          <w:szCs w:val="32"/>
          <w:shd w:val="clear" w:color="auto" w:fill="FFFFFF"/>
          <w:lang w:val="en-US" w:eastAsia="zh-CN" w:bidi="ar"/>
        </w:rPr>
      </w:pPr>
      <w:r>
        <w:rPr>
          <w:rFonts w:hint="eastAsia" w:ascii="仿宋_GB2312" w:hAnsi="Times New Roman" w:eastAsia="仿宋_GB2312" w:cs="Times New Roman"/>
          <w:kern w:val="0"/>
          <w:sz w:val="32"/>
          <w:szCs w:val="32"/>
          <w:shd w:val="clear" w:color="auto" w:fill="FFFFFF"/>
          <w:lang w:val="en-US" w:eastAsia="zh-CN" w:bidi="ar"/>
        </w:rPr>
        <w:t>                        </w:t>
      </w:r>
    </w:p>
    <w:p>
      <w:pPr>
        <w:pStyle w:val="4"/>
        <w:keepNext w:val="0"/>
        <w:keepLines w:val="0"/>
        <w:widowControl/>
        <w:suppressLineNumbers w:val="0"/>
        <w:shd w:val="clear" w:fill="FFFFFF"/>
        <w:spacing w:before="0" w:beforeAutospacing="0" w:after="0" w:afterAutospacing="0"/>
        <w:ind w:right="0" w:firstLine="4800" w:firstLineChars="1500"/>
        <w:jc w:val="left"/>
        <w:rPr>
          <w:rFonts w:hint="eastAsia" w:ascii="仿宋_GB2312" w:hAnsi="Times New Roman" w:eastAsia="仿宋_GB2312" w:cs="Times New Roman"/>
          <w:kern w:val="0"/>
          <w:sz w:val="32"/>
          <w:szCs w:val="32"/>
          <w:shd w:val="clear" w:color="auto" w:fill="FFFFFF"/>
          <w:lang w:val="en-US" w:eastAsia="zh-CN" w:bidi="ar"/>
        </w:rPr>
      </w:pPr>
      <w:r>
        <w:rPr>
          <w:rFonts w:hint="eastAsia" w:ascii="仿宋_GB2312" w:hAnsi="Times New Roman" w:eastAsia="仿宋_GB2312" w:cs="Times New Roman"/>
          <w:kern w:val="0"/>
          <w:sz w:val="32"/>
          <w:szCs w:val="32"/>
          <w:shd w:val="clear" w:color="auto" w:fill="FFFFFF"/>
          <w:lang w:val="en-US" w:eastAsia="zh-CN" w:bidi="ar"/>
        </w:rPr>
        <w:t>宁波市应急管理局</w:t>
      </w:r>
    </w:p>
    <w:p>
      <w:pPr>
        <w:pStyle w:val="4"/>
        <w:keepNext w:val="0"/>
        <w:keepLines w:val="0"/>
        <w:widowControl/>
        <w:suppressLineNumbers w:val="0"/>
        <w:shd w:val="clear" w:fill="FFFFFF"/>
        <w:spacing w:before="0" w:beforeAutospacing="0" w:after="0" w:afterAutospacing="0"/>
        <w:ind w:left="0" w:right="0" w:firstLine="420"/>
        <w:jc w:val="left"/>
        <w:rPr>
          <w:rFonts w:hint="eastAsia" w:ascii="仿宋_GB2312" w:hAnsi="Times New Roman" w:eastAsia="仿宋_GB2312" w:cs="Times New Roman"/>
          <w:kern w:val="0"/>
          <w:sz w:val="32"/>
          <w:szCs w:val="32"/>
          <w:shd w:val="clear" w:color="auto" w:fill="FFFFFF"/>
          <w:lang w:val="en-US" w:eastAsia="zh-CN" w:bidi="ar"/>
        </w:rPr>
      </w:pPr>
      <w:r>
        <w:rPr>
          <w:rFonts w:hint="eastAsia" w:ascii="仿宋_GB2312" w:hAnsi="Times New Roman" w:eastAsia="仿宋_GB2312" w:cs="Times New Roman"/>
          <w:kern w:val="0"/>
          <w:sz w:val="32"/>
          <w:szCs w:val="32"/>
          <w:shd w:val="clear" w:color="auto" w:fill="FFFFFF"/>
          <w:lang w:val="en-US" w:eastAsia="zh-CN" w:bidi="ar"/>
        </w:rPr>
        <w:t>                                           2020年1月20日</w:t>
      </w:r>
    </w:p>
    <w:p>
      <w:pPr>
        <w:pStyle w:val="4"/>
        <w:keepNext w:val="0"/>
        <w:keepLines w:val="0"/>
        <w:widowControl/>
        <w:suppressLineNumbers w:val="0"/>
        <w:shd w:val="clear" w:fill="FFFFFF"/>
        <w:spacing w:before="0" w:beforeAutospacing="0" w:after="0" w:afterAutospacing="0"/>
        <w:ind w:left="0" w:right="0" w:firstLine="420"/>
        <w:jc w:val="left"/>
        <w:rPr>
          <w:rFonts w:hint="eastAsia" w:ascii="仿宋_GB2312" w:hAnsi="Times New Roman" w:eastAsia="仿宋_GB2312" w:cs="Times New Roman"/>
          <w:kern w:val="0"/>
          <w:sz w:val="32"/>
          <w:szCs w:val="32"/>
          <w:shd w:val="clear" w:color="auto" w:fill="FFFFFF"/>
          <w:lang w:val="en-US" w:eastAsia="zh-CN" w:bidi="ar"/>
        </w:rPr>
      </w:pPr>
    </w:p>
    <w:p>
      <w:pPr>
        <w:pStyle w:val="4"/>
        <w:keepNext w:val="0"/>
        <w:keepLines w:val="0"/>
        <w:widowControl/>
        <w:suppressLineNumbers w:val="0"/>
        <w:shd w:val="clear" w:fill="FFFFFF"/>
        <w:spacing w:before="0" w:beforeAutospacing="0" w:after="0" w:afterAutospacing="0"/>
        <w:ind w:right="0"/>
        <w:jc w:val="left"/>
        <w:rPr>
          <w:rFonts w:hint="eastAsia" w:ascii="黑体" w:hAnsi="黑体" w:eastAsia="黑体" w:cs="黑体"/>
          <w:color w:val="000000"/>
          <w:kern w:val="0"/>
          <w:sz w:val="32"/>
          <w:szCs w:val="32"/>
        </w:rPr>
      </w:pPr>
    </w:p>
    <w:p>
      <w:pPr>
        <w:pStyle w:val="4"/>
        <w:keepNext w:val="0"/>
        <w:keepLines w:val="0"/>
        <w:widowControl/>
        <w:suppressLineNumbers w:val="0"/>
        <w:shd w:val="clear" w:fill="FFFFFF"/>
        <w:spacing w:before="0" w:beforeAutospacing="0" w:after="0" w:afterAutospacing="0"/>
        <w:ind w:right="0"/>
        <w:jc w:val="left"/>
        <w:rPr>
          <w:rFonts w:hint="eastAsia" w:ascii="黑体" w:hAnsi="黑体" w:eastAsia="黑体" w:cs="黑体"/>
          <w:color w:val="000000"/>
          <w:kern w:val="0"/>
          <w:sz w:val="32"/>
          <w:szCs w:val="32"/>
        </w:rPr>
      </w:pPr>
    </w:p>
    <w:p>
      <w:pPr>
        <w:pStyle w:val="4"/>
        <w:keepNext w:val="0"/>
        <w:keepLines w:val="0"/>
        <w:widowControl/>
        <w:suppressLineNumbers w:val="0"/>
        <w:shd w:val="clear" w:fill="FFFFFF"/>
        <w:spacing w:before="0" w:beforeAutospacing="0" w:after="0" w:afterAutospacing="0"/>
        <w:ind w:right="0"/>
        <w:jc w:val="left"/>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附件</w:t>
      </w:r>
    </w:p>
    <w:p>
      <w:pPr>
        <w:pStyle w:val="4"/>
        <w:keepNext w:val="0"/>
        <w:keepLines w:val="0"/>
        <w:widowControl/>
        <w:suppressLineNumbers w:val="0"/>
        <w:shd w:val="clear" w:fill="FFFFFF"/>
        <w:spacing w:before="0" w:beforeAutospacing="0" w:after="0" w:afterAutospacing="0"/>
        <w:ind w:right="0"/>
        <w:jc w:val="left"/>
        <w:rPr>
          <w:rFonts w:hint="eastAsia" w:ascii="黑体" w:hAnsi="黑体" w:eastAsia="黑体" w:cs="黑体"/>
          <w:color w:val="000000"/>
          <w:kern w:val="0"/>
          <w:sz w:val="32"/>
          <w:szCs w:val="32"/>
          <w:lang w:val="en-US" w:eastAsia="zh-CN"/>
        </w:rPr>
      </w:pPr>
    </w:p>
    <w:p>
      <w:pPr>
        <w:keepNext w:val="0"/>
        <w:keepLines w:val="0"/>
        <w:pageBreakBefore w:val="0"/>
        <w:kinsoku/>
        <w:wordWrap/>
        <w:overflowPunct/>
        <w:topLinePunct w:val="0"/>
        <w:autoSpaceDE/>
        <w:autoSpaceDN/>
        <w:bidi w:val="0"/>
        <w:spacing w:line="400" w:lineRule="exact"/>
        <w:jc w:val="center"/>
        <w:textAlignment w:val="auto"/>
        <w:rPr>
          <w:rFonts w:hint="eastAsia" w:ascii="创艺简标宋" w:hAnsi="创艺简标宋" w:eastAsia="创艺简标宋" w:cs="创艺简标宋"/>
          <w:spacing w:val="-4"/>
          <w:sz w:val="36"/>
          <w:szCs w:val="36"/>
        </w:rPr>
      </w:pPr>
      <w:r>
        <w:rPr>
          <w:rFonts w:hint="eastAsia" w:ascii="创艺简标宋" w:hAnsi="创艺简标宋" w:eastAsia="创艺简标宋" w:cs="创艺简标宋"/>
          <w:spacing w:val="-4"/>
          <w:sz w:val="36"/>
          <w:szCs w:val="36"/>
          <w:lang w:val="en-US" w:eastAsia="zh-CN"/>
        </w:rPr>
        <w:t>2019年度宁波市应急管理局</w:t>
      </w:r>
      <w:r>
        <w:rPr>
          <w:rFonts w:hint="eastAsia" w:ascii="创艺简标宋" w:hAnsi="创艺简标宋" w:eastAsia="创艺简标宋" w:cs="创艺简标宋"/>
          <w:spacing w:val="-4"/>
          <w:sz w:val="36"/>
          <w:szCs w:val="36"/>
        </w:rPr>
        <w:t>政府信息公开情况统计表</w:t>
      </w:r>
    </w:p>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spacing w:line="400" w:lineRule="exact"/>
        <w:textAlignment w:val="auto"/>
        <w:outlineLvl w:val="9"/>
        <w:rPr>
          <w:rFonts w:hint="eastAsia" w:ascii="黑体" w:hAnsi="黑体" w:eastAsia="黑体" w:cs="黑体"/>
          <w:sz w:val="32"/>
          <w:szCs w:val="32"/>
        </w:rPr>
      </w:pPr>
      <w:r>
        <w:rPr>
          <w:rFonts w:hint="eastAsia" w:ascii="黑体" w:hAnsi="黑体" w:eastAsia="黑体" w:cs="黑体"/>
          <w:sz w:val="30"/>
          <w:szCs w:val="30"/>
          <w:lang w:eastAsia="zh-CN"/>
        </w:rPr>
        <w:t>一、</w:t>
      </w:r>
      <w:r>
        <w:rPr>
          <w:rFonts w:hint="eastAsia" w:ascii="黑体" w:hAnsi="黑体" w:eastAsia="黑体" w:cs="黑体"/>
          <w:sz w:val="30"/>
          <w:szCs w:val="30"/>
        </w:rPr>
        <w:t>主动公开</w:t>
      </w:r>
    </w:p>
    <w:p>
      <w:pPr>
        <w:keepNext w:val="0"/>
        <w:keepLines w:val="0"/>
        <w:pageBreakBefore w:val="0"/>
        <w:kinsoku/>
        <w:wordWrap/>
        <w:overflowPunct/>
        <w:topLinePunct w:val="0"/>
        <w:autoSpaceDE/>
        <w:autoSpaceDN/>
        <w:bidi w:val="0"/>
        <w:spacing w:line="400" w:lineRule="exact"/>
        <w:textAlignment w:val="auto"/>
        <w:outlineLvl w:val="9"/>
        <w:rPr>
          <w:rFonts w:hint="eastAsia" w:ascii="黑体" w:hAnsi="黑体" w:eastAsia="黑体" w:cs="黑体"/>
          <w:sz w:val="30"/>
          <w:szCs w:val="30"/>
        </w:rPr>
      </w:pPr>
      <w:r>
        <w:rPr>
          <w:rFonts w:hint="eastAsia" w:ascii="楷体_GB2312" w:hAnsi="楷体_GB2312" w:eastAsia="楷体_GB2312" w:cs="楷体_GB2312"/>
          <w:sz w:val="30"/>
          <w:szCs w:val="30"/>
          <w:lang w:val="en-US" w:eastAsia="zh-CN"/>
        </w:rPr>
        <w:t>1.不同渠道方式主动公开及回应解读总体情况</w:t>
      </w:r>
    </w:p>
    <w:tbl>
      <w:tblPr>
        <w:tblStyle w:val="6"/>
        <w:tblW w:w="8880" w:type="dxa"/>
        <w:jc w:val="center"/>
        <w:tblInd w:w="-8" w:type="dxa"/>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
      <w:tblGrid>
        <w:gridCol w:w="6455"/>
        <w:gridCol w:w="806"/>
        <w:gridCol w:w="1619"/>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黑体" w:hAnsi="黑体" w:eastAsia="黑体" w:cs="黑体"/>
                <w:b w:val="0"/>
                <w:bCs w:val="0"/>
                <w:snapToGrid w:val="0"/>
                <w:spacing w:val="-4"/>
                <w:kern w:val="0"/>
                <w:sz w:val="24"/>
                <w:szCs w:val="24"/>
              </w:rPr>
            </w:pPr>
            <w:bookmarkStart w:id="0" w:name="_Hlk26876326"/>
            <w:r>
              <w:rPr>
                <w:rFonts w:hint="eastAsia" w:ascii="黑体" w:hAnsi="黑体" w:eastAsia="黑体" w:cs="黑体"/>
                <w:b w:val="0"/>
                <w:bCs w:val="0"/>
                <w:snapToGrid w:val="0"/>
                <w:spacing w:val="-4"/>
                <w:kern w:val="0"/>
                <w:sz w:val="24"/>
                <w:szCs w:val="24"/>
              </w:rPr>
              <w:t>统　计　指　标</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黑体" w:hAnsi="黑体" w:eastAsia="黑体" w:cs="黑体"/>
                <w:b w:val="0"/>
                <w:bCs w:val="0"/>
                <w:snapToGrid w:val="0"/>
                <w:spacing w:val="-4"/>
                <w:kern w:val="0"/>
                <w:sz w:val="24"/>
                <w:szCs w:val="24"/>
              </w:rPr>
            </w:pPr>
            <w:r>
              <w:rPr>
                <w:rFonts w:hint="eastAsia" w:ascii="黑体" w:hAnsi="黑体" w:eastAsia="黑体" w:cs="黑体"/>
                <w:b w:val="0"/>
                <w:bCs w:val="0"/>
                <w:snapToGrid w:val="0"/>
                <w:spacing w:val="-4"/>
                <w:kern w:val="0"/>
                <w:sz w:val="24"/>
                <w:szCs w:val="24"/>
              </w:rPr>
              <w:t>单位</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黑体" w:hAnsi="黑体" w:eastAsia="黑体" w:cs="黑体"/>
                <w:b w:val="0"/>
                <w:bCs w:val="0"/>
                <w:snapToGrid w:val="0"/>
                <w:spacing w:val="-4"/>
                <w:kern w:val="0"/>
                <w:sz w:val="24"/>
                <w:szCs w:val="24"/>
              </w:rPr>
            </w:pPr>
            <w:r>
              <w:rPr>
                <w:rFonts w:hint="eastAsia" w:ascii="黑体" w:hAnsi="黑体" w:eastAsia="黑体" w:cs="黑体"/>
                <w:b w:val="0"/>
                <w:bCs w:val="0"/>
                <w:snapToGrid w:val="0"/>
                <w:spacing w:val="-4"/>
                <w:kern w:val="0"/>
                <w:sz w:val="24"/>
                <w:szCs w:val="24"/>
              </w:rPr>
              <w:t>统计数</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102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left"/>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　　（一）主动公开政府信息数</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ind w:firstLine="1044" w:firstLineChars="450"/>
              <w:jc w:val="left"/>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（不同渠道和方式公开相同信息计1条）</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lang w:val="en-US" w:eastAsia="zh-CN"/>
              </w:rPr>
            </w:pPr>
            <w:r>
              <w:rPr>
                <w:rFonts w:hint="eastAsia" w:ascii="仿宋_GB2312" w:hAnsi="仿宋_GB2312" w:eastAsia="仿宋_GB2312" w:cs="仿宋_GB2312"/>
                <w:snapToGrid w:val="0"/>
                <w:spacing w:val="-4"/>
                <w:kern w:val="0"/>
                <w:sz w:val="24"/>
                <w:szCs w:val="24"/>
                <w:lang w:val="en-US" w:eastAsia="zh-CN"/>
              </w:rPr>
              <w:t>4970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left"/>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　　（二）通过不同渠道和方式公开政府信息的情况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left"/>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　　　　　1.政府公报公开政府信息数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lang w:val="en-US" w:eastAsia="zh-CN"/>
              </w:rPr>
            </w:pPr>
            <w:r>
              <w:rPr>
                <w:rFonts w:hint="eastAsia" w:ascii="仿宋_GB2312" w:hAnsi="仿宋_GB2312" w:eastAsia="仿宋_GB2312" w:cs="仿宋_GB2312"/>
                <w:snapToGrid w:val="0"/>
                <w:spacing w:val="-4"/>
                <w:kern w:val="0"/>
                <w:sz w:val="24"/>
                <w:szCs w:val="24"/>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left"/>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　　　　　2.政府网站公开政府信息数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lang w:val="en-US" w:eastAsia="zh-CN"/>
              </w:rPr>
            </w:pPr>
            <w:r>
              <w:rPr>
                <w:rFonts w:hint="eastAsia" w:ascii="仿宋_GB2312" w:hAnsi="仿宋_GB2312" w:eastAsia="仿宋_GB2312" w:cs="仿宋_GB2312"/>
                <w:snapToGrid w:val="0"/>
                <w:spacing w:val="-4"/>
                <w:kern w:val="0"/>
                <w:sz w:val="24"/>
                <w:szCs w:val="24"/>
                <w:lang w:val="en-US" w:eastAsia="zh-CN"/>
              </w:rPr>
              <w:t>4970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left"/>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　　　　　3.政务微博公开政府信息数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lang w:val="en-US" w:eastAsia="zh-CN"/>
              </w:rPr>
            </w:pPr>
            <w:r>
              <w:rPr>
                <w:rFonts w:hint="eastAsia" w:ascii="仿宋_GB2312" w:hAnsi="仿宋_GB2312" w:eastAsia="仿宋_GB2312" w:cs="仿宋_GB2312"/>
                <w:snapToGrid w:val="0"/>
                <w:spacing w:val="-4"/>
                <w:kern w:val="0"/>
                <w:sz w:val="24"/>
                <w:szCs w:val="24"/>
                <w:lang w:val="en-US" w:eastAsia="zh-CN"/>
              </w:rPr>
              <w:t>159</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left"/>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　　　　　4.政务微信公开政府信息数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lang w:val="en-US" w:eastAsia="zh-CN"/>
              </w:rPr>
            </w:pPr>
            <w:r>
              <w:rPr>
                <w:rFonts w:hint="eastAsia" w:ascii="仿宋_GB2312" w:hAnsi="仿宋_GB2312" w:eastAsia="仿宋_GB2312" w:cs="仿宋_GB2312"/>
                <w:snapToGrid w:val="0"/>
                <w:spacing w:val="-4"/>
                <w:kern w:val="0"/>
                <w:sz w:val="24"/>
                <w:szCs w:val="24"/>
                <w:lang w:val="en-US" w:eastAsia="zh-CN"/>
              </w:rPr>
              <w:t>147</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left"/>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　　　　　5.其他方式公开政府信息数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lang w:val="en-US" w:eastAsia="zh-CN"/>
              </w:rPr>
            </w:pPr>
            <w:r>
              <w:rPr>
                <w:rFonts w:hint="eastAsia" w:ascii="仿宋_GB2312" w:hAnsi="仿宋_GB2312" w:eastAsia="仿宋_GB2312" w:cs="仿宋_GB2312"/>
                <w:snapToGrid w:val="0"/>
                <w:spacing w:val="-4"/>
                <w:kern w:val="0"/>
                <w:sz w:val="24"/>
                <w:szCs w:val="24"/>
                <w:lang w:val="en-US" w:eastAsia="zh-CN"/>
              </w:rPr>
              <w:t>22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102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left"/>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　　（</w:t>
            </w:r>
            <w:r>
              <w:rPr>
                <w:rFonts w:hint="eastAsia" w:ascii="仿宋_GB2312" w:hAnsi="仿宋_GB2312" w:eastAsia="仿宋_GB2312" w:cs="仿宋_GB2312"/>
                <w:snapToGrid w:val="0"/>
                <w:spacing w:val="-4"/>
                <w:kern w:val="0"/>
                <w:sz w:val="24"/>
                <w:szCs w:val="24"/>
                <w:lang w:eastAsia="zh-CN"/>
              </w:rPr>
              <w:t>三</w:t>
            </w:r>
            <w:r>
              <w:rPr>
                <w:rFonts w:hint="eastAsia" w:ascii="仿宋_GB2312" w:hAnsi="仿宋_GB2312" w:eastAsia="仿宋_GB2312" w:cs="仿宋_GB2312"/>
                <w:snapToGrid w:val="0"/>
                <w:spacing w:val="-4"/>
                <w:kern w:val="0"/>
                <w:sz w:val="24"/>
                <w:szCs w:val="24"/>
              </w:rPr>
              <w:t>）回应公众关注热点或重大舆情数</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left"/>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　　　　（不同方式回应同一热点或舆情计1次）</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lang w:val="en-US" w:eastAsia="zh-CN"/>
              </w:rPr>
            </w:pPr>
            <w:r>
              <w:rPr>
                <w:rFonts w:hint="eastAsia" w:ascii="仿宋_GB2312" w:hAnsi="仿宋_GB2312" w:eastAsia="仿宋_GB2312" w:cs="仿宋_GB2312"/>
                <w:snapToGrid w:val="0"/>
                <w:spacing w:val="-4"/>
                <w:kern w:val="0"/>
                <w:sz w:val="24"/>
                <w:szCs w:val="24"/>
                <w:lang w:val="en-US" w:eastAsia="zh-CN"/>
              </w:rPr>
              <w:t>25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left"/>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　　（</w:t>
            </w:r>
            <w:r>
              <w:rPr>
                <w:rFonts w:hint="eastAsia" w:ascii="仿宋_GB2312" w:hAnsi="仿宋_GB2312" w:eastAsia="仿宋_GB2312" w:cs="仿宋_GB2312"/>
                <w:snapToGrid w:val="0"/>
                <w:spacing w:val="-4"/>
                <w:kern w:val="0"/>
                <w:sz w:val="24"/>
                <w:szCs w:val="24"/>
                <w:lang w:eastAsia="zh-CN"/>
              </w:rPr>
              <w:t>四</w:t>
            </w:r>
            <w:r>
              <w:rPr>
                <w:rFonts w:hint="eastAsia" w:ascii="仿宋_GB2312" w:hAnsi="仿宋_GB2312" w:eastAsia="仿宋_GB2312" w:cs="仿宋_GB2312"/>
                <w:snapToGrid w:val="0"/>
                <w:spacing w:val="-4"/>
                <w:kern w:val="0"/>
                <w:sz w:val="24"/>
                <w:szCs w:val="24"/>
              </w:rPr>
              <w:t>）通过不同渠道和方式回应解读的情况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left"/>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　　　　　1.参加或举办新闻发布会总次数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lang w:val="en-US" w:eastAsia="zh-CN"/>
              </w:rPr>
            </w:pPr>
            <w:r>
              <w:rPr>
                <w:rFonts w:hint="eastAsia" w:ascii="仿宋_GB2312" w:hAnsi="仿宋_GB2312" w:eastAsia="仿宋_GB2312" w:cs="仿宋_GB2312"/>
                <w:snapToGrid w:val="0"/>
                <w:spacing w:val="-4"/>
                <w:kern w:val="0"/>
                <w:sz w:val="24"/>
                <w:szCs w:val="24"/>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left"/>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　　　　　　其中：主要负责同志参加新闻发布会次数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lang w:val="en-US" w:eastAsia="zh-CN"/>
              </w:rPr>
            </w:pPr>
            <w:r>
              <w:rPr>
                <w:rFonts w:hint="eastAsia" w:ascii="仿宋_GB2312" w:hAnsi="仿宋_GB2312" w:eastAsia="仿宋_GB2312" w:cs="仿宋_GB2312"/>
                <w:snapToGrid w:val="0"/>
                <w:spacing w:val="-4"/>
                <w:kern w:val="0"/>
                <w:sz w:val="24"/>
                <w:szCs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left"/>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　　　　　2.政府网站在线访谈次数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lang w:val="en-US" w:eastAsia="zh-CN"/>
              </w:rPr>
            </w:pPr>
            <w:r>
              <w:rPr>
                <w:rFonts w:hint="eastAsia" w:ascii="仿宋_GB2312" w:hAnsi="仿宋_GB2312" w:eastAsia="仿宋_GB2312" w:cs="仿宋_GB2312"/>
                <w:snapToGrid w:val="0"/>
                <w:spacing w:val="-4"/>
                <w:kern w:val="0"/>
                <w:sz w:val="24"/>
                <w:szCs w:val="24"/>
                <w:lang w:val="en-US" w:eastAsia="zh-CN"/>
              </w:rPr>
              <w:t>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left"/>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　　　　　　其中：主要负责同志参加政府网站在线访谈次数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lang w:val="en-US" w:eastAsia="zh-CN"/>
              </w:rPr>
            </w:pPr>
            <w:r>
              <w:rPr>
                <w:rFonts w:hint="eastAsia" w:ascii="仿宋_GB2312" w:hAnsi="仿宋_GB2312" w:eastAsia="仿宋_GB2312" w:cs="仿宋_GB2312"/>
                <w:snapToGrid w:val="0"/>
                <w:spacing w:val="-4"/>
                <w:kern w:val="0"/>
                <w:sz w:val="24"/>
                <w:szCs w:val="24"/>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left"/>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　　　　　3.政策解读稿件发布数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篇</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lang w:val="en-US" w:eastAsia="zh-CN"/>
              </w:rPr>
            </w:pPr>
            <w:r>
              <w:rPr>
                <w:rFonts w:hint="eastAsia" w:ascii="仿宋_GB2312" w:hAnsi="仿宋_GB2312" w:eastAsia="仿宋_GB2312" w:cs="仿宋_GB2312"/>
                <w:snapToGrid w:val="0"/>
                <w:spacing w:val="-4"/>
                <w:kern w:val="0"/>
                <w:sz w:val="24"/>
                <w:szCs w:val="24"/>
                <w:lang w:val="en-US" w:eastAsia="zh-CN"/>
              </w:rPr>
              <w:t>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left"/>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　　　　　4.微博微信回应事件数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lang w:val="en-US" w:eastAsia="zh-CN"/>
              </w:rPr>
            </w:pPr>
            <w:r>
              <w:rPr>
                <w:rFonts w:hint="eastAsia" w:ascii="仿宋_GB2312" w:hAnsi="仿宋_GB2312" w:eastAsia="仿宋_GB2312" w:cs="仿宋_GB2312"/>
                <w:snapToGrid w:val="0"/>
                <w:spacing w:val="-4"/>
                <w:kern w:val="0"/>
                <w:sz w:val="24"/>
                <w:szCs w:val="24"/>
                <w:lang w:val="en-US" w:eastAsia="zh-CN"/>
              </w:rPr>
              <w:t>57</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left"/>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　　　　　5.其他方式回应事件数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lang w:val="en-US" w:eastAsia="zh-CN"/>
              </w:rPr>
            </w:pPr>
            <w:r>
              <w:rPr>
                <w:rFonts w:hint="eastAsia" w:ascii="仿宋_GB2312" w:hAnsi="仿宋_GB2312" w:eastAsia="仿宋_GB2312" w:cs="仿宋_GB2312"/>
                <w:snapToGrid w:val="0"/>
                <w:spacing w:val="-4"/>
                <w:kern w:val="0"/>
                <w:sz w:val="24"/>
                <w:szCs w:val="24"/>
                <w:lang w:val="en-US" w:eastAsia="zh-CN"/>
              </w:rPr>
              <w:t>0</w:t>
            </w:r>
          </w:p>
        </w:tc>
      </w:tr>
      <w:bookmarkEnd w:id="0"/>
    </w:tbl>
    <w:p>
      <w:pPr>
        <w:keepNext w:val="0"/>
        <w:keepLines w:val="0"/>
        <w:pageBreakBefore w:val="0"/>
        <w:kinsoku/>
        <w:wordWrap/>
        <w:overflowPunct/>
        <w:topLinePunct w:val="0"/>
        <w:autoSpaceDE/>
        <w:autoSpaceDN/>
        <w:bidi w:val="0"/>
        <w:spacing w:line="400" w:lineRule="exact"/>
        <w:textAlignment w:val="auto"/>
        <w:outlineLvl w:val="9"/>
        <w:rPr>
          <w:rFonts w:hint="eastAsia" w:ascii="楷体_GB2312" w:hAnsi="楷体_GB2312" w:eastAsia="楷体_GB2312" w:cs="楷体_GB2312"/>
          <w:sz w:val="30"/>
          <w:szCs w:val="30"/>
          <w:lang w:val="en-US" w:eastAsia="zh-CN"/>
        </w:rPr>
      </w:pPr>
    </w:p>
    <w:p>
      <w:pPr>
        <w:keepNext w:val="0"/>
        <w:keepLines w:val="0"/>
        <w:pageBreakBefore w:val="0"/>
        <w:kinsoku/>
        <w:wordWrap/>
        <w:overflowPunct/>
        <w:topLinePunct w:val="0"/>
        <w:autoSpaceDE/>
        <w:autoSpaceDN/>
        <w:bidi w:val="0"/>
        <w:spacing w:line="400" w:lineRule="exact"/>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0"/>
          <w:szCs w:val="30"/>
          <w:lang w:val="en-US" w:eastAsia="zh-CN"/>
        </w:rPr>
        <w:t>2.主动公开政府信息具体情况</w:t>
      </w:r>
    </w:p>
    <w:tbl>
      <w:tblPr>
        <w:tblStyle w:val="6"/>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605"/>
        <w:gridCol w:w="2268"/>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1" w:type="dxa"/>
            <w:gridSpan w:val="4"/>
            <w:vAlign w:val="top"/>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信息内容</w:t>
            </w:r>
          </w:p>
        </w:tc>
        <w:tc>
          <w:tcPr>
            <w:tcW w:w="2605"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本年新制作数量</w:t>
            </w:r>
          </w:p>
        </w:tc>
        <w:tc>
          <w:tcPr>
            <w:tcW w:w="2268"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本年新公开数量</w:t>
            </w:r>
          </w:p>
        </w:tc>
        <w:tc>
          <w:tcPr>
            <w:tcW w:w="1984"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规章</w:t>
            </w:r>
          </w:p>
        </w:tc>
        <w:tc>
          <w:tcPr>
            <w:tcW w:w="2605"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2268"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1984"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规范性文件</w:t>
            </w:r>
          </w:p>
        </w:tc>
        <w:tc>
          <w:tcPr>
            <w:tcW w:w="2605"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2268"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1984"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1" w:type="dxa"/>
            <w:gridSpan w:val="4"/>
            <w:vAlign w:val="top"/>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信息内容</w:t>
            </w:r>
          </w:p>
        </w:tc>
        <w:tc>
          <w:tcPr>
            <w:tcW w:w="2605"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上一年项目数量</w:t>
            </w:r>
          </w:p>
        </w:tc>
        <w:tc>
          <w:tcPr>
            <w:tcW w:w="2268"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本年增/减</w:t>
            </w:r>
          </w:p>
        </w:tc>
        <w:tc>
          <w:tcPr>
            <w:tcW w:w="1984"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行政许可</w:t>
            </w:r>
          </w:p>
        </w:tc>
        <w:tc>
          <w:tcPr>
            <w:tcW w:w="2605"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148</w:t>
            </w:r>
          </w:p>
        </w:tc>
        <w:tc>
          <w:tcPr>
            <w:tcW w:w="2268"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-85</w:t>
            </w:r>
          </w:p>
        </w:tc>
        <w:tc>
          <w:tcPr>
            <w:tcW w:w="1984"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其他对外管理服务事项</w:t>
            </w:r>
          </w:p>
        </w:tc>
        <w:tc>
          <w:tcPr>
            <w:tcW w:w="2605"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2268"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1984"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1" w:type="dxa"/>
            <w:gridSpan w:val="4"/>
            <w:vAlign w:val="top"/>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信息内容</w:t>
            </w:r>
          </w:p>
        </w:tc>
        <w:tc>
          <w:tcPr>
            <w:tcW w:w="2605"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上一年项目数量</w:t>
            </w:r>
          </w:p>
        </w:tc>
        <w:tc>
          <w:tcPr>
            <w:tcW w:w="2268"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本年增/减</w:t>
            </w:r>
          </w:p>
        </w:tc>
        <w:tc>
          <w:tcPr>
            <w:tcW w:w="1984"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605"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44</w:t>
            </w:r>
          </w:p>
        </w:tc>
        <w:tc>
          <w:tcPr>
            <w:tcW w:w="2268"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1984"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行政强制</w:t>
            </w:r>
          </w:p>
        </w:tc>
        <w:tc>
          <w:tcPr>
            <w:tcW w:w="2605"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2268"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1984"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1" w:type="dxa"/>
            <w:gridSpan w:val="4"/>
            <w:vAlign w:val="top"/>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信息内容</w:t>
            </w:r>
          </w:p>
        </w:tc>
        <w:tc>
          <w:tcPr>
            <w:tcW w:w="2605"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上一年项目数量</w:t>
            </w:r>
          </w:p>
        </w:tc>
        <w:tc>
          <w:tcPr>
            <w:tcW w:w="4252" w:type="dxa"/>
            <w:gridSpan w:val="2"/>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行政事业性收费</w:t>
            </w:r>
          </w:p>
        </w:tc>
        <w:tc>
          <w:tcPr>
            <w:tcW w:w="2605"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4252" w:type="dxa"/>
            <w:gridSpan w:val="2"/>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1" w:type="dxa"/>
            <w:gridSpan w:val="4"/>
            <w:vAlign w:val="top"/>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信息内容</w:t>
            </w:r>
          </w:p>
        </w:tc>
        <w:tc>
          <w:tcPr>
            <w:tcW w:w="2605"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采购项目数量</w:t>
            </w:r>
          </w:p>
        </w:tc>
        <w:tc>
          <w:tcPr>
            <w:tcW w:w="4252" w:type="dxa"/>
            <w:gridSpan w:val="2"/>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rPr>
              <w:t>采购总金额</w:t>
            </w:r>
            <w:r>
              <w:rPr>
                <w:rFonts w:hint="eastAsia" w:ascii="黑体" w:hAnsi="黑体" w:eastAsia="黑体" w:cs="黑体"/>
                <w:b w:val="0"/>
                <w:bCs w:val="0"/>
                <w:sz w:val="24"/>
                <w:szCs w:val="24"/>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政府集中采购</w:t>
            </w:r>
          </w:p>
        </w:tc>
        <w:tc>
          <w:tcPr>
            <w:tcW w:w="2605"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68</w:t>
            </w:r>
          </w:p>
        </w:tc>
        <w:tc>
          <w:tcPr>
            <w:tcW w:w="4252" w:type="dxa"/>
            <w:gridSpan w:val="2"/>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418333</w:t>
            </w:r>
          </w:p>
        </w:tc>
      </w:tr>
    </w:tbl>
    <w:p>
      <w:pPr>
        <w:keepNext w:val="0"/>
        <w:keepLines w:val="0"/>
        <w:pageBreakBefore w:val="0"/>
        <w:kinsoku/>
        <w:wordWrap/>
        <w:overflowPunct/>
        <w:topLinePunct w:val="0"/>
        <w:autoSpaceDE/>
        <w:autoSpaceDN/>
        <w:bidi w:val="0"/>
        <w:spacing w:before="312" w:beforeLines="100" w:after="156" w:afterLines="50" w:line="400" w:lineRule="exact"/>
        <w:textAlignment w:val="auto"/>
        <w:outlineLvl w:val="0"/>
        <w:rPr>
          <w:rFonts w:ascii="黑体" w:hAnsi="黑体" w:eastAsia="黑体"/>
          <w:sz w:val="30"/>
          <w:szCs w:val="30"/>
        </w:rPr>
      </w:pPr>
      <w:r>
        <w:rPr>
          <w:rFonts w:hint="eastAsia" w:ascii="黑体" w:hAnsi="黑体" w:eastAsia="黑体"/>
          <w:sz w:val="30"/>
          <w:szCs w:val="30"/>
          <w:lang w:eastAsia="zh-CN"/>
        </w:rPr>
        <w:t>二、依申请公开</w:t>
      </w:r>
      <w:r>
        <w:rPr>
          <w:rFonts w:hint="eastAsia" w:ascii="黑体" w:hAnsi="黑体" w:eastAsia="黑体"/>
          <w:sz w:val="30"/>
          <w:szCs w:val="30"/>
        </w:rPr>
        <w:t>情况</w:t>
      </w:r>
    </w:p>
    <w:tbl>
      <w:tblPr>
        <w:tblStyle w:val="6"/>
        <w:tblW w:w="9399" w:type="dxa"/>
        <w:jc w:val="center"/>
        <w:tblInd w:w="-8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141"/>
        <w:gridCol w:w="2029"/>
        <w:gridCol w:w="839"/>
        <w:gridCol w:w="709"/>
        <w:gridCol w:w="709"/>
        <w:gridCol w:w="992"/>
        <w:gridCol w:w="814"/>
        <w:gridCol w:w="570"/>
        <w:gridCol w:w="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25" w:type="dxa"/>
            <w:gridSpan w:val="3"/>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宋体" w:hAnsi="宋体"/>
                <w:sz w:val="18"/>
                <w:szCs w:val="18"/>
              </w:rPr>
            </w:pPr>
            <w:r>
              <w:rPr>
                <w:rFonts w:hint="eastAsia" w:ascii="仿宋_GB2312" w:hAnsi="仿宋_GB2312" w:eastAsia="仿宋_GB2312" w:cs="仿宋_GB2312"/>
                <w:sz w:val="24"/>
                <w:szCs w:val="24"/>
              </w:rPr>
              <w:t>（本列数据的勾稽关系为：第一项加第二项之和，等于第三项加第四项之和）</w:t>
            </w:r>
          </w:p>
        </w:tc>
        <w:tc>
          <w:tcPr>
            <w:tcW w:w="5174" w:type="dxa"/>
            <w:gridSpan w:val="7"/>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黑体" w:hAnsi="黑体" w:eastAsia="黑体" w:cs="黑体"/>
                <w:sz w:val="24"/>
                <w:szCs w:val="24"/>
              </w:rPr>
            </w:pPr>
            <w:r>
              <w:rPr>
                <w:rFonts w:hint="eastAsia" w:ascii="黑体" w:hAnsi="黑体" w:eastAsia="黑体" w:cs="黑体"/>
                <w:sz w:val="24"/>
                <w:szCs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25" w:type="dxa"/>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宋体" w:hAnsi="宋体"/>
                <w:sz w:val="18"/>
                <w:szCs w:val="18"/>
              </w:rPr>
            </w:pPr>
          </w:p>
        </w:tc>
        <w:tc>
          <w:tcPr>
            <w:tcW w:w="83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黑体" w:hAnsi="黑体" w:eastAsia="黑体" w:cs="黑体"/>
                <w:sz w:val="24"/>
                <w:szCs w:val="24"/>
              </w:rPr>
            </w:pPr>
            <w:r>
              <w:rPr>
                <w:rFonts w:hint="eastAsia" w:ascii="黑体" w:hAnsi="黑体" w:eastAsia="黑体" w:cs="黑体"/>
                <w:sz w:val="24"/>
                <w:szCs w:val="24"/>
              </w:rPr>
              <w:t>自然人</w:t>
            </w:r>
          </w:p>
        </w:tc>
        <w:tc>
          <w:tcPr>
            <w:tcW w:w="3794" w:type="dxa"/>
            <w:gridSpan w:val="5"/>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黑体" w:hAnsi="黑体" w:eastAsia="黑体" w:cs="黑体"/>
                <w:sz w:val="24"/>
                <w:szCs w:val="24"/>
              </w:rPr>
            </w:pPr>
            <w:r>
              <w:rPr>
                <w:rFonts w:hint="eastAsia" w:ascii="黑体" w:hAnsi="黑体" w:eastAsia="黑体" w:cs="黑体"/>
                <w:sz w:val="24"/>
                <w:szCs w:val="24"/>
              </w:rPr>
              <w:t>法人或其他组织</w:t>
            </w:r>
          </w:p>
        </w:tc>
        <w:tc>
          <w:tcPr>
            <w:tcW w:w="54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黑体" w:hAnsi="黑体" w:eastAsia="黑体" w:cs="黑体"/>
                <w:sz w:val="24"/>
                <w:szCs w:val="24"/>
              </w:rPr>
            </w:pPr>
            <w:r>
              <w:rPr>
                <w:rFonts w:hint="eastAsia" w:ascii="黑体" w:hAnsi="黑体" w:eastAsia="黑体" w:cs="黑体"/>
                <w:sz w:val="24"/>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25" w:type="dxa"/>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宋体" w:hAnsi="宋体"/>
                <w:sz w:val="18"/>
                <w:szCs w:val="18"/>
              </w:rPr>
            </w:pPr>
          </w:p>
        </w:tc>
        <w:tc>
          <w:tcPr>
            <w:tcW w:w="83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黑体" w:hAnsi="黑体" w:eastAsia="黑体" w:cs="黑体"/>
                <w:sz w:val="24"/>
                <w:szCs w:val="24"/>
              </w:rPr>
            </w:pP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黑体" w:hAnsi="黑体" w:eastAsia="黑体" w:cs="黑体"/>
                <w:sz w:val="24"/>
                <w:szCs w:val="24"/>
              </w:rPr>
            </w:pPr>
            <w:r>
              <w:rPr>
                <w:rFonts w:hint="eastAsia" w:ascii="黑体" w:hAnsi="黑体" w:eastAsia="黑体" w:cs="黑体"/>
                <w:sz w:val="24"/>
                <w:szCs w:val="24"/>
              </w:rPr>
              <w:t>商业企业</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黑体" w:hAnsi="黑体" w:eastAsia="黑体" w:cs="黑体"/>
                <w:sz w:val="24"/>
                <w:szCs w:val="24"/>
              </w:rPr>
            </w:pPr>
            <w:r>
              <w:rPr>
                <w:rFonts w:hint="eastAsia" w:ascii="黑体" w:hAnsi="黑体" w:eastAsia="黑体" w:cs="黑体"/>
                <w:sz w:val="24"/>
                <w:szCs w:val="24"/>
              </w:rPr>
              <w:t>科研机构</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黑体" w:hAnsi="黑体" w:eastAsia="黑体" w:cs="黑体"/>
                <w:sz w:val="24"/>
                <w:szCs w:val="24"/>
              </w:rPr>
            </w:pPr>
            <w:r>
              <w:rPr>
                <w:rFonts w:hint="eastAsia" w:ascii="黑体" w:hAnsi="黑体" w:eastAsia="黑体" w:cs="黑体"/>
                <w:sz w:val="24"/>
                <w:szCs w:val="24"/>
              </w:rPr>
              <w:t>社会公益组织</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黑体" w:hAnsi="黑体" w:eastAsia="黑体" w:cs="黑体"/>
                <w:sz w:val="24"/>
                <w:szCs w:val="24"/>
              </w:rPr>
            </w:pPr>
            <w:r>
              <w:rPr>
                <w:rFonts w:hint="eastAsia" w:ascii="黑体" w:hAnsi="黑体" w:eastAsia="黑体" w:cs="黑体"/>
                <w:sz w:val="24"/>
                <w:szCs w:val="24"/>
              </w:rPr>
              <w:t>法律服务机构</w:t>
            </w:r>
          </w:p>
        </w:tc>
        <w:tc>
          <w:tcPr>
            <w:tcW w:w="5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黑体" w:hAnsi="黑体" w:eastAsia="黑体" w:cs="黑体"/>
                <w:sz w:val="24"/>
                <w:szCs w:val="24"/>
              </w:rPr>
            </w:pPr>
            <w:r>
              <w:rPr>
                <w:rFonts w:hint="eastAsia" w:ascii="黑体" w:hAnsi="黑体" w:eastAsia="黑体" w:cs="黑体"/>
                <w:sz w:val="24"/>
                <w:szCs w:val="24"/>
              </w:rPr>
              <w:t>其他</w:t>
            </w:r>
          </w:p>
        </w:tc>
        <w:tc>
          <w:tcPr>
            <w:tcW w:w="54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黑体" w:hAnsi="黑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4225"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一、本年新收到政府信息公开申请数量</w:t>
            </w:r>
          </w:p>
        </w:tc>
        <w:tc>
          <w:tcPr>
            <w:tcW w:w="8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4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4225"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二、上年转结政府信息公开申请数量</w:t>
            </w:r>
          </w:p>
        </w:tc>
        <w:tc>
          <w:tcPr>
            <w:tcW w:w="8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4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三、本年度办理结果</w:t>
            </w:r>
          </w:p>
        </w:tc>
        <w:tc>
          <w:tcPr>
            <w:tcW w:w="317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（一）予以公开</w:t>
            </w:r>
          </w:p>
        </w:tc>
        <w:tc>
          <w:tcPr>
            <w:tcW w:w="8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4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24"/>
                <w:szCs w:val="24"/>
              </w:rPr>
            </w:pPr>
          </w:p>
        </w:tc>
        <w:tc>
          <w:tcPr>
            <w:tcW w:w="317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（二）部分公开（区分处理的，只计这一情形，不计其他情形）</w:t>
            </w:r>
          </w:p>
        </w:tc>
        <w:tc>
          <w:tcPr>
            <w:tcW w:w="8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5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54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24"/>
                <w:szCs w:val="24"/>
              </w:rPr>
            </w:pPr>
          </w:p>
        </w:tc>
        <w:tc>
          <w:tcPr>
            <w:tcW w:w="114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（三）不予公开</w:t>
            </w:r>
          </w:p>
        </w:tc>
        <w:tc>
          <w:tcPr>
            <w:tcW w:w="2029"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1.属于国家秘密</w:t>
            </w:r>
          </w:p>
        </w:tc>
        <w:tc>
          <w:tcPr>
            <w:tcW w:w="8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5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54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24"/>
                <w:szCs w:val="24"/>
              </w:rPr>
            </w:pPr>
          </w:p>
        </w:tc>
        <w:tc>
          <w:tcPr>
            <w:tcW w:w="114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24"/>
                <w:szCs w:val="24"/>
              </w:rPr>
            </w:pPr>
          </w:p>
        </w:tc>
        <w:tc>
          <w:tcPr>
            <w:tcW w:w="2029"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2.其他法律行政法规禁止公开</w:t>
            </w:r>
          </w:p>
        </w:tc>
        <w:tc>
          <w:tcPr>
            <w:tcW w:w="8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5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54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105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24"/>
                <w:szCs w:val="24"/>
              </w:rPr>
            </w:pPr>
          </w:p>
        </w:tc>
        <w:tc>
          <w:tcPr>
            <w:tcW w:w="114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24"/>
                <w:szCs w:val="24"/>
              </w:rPr>
            </w:pPr>
          </w:p>
        </w:tc>
        <w:tc>
          <w:tcPr>
            <w:tcW w:w="2029"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3.危及“三安全一稳定”</w:t>
            </w:r>
          </w:p>
        </w:tc>
        <w:tc>
          <w:tcPr>
            <w:tcW w:w="8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5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54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05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24"/>
                <w:szCs w:val="24"/>
              </w:rPr>
            </w:pPr>
          </w:p>
        </w:tc>
        <w:tc>
          <w:tcPr>
            <w:tcW w:w="114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24"/>
                <w:szCs w:val="24"/>
              </w:rPr>
            </w:pPr>
          </w:p>
        </w:tc>
        <w:tc>
          <w:tcPr>
            <w:tcW w:w="2029"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4.保护第三方合法权益</w:t>
            </w:r>
          </w:p>
        </w:tc>
        <w:tc>
          <w:tcPr>
            <w:tcW w:w="8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5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54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24"/>
                <w:szCs w:val="24"/>
              </w:rPr>
            </w:pPr>
          </w:p>
        </w:tc>
        <w:tc>
          <w:tcPr>
            <w:tcW w:w="114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24"/>
                <w:szCs w:val="24"/>
              </w:rPr>
            </w:pPr>
          </w:p>
        </w:tc>
        <w:tc>
          <w:tcPr>
            <w:tcW w:w="2029"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5.属于三类内部事务信息</w:t>
            </w:r>
          </w:p>
        </w:tc>
        <w:tc>
          <w:tcPr>
            <w:tcW w:w="8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5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54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05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24"/>
                <w:szCs w:val="24"/>
              </w:rPr>
            </w:pPr>
          </w:p>
        </w:tc>
        <w:tc>
          <w:tcPr>
            <w:tcW w:w="114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24"/>
                <w:szCs w:val="24"/>
              </w:rPr>
            </w:pPr>
          </w:p>
        </w:tc>
        <w:tc>
          <w:tcPr>
            <w:tcW w:w="2029"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6.属于四类过程性信息</w:t>
            </w:r>
          </w:p>
        </w:tc>
        <w:tc>
          <w:tcPr>
            <w:tcW w:w="8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5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54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5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24"/>
                <w:szCs w:val="24"/>
              </w:rPr>
            </w:pPr>
          </w:p>
        </w:tc>
        <w:tc>
          <w:tcPr>
            <w:tcW w:w="114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24"/>
                <w:szCs w:val="24"/>
              </w:rPr>
            </w:pPr>
          </w:p>
        </w:tc>
        <w:tc>
          <w:tcPr>
            <w:tcW w:w="2029"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7.属于行政执法案卷</w:t>
            </w:r>
          </w:p>
        </w:tc>
        <w:tc>
          <w:tcPr>
            <w:tcW w:w="8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5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54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05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24"/>
                <w:szCs w:val="24"/>
              </w:rPr>
            </w:pPr>
          </w:p>
        </w:tc>
        <w:tc>
          <w:tcPr>
            <w:tcW w:w="114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24"/>
                <w:szCs w:val="24"/>
              </w:rPr>
            </w:pPr>
          </w:p>
        </w:tc>
        <w:tc>
          <w:tcPr>
            <w:tcW w:w="2029"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8.属于行政查询事项</w:t>
            </w:r>
          </w:p>
        </w:tc>
        <w:tc>
          <w:tcPr>
            <w:tcW w:w="8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5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54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24"/>
                <w:szCs w:val="24"/>
              </w:rPr>
            </w:pPr>
          </w:p>
        </w:tc>
        <w:tc>
          <w:tcPr>
            <w:tcW w:w="114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（四）无法提供</w:t>
            </w:r>
          </w:p>
        </w:tc>
        <w:tc>
          <w:tcPr>
            <w:tcW w:w="2029"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1.本机关不掌握相关政府信息</w:t>
            </w:r>
          </w:p>
        </w:tc>
        <w:tc>
          <w:tcPr>
            <w:tcW w:w="8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4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24"/>
                <w:szCs w:val="24"/>
              </w:rPr>
            </w:pPr>
          </w:p>
        </w:tc>
        <w:tc>
          <w:tcPr>
            <w:tcW w:w="114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24"/>
                <w:szCs w:val="24"/>
              </w:rPr>
            </w:pPr>
          </w:p>
        </w:tc>
        <w:tc>
          <w:tcPr>
            <w:tcW w:w="2029"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2.没有现成信息需要另行制作</w:t>
            </w:r>
          </w:p>
        </w:tc>
        <w:tc>
          <w:tcPr>
            <w:tcW w:w="8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4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24"/>
                <w:szCs w:val="24"/>
              </w:rPr>
            </w:pPr>
          </w:p>
        </w:tc>
        <w:tc>
          <w:tcPr>
            <w:tcW w:w="114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24"/>
                <w:szCs w:val="24"/>
              </w:rPr>
            </w:pPr>
          </w:p>
        </w:tc>
        <w:tc>
          <w:tcPr>
            <w:tcW w:w="2029"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3.补正后申请内容仍不明确</w:t>
            </w:r>
          </w:p>
        </w:tc>
        <w:tc>
          <w:tcPr>
            <w:tcW w:w="8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5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54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105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24"/>
                <w:szCs w:val="24"/>
              </w:rPr>
            </w:pPr>
          </w:p>
        </w:tc>
        <w:tc>
          <w:tcPr>
            <w:tcW w:w="114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（五）不予处理</w:t>
            </w:r>
          </w:p>
        </w:tc>
        <w:tc>
          <w:tcPr>
            <w:tcW w:w="2029"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1.信访举报投诉类申请</w:t>
            </w:r>
          </w:p>
        </w:tc>
        <w:tc>
          <w:tcPr>
            <w:tcW w:w="8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5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54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105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24"/>
                <w:szCs w:val="24"/>
              </w:rPr>
            </w:pPr>
          </w:p>
        </w:tc>
        <w:tc>
          <w:tcPr>
            <w:tcW w:w="114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24"/>
                <w:szCs w:val="24"/>
              </w:rPr>
            </w:pPr>
          </w:p>
        </w:tc>
        <w:tc>
          <w:tcPr>
            <w:tcW w:w="2029"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2.重复申请</w:t>
            </w:r>
          </w:p>
        </w:tc>
        <w:tc>
          <w:tcPr>
            <w:tcW w:w="8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5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54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05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24"/>
                <w:szCs w:val="24"/>
              </w:rPr>
            </w:pPr>
          </w:p>
        </w:tc>
        <w:tc>
          <w:tcPr>
            <w:tcW w:w="114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24"/>
                <w:szCs w:val="24"/>
              </w:rPr>
            </w:pPr>
          </w:p>
        </w:tc>
        <w:tc>
          <w:tcPr>
            <w:tcW w:w="2029"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3.要求提供公开出版物</w:t>
            </w:r>
          </w:p>
        </w:tc>
        <w:tc>
          <w:tcPr>
            <w:tcW w:w="8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5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54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24"/>
                <w:szCs w:val="24"/>
              </w:rPr>
            </w:pPr>
          </w:p>
        </w:tc>
        <w:tc>
          <w:tcPr>
            <w:tcW w:w="114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24"/>
                <w:szCs w:val="24"/>
              </w:rPr>
            </w:pPr>
          </w:p>
        </w:tc>
        <w:tc>
          <w:tcPr>
            <w:tcW w:w="2029"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4.无正当理由大量反复申请</w:t>
            </w:r>
          </w:p>
        </w:tc>
        <w:tc>
          <w:tcPr>
            <w:tcW w:w="8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5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54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24"/>
                <w:szCs w:val="24"/>
              </w:rPr>
            </w:pPr>
          </w:p>
        </w:tc>
        <w:tc>
          <w:tcPr>
            <w:tcW w:w="114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24"/>
                <w:szCs w:val="24"/>
              </w:rPr>
            </w:pPr>
          </w:p>
        </w:tc>
        <w:tc>
          <w:tcPr>
            <w:tcW w:w="2029"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5.要求行政机关确认或重新出具已获取信息</w:t>
            </w:r>
          </w:p>
        </w:tc>
        <w:tc>
          <w:tcPr>
            <w:tcW w:w="8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5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54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5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24"/>
                <w:szCs w:val="24"/>
              </w:rPr>
            </w:pPr>
          </w:p>
        </w:tc>
        <w:tc>
          <w:tcPr>
            <w:tcW w:w="317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（六）其他处理</w:t>
            </w:r>
          </w:p>
        </w:tc>
        <w:tc>
          <w:tcPr>
            <w:tcW w:w="8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5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54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105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24"/>
                <w:szCs w:val="24"/>
              </w:rPr>
            </w:pPr>
          </w:p>
        </w:tc>
        <w:tc>
          <w:tcPr>
            <w:tcW w:w="317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（七）总计</w:t>
            </w:r>
          </w:p>
        </w:tc>
        <w:tc>
          <w:tcPr>
            <w:tcW w:w="8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5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54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4225"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四、转结下年度继续办理</w:t>
            </w:r>
          </w:p>
        </w:tc>
        <w:tc>
          <w:tcPr>
            <w:tcW w:w="8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4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bl>
    <w:p>
      <w:pPr>
        <w:keepNext w:val="0"/>
        <w:keepLines w:val="0"/>
        <w:pageBreakBefore w:val="0"/>
        <w:numPr>
          <w:ilvl w:val="0"/>
          <w:numId w:val="0"/>
        </w:numPr>
        <w:kinsoku/>
        <w:wordWrap/>
        <w:overflowPunct/>
        <w:topLinePunct w:val="0"/>
        <w:autoSpaceDE/>
        <w:autoSpaceDN/>
        <w:bidi w:val="0"/>
        <w:spacing w:before="312" w:beforeLines="100" w:after="156" w:afterLines="50" w:line="400" w:lineRule="exact"/>
        <w:textAlignment w:val="auto"/>
        <w:outlineLvl w:val="0"/>
        <w:rPr>
          <w:rFonts w:hint="eastAsia" w:ascii="黑体" w:hAnsi="黑体" w:eastAsia="黑体"/>
          <w:sz w:val="30"/>
          <w:szCs w:val="30"/>
        </w:rPr>
      </w:pPr>
      <w:r>
        <w:rPr>
          <w:rFonts w:hint="eastAsia" w:ascii="黑体" w:hAnsi="黑体" w:eastAsia="黑体"/>
          <w:sz w:val="30"/>
          <w:szCs w:val="30"/>
          <w:lang w:eastAsia="zh-CN"/>
        </w:rPr>
        <w:t>三、</w:t>
      </w:r>
      <w:r>
        <w:rPr>
          <w:rFonts w:hint="eastAsia" w:ascii="黑体" w:hAnsi="黑体" w:eastAsia="黑体"/>
          <w:sz w:val="30"/>
          <w:szCs w:val="30"/>
        </w:rPr>
        <w:t>政府信息公开行政复议、行政诉讼情况</w:t>
      </w:r>
    </w:p>
    <w:tbl>
      <w:tblPr>
        <w:tblStyle w:val="6"/>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553"/>
        <w:gridCol w:w="553"/>
        <w:gridCol w:w="553"/>
        <w:gridCol w:w="553"/>
        <w:gridCol w:w="553"/>
        <w:gridCol w:w="553"/>
        <w:gridCol w:w="553"/>
        <w:gridCol w:w="553"/>
        <w:gridCol w:w="553"/>
        <w:gridCol w:w="553"/>
        <w:gridCol w:w="553"/>
        <w:gridCol w:w="553"/>
        <w:gridCol w:w="553"/>
        <w:gridCol w:w="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5" w:type="dxa"/>
            <w:gridSpan w:val="5"/>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行政复议</w:t>
            </w:r>
          </w:p>
        </w:tc>
        <w:tc>
          <w:tcPr>
            <w:tcW w:w="5531" w:type="dxa"/>
            <w:gridSpan w:val="1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5" w:type="dxa"/>
            <w:gridSpan w:val="5"/>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黑体" w:hAnsi="黑体" w:eastAsia="黑体" w:cs="黑体"/>
                <w:b w:val="0"/>
                <w:bCs w:val="0"/>
                <w:sz w:val="24"/>
                <w:szCs w:val="24"/>
              </w:rPr>
            </w:pPr>
          </w:p>
        </w:tc>
        <w:tc>
          <w:tcPr>
            <w:tcW w:w="2765" w:type="dxa"/>
            <w:gridSpan w:val="5"/>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未经复议直接起诉</w:t>
            </w:r>
          </w:p>
        </w:tc>
        <w:tc>
          <w:tcPr>
            <w:tcW w:w="2766" w:type="dxa"/>
            <w:gridSpan w:val="5"/>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结果维持</w:t>
            </w:r>
          </w:p>
        </w:tc>
        <w:tc>
          <w:tcPr>
            <w:tcW w:w="5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结果纠正</w:t>
            </w:r>
          </w:p>
        </w:tc>
        <w:tc>
          <w:tcPr>
            <w:tcW w:w="5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其他结果</w:t>
            </w:r>
          </w:p>
        </w:tc>
        <w:tc>
          <w:tcPr>
            <w:tcW w:w="5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尚未审结</w:t>
            </w:r>
          </w:p>
        </w:tc>
        <w:tc>
          <w:tcPr>
            <w:tcW w:w="5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总计</w:t>
            </w:r>
          </w:p>
        </w:tc>
        <w:tc>
          <w:tcPr>
            <w:tcW w:w="5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结果维持</w:t>
            </w:r>
          </w:p>
        </w:tc>
        <w:tc>
          <w:tcPr>
            <w:tcW w:w="5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结果纠正</w:t>
            </w:r>
          </w:p>
        </w:tc>
        <w:tc>
          <w:tcPr>
            <w:tcW w:w="5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其他结果</w:t>
            </w:r>
          </w:p>
        </w:tc>
        <w:tc>
          <w:tcPr>
            <w:tcW w:w="5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尚未审结</w:t>
            </w:r>
          </w:p>
        </w:tc>
        <w:tc>
          <w:tcPr>
            <w:tcW w:w="5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总计</w:t>
            </w:r>
          </w:p>
        </w:tc>
        <w:tc>
          <w:tcPr>
            <w:tcW w:w="5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结果维持</w:t>
            </w:r>
          </w:p>
        </w:tc>
        <w:tc>
          <w:tcPr>
            <w:tcW w:w="5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结果纠正</w:t>
            </w:r>
          </w:p>
        </w:tc>
        <w:tc>
          <w:tcPr>
            <w:tcW w:w="5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其他结果</w:t>
            </w:r>
          </w:p>
        </w:tc>
        <w:tc>
          <w:tcPr>
            <w:tcW w:w="5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尚未审结</w:t>
            </w:r>
          </w:p>
        </w:tc>
        <w:tc>
          <w:tcPr>
            <w:tcW w:w="55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5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55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bl>
    <w:p>
      <w:pPr>
        <w:keepNext w:val="0"/>
        <w:keepLines w:val="0"/>
        <w:pageBreakBefore w:val="0"/>
        <w:kinsoku/>
        <w:wordWrap/>
        <w:overflowPunct/>
        <w:topLinePunct w:val="0"/>
        <w:autoSpaceDE/>
        <w:autoSpaceDN/>
        <w:bidi w:val="0"/>
        <w:spacing w:before="312" w:beforeLines="100" w:after="156" w:afterLines="50" w:line="400" w:lineRule="exact"/>
        <w:textAlignment w:val="auto"/>
        <w:outlineLvl w:val="0"/>
        <w:rPr>
          <w:rFonts w:hint="eastAsia" w:ascii="黑体" w:hAnsi="黑体" w:eastAsia="黑体"/>
          <w:sz w:val="30"/>
          <w:szCs w:val="30"/>
        </w:rPr>
      </w:pPr>
      <w:r>
        <w:rPr>
          <w:rFonts w:hint="eastAsia" w:ascii="黑体" w:hAnsi="黑体" w:eastAsia="黑体"/>
          <w:sz w:val="30"/>
          <w:szCs w:val="30"/>
          <w:lang w:eastAsia="zh-CN"/>
        </w:rPr>
        <w:t>四、</w:t>
      </w:r>
      <w:r>
        <w:rPr>
          <w:rFonts w:hint="eastAsia" w:ascii="黑体" w:hAnsi="黑体" w:eastAsia="黑体"/>
          <w:sz w:val="30"/>
          <w:szCs w:val="30"/>
        </w:rPr>
        <w:t>机构建设</w:t>
      </w:r>
      <w:r>
        <w:rPr>
          <w:rFonts w:hint="eastAsia" w:ascii="黑体" w:hAnsi="黑体" w:eastAsia="黑体"/>
          <w:sz w:val="30"/>
          <w:szCs w:val="30"/>
          <w:lang w:eastAsia="zh-CN"/>
        </w:rPr>
        <w:t>及</w:t>
      </w:r>
      <w:r>
        <w:rPr>
          <w:rFonts w:hint="eastAsia" w:ascii="黑体" w:hAnsi="黑体" w:eastAsia="黑体"/>
          <w:sz w:val="30"/>
          <w:szCs w:val="30"/>
        </w:rPr>
        <w:t>组织保障情况</w:t>
      </w:r>
    </w:p>
    <w:tbl>
      <w:tblPr>
        <w:tblStyle w:val="6"/>
        <w:tblW w:w="8880" w:type="dxa"/>
        <w:jc w:val="center"/>
        <w:tblInd w:w="-8" w:type="dxa"/>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
      <w:tblGrid>
        <w:gridCol w:w="6455"/>
        <w:gridCol w:w="806"/>
        <w:gridCol w:w="1619"/>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黑体" w:hAnsi="黑体" w:eastAsia="黑体" w:cs="黑体"/>
                <w:snapToGrid w:val="0"/>
                <w:spacing w:val="-4"/>
                <w:kern w:val="0"/>
                <w:sz w:val="24"/>
                <w:szCs w:val="24"/>
              </w:rPr>
            </w:pPr>
            <w:r>
              <w:rPr>
                <w:rFonts w:hint="eastAsia" w:ascii="黑体" w:hAnsi="黑体" w:eastAsia="黑体" w:cs="黑体"/>
                <w:snapToGrid w:val="0"/>
                <w:spacing w:val="-4"/>
                <w:kern w:val="0"/>
                <w:sz w:val="24"/>
                <w:szCs w:val="24"/>
              </w:rPr>
              <w:t>统　计　指　标</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黑体" w:hAnsi="黑体" w:eastAsia="黑体" w:cs="黑体"/>
                <w:snapToGrid w:val="0"/>
                <w:spacing w:val="-4"/>
                <w:kern w:val="0"/>
                <w:sz w:val="24"/>
                <w:szCs w:val="24"/>
              </w:rPr>
            </w:pPr>
            <w:r>
              <w:rPr>
                <w:rFonts w:hint="eastAsia" w:ascii="黑体" w:hAnsi="黑体" w:eastAsia="黑体" w:cs="黑体"/>
                <w:snapToGrid w:val="0"/>
                <w:spacing w:val="-4"/>
                <w:kern w:val="0"/>
                <w:sz w:val="24"/>
                <w:szCs w:val="24"/>
              </w:rPr>
              <w:t>单位</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黑体" w:hAnsi="黑体" w:eastAsia="黑体" w:cs="黑体"/>
                <w:snapToGrid w:val="0"/>
                <w:spacing w:val="-4"/>
                <w:kern w:val="0"/>
                <w:sz w:val="24"/>
                <w:szCs w:val="24"/>
              </w:rPr>
            </w:pPr>
            <w:r>
              <w:rPr>
                <w:rFonts w:hint="eastAsia" w:ascii="黑体" w:hAnsi="黑体" w:eastAsia="黑体" w:cs="黑体"/>
                <w:snapToGrid w:val="0"/>
                <w:spacing w:val="-4"/>
                <w:kern w:val="0"/>
                <w:sz w:val="24"/>
                <w:szCs w:val="24"/>
              </w:rPr>
              <w:t>统计数</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37"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left"/>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lang w:eastAsia="zh-CN"/>
              </w:rPr>
              <w:t>（一）</w:t>
            </w:r>
            <w:r>
              <w:rPr>
                <w:rFonts w:hint="eastAsia" w:ascii="仿宋_GB2312" w:hAnsi="仿宋_GB2312" w:eastAsia="仿宋_GB2312" w:cs="仿宋_GB2312"/>
                <w:snapToGrid w:val="0"/>
                <w:spacing w:val="-4"/>
                <w:kern w:val="0"/>
                <w:sz w:val="24"/>
                <w:szCs w:val="24"/>
              </w:rPr>
              <w:t>机构建设</w:t>
            </w:r>
            <w:r>
              <w:rPr>
                <w:rFonts w:hint="eastAsia" w:ascii="仿宋_GB2312" w:hAnsi="仿宋_GB2312" w:eastAsia="仿宋_GB2312" w:cs="仿宋_GB2312"/>
                <w:snapToGrid w:val="0"/>
                <w:spacing w:val="-4"/>
                <w:kern w:val="0"/>
                <w:sz w:val="24"/>
                <w:szCs w:val="24"/>
                <w:lang w:eastAsia="zh-CN"/>
              </w:rPr>
              <w:t>、</w:t>
            </w:r>
            <w:r>
              <w:rPr>
                <w:rFonts w:hint="eastAsia" w:ascii="仿宋_GB2312" w:hAnsi="仿宋_GB2312" w:eastAsia="仿宋_GB2312" w:cs="仿宋_GB2312"/>
                <w:snapToGrid w:val="0"/>
                <w:spacing w:val="-4"/>
                <w:kern w:val="0"/>
                <w:sz w:val="24"/>
                <w:szCs w:val="24"/>
              </w:rPr>
              <w:t>保障经费情况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lang w:val="en-US" w:eastAsia="zh-CN"/>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left"/>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　　</w:t>
            </w:r>
            <w:r>
              <w:rPr>
                <w:rFonts w:hint="eastAsia" w:ascii="仿宋_GB2312" w:hAnsi="仿宋_GB2312" w:eastAsia="仿宋_GB2312" w:cs="仿宋_GB2312"/>
                <w:snapToGrid w:val="0"/>
                <w:spacing w:val="-4"/>
                <w:kern w:val="0"/>
                <w:sz w:val="24"/>
                <w:szCs w:val="24"/>
                <w:lang w:val="en-US" w:eastAsia="zh-CN"/>
              </w:rPr>
              <w:t>1.</w:t>
            </w:r>
            <w:r>
              <w:rPr>
                <w:rFonts w:hint="eastAsia" w:ascii="仿宋_GB2312" w:hAnsi="仿宋_GB2312" w:eastAsia="仿宋_GB2312" w:cs="仿宋_GB2312"/>
                <w:snapToGrid w:val="0"/>
                <w:spacing w:val="-4"/>
                <w:kern w:val="0"/>
                <w:sz w:val="24"/>
                <w:szCs w:val="24"/>
              </w:rPr>
              <w:t>政府信息公开工作专门机构数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个</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lang w:val="en-US" w:eastAsia="zh-CN"/>
              </w:rPr>
            </w:pPr>
            <w:r>
              <w:rPr>
                <w:rFonts w:hint="eastAsia" w:ascii="仿宋_GB2312" w:hAnsi="仿宋_GB2312" w:eastAsia="仿宋_GB2312" w:cs="仿宋_GB2312"/>
                <w:snapToGrid w:val="0"/>
                <w:spacing w:val="-4"/>
                <w:kern w:val="0"/>
                <w:sz w:val="24"/>
                <w:szCs w:val="24"/>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left"/>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　　</w:t>
            </w:r>
            <w:r>
              <w:rPr>
                <w:rFonts w:hint="eastAsia" w:ascii="仿宋_GB2312" w:hAnsi="仿宋_GB2312" w:eastAsia="仿宋_GB2312" w:cs="仿宋_GB2312"/>
                <w:snapToGrid w:val="0"/>
                <w:spacing w:val="-4"/>
                <w:kern w:val="0"/>
                <w:sz w:val="24"/>
                <w:szCs w:val="24"/>
                <w:lang w:val="en-US" w:eastAsia="zh-CN"/>
              </w:rPr>
              <w:t>2.</w:t>
            </w:r>
            <w:r>
              <w:rPr>
                <w:rFonts w:hint="eastAsia" w:ascii="仿宋_GB2312" w:hAnsi="仿宋_GB2312" w:eastAsia="仿宋_GB2312" w:cs="仿宋_GB2312"/>
                <w:snapToGrid w:val="0"/>
                <w:spacing w:val="-4"/>
                <w:kern w:val="0"/>
                <w:sz w:val="24"/>
                <w:szCs w:val="24"/>
              </w:rPr>
              <w:t>设置政府信息公开查阅点数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个</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left"/>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　　</w:t>
            </w:r>
            <w:r>
              <w:rPr>
                <w:rFonts w:hint="eastAsia" w:ascii="仿宋_GB2312" w:hAnsi="仿宋_GB2312" w:eastAsia="仿宋_GB2312" w:cs="仿宋_GB2312"/>
                <w:snapToGrid w:val="0"/>
                <w:spacing w:val="-4"/>
                <w:kern w:val="0"/>
                <w:sz w:val="24"/>
                <w:szCs w:val="24"/>
                <w:lang w:val="en-US" w:eastAsia="zh-CN"/>
              </w:rPr>
              <w:t>3.</w:t>
            </w:r>
            <w:r>
              <w:rPr>
                <w:rFonts w:hint="eastAsia" w:ascii="仿宋_GB2312" w:hAnsi="仿宋_GB2312" w:eastAsia="仿宋_GB2312" w:cs="仿宋_GB2312"/>
                <w:snapToGrid w:val="0"/>
                <w:spacing w:val="-4"/>
                <w:kern w:val="0"/>
                <w:sz w:val="24"/>
                <w:szCs w:val="24"/>
              </w:rPr>
              <w:t>从事政府信息公开工作人员数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人</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lang w:val="en-US" w:eastAsia="zh-CN"/>
              </w:rPr>
            </w:pPr>
            <w:r>
              <w:rPr>
                <w:rFonts w:hint="eastAsia" w:ascii="仿宋_GB2312" w:hAnsi="仿宋_GB2312" w:eastAsia="仿宋_GB2312" w:cs="仿宋_GB2312"/>
                <w:snapToGrid w:val="0"/>
                <w:spacing w:val="-4"/>
                <w:kern w:val="0"/>
                <w:sz w:val="24"/>
                <w:szCs w:val="24"/>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left"/>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　　　专职人员数（不包括政府公报及政府网站工作人员数）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人</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lang w:val="en-US" w:eastAsia="zh-CN"/>
              </w:rPr>
            </w:pPr>
            <w:r>
              <w:rPr>
                <w:rFonts w:hint="eastAsia" w:ascii="仿宋_GB2312" w:hAnsi="仿宋_GB2312" w:eastAsia="仿宋_GB2312" w:cs="仿宋_GB2312"/>
                <w:snapToGrid w:val="0"/>
                <w:spacing w:val="-4"/>
                <w:kern w:val="0"/>
                <w:sz w:val="24"/>
                <w:szCs w:val="24"/>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left"/>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　　　兼职人员数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人</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lang w:val="en-US" w:eastAsia="zh-CN"/>
              </w:rPr>
            </w:pPr>
            <w:r>
              <w:rPr>
                <w:rFonts w:hint="eastAsia" w:ascii="仿宋_GB2312" w:hAnsi="仿宋_GB2312" w:eastAsia="仿宋_GB2312" w:cs="仿宋_GB2312"/>
                <w:snapToGrid w:val="0"/>
                <w:spacing w:val="-4"/>
                <w:kern w:val="0"/>
                <w:sz w:val="24"/>
                <w:szCs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102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kinsoku/>
              <w:wordWrap/>
              <w:overflowPunct/>
              <w:topLinePunct w:val="0"/>
              <w:autoSpaceDE/>
              <w:autoSpaceDN/>
              <w:bidi w:val="0"/>
              <w:spacing w:line="400" w:lineRule="exact"/>
              <w:ind w:firstLine="404" w:firstLineChars="200"/>
              <w:textAlignment w:val="auto"/>
              <w:rPr>
                <w:rFonts w:hint="eastAsia" w:ascii="仿宋_GB2312" w:hAnsi="仿宋_GB2312" w:eastAsia="仿宋_GB2312" w:cs="仿宋_GB2312"/>
                <w:snapToGrid w:val="0"/>
                <w:spacing w:val="-4"/>
                <w:kern w:val="0"/>
                <w:szCs w:val="24"/>
              </w:rPr>
            </w:pPr>
            <w:r>
              <w:rPr>
                <w:rFonts w:hint="eastAsia" w:ascii="仿宋_GB2312" w:hAnsi="仿宋_GB2312" w:eastAsia="仿宋_GB2312" w:cs="仿宋_GB2312"/>
                <w:snapToGrid w:val="0"/>
                <w:spacing w:val="-4"/>
                <w:kern w:val="0"/>
                <w:szCs w:val="24"/>
                <w:lang w:val="en-US" w:eastAsia="zh-CN"/>
              </w:rPr>
              <w:t>4</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政府信息公开专项经费（不包括用于政府公报编辑管理及政府网站建设维护等方面的经费）</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万元</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lang w:val="en-US" w:eastAsia="zh-CN"/>
              </w:rPr>
            </w:pPr>
            <w:r>
              <w:rPr>
                <w:rFonts w:hint="eastAsia" w:ascii="仿宋_GB2312" w:hAnsi="仿宋_GB2312" w:eastAsia="仿宋_GB2312" w:cs="仿宋_GB2312"/>
                <w:snapToGrid w:val="0"/>
                <w:spacing w:val="-4"/>
                <w:kern w:val="0"/>
                <w:sz w:val="24"/>
                <w:szCs w:val="24"/>
                <w:lang w:val="en-US" w:eastAsia="zh-CN"/>
              </w:rPr>
              <w:t>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37"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left"/>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lang w:eastAsia="zh-CN"/>
              </w:rPr>
              <w:t>（二）</w:t>
            </w:r>
            <w:r>
              <w:rPr>
                <w:rFonts w:hint="eastAsia" w:ascii="仿宋_GB2312" w:hAnsi="仿宋_GB2312" w:eastAsia="仿宋_GB2312" w:cs="仿宋_GB2312"/>
                <w:snapToGrid w:val="0"/>
                <w:spacing w:val="-4"/>
                <w:kern w:val="0"/>
                <w:sz w:val="24"/>
                <w:szCs w:val="24"/>
              </w:rPr>
              <w:t>政府信息公开会议和培训情况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left"/>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　　</w:t>
            </w:r>
            <w:r>
              <w:rPr>
                <w:rFonts w:hint="eastAsia" w:ascii="仿宋_GB2312" w:hAnsi="仿宋_GB2312" w:eastAsia="仿宋_GB2312" w:cs="仿宋_GB2312"/>
                <w:snapToGrid w:val="0"/>
                <w:spacing w:val="-4"/>
                <w:kern w:val="0"/>
                <w:sz w:val="24"/>
                <w:szCs w:val="24"/>
                <w:lang w:val="en-US" w:eastAsia="zh-CN"/>
              </w:rPr>
              <w:t>1.</w:t>
            </w:r>
            <w:r>
              <w:rPr>
                <w:rFonts w:hint="eastAsia" w:ascii="仿宋_GB2312" w:hAnsi="仿宋_GB2312" w:eastAsia="仿宋_GB2312" w:cs="仿宋_GB2312"/>
                <w:snapToGrid w:val="0"/>
                <w:spacing w:val="-4"/>
                <w:kern w:val="0"/>
                <w:sz w:val="24"/>
                <w:szCs w:val="24"/>
              </w:rPr>
              <w:t>召开政府信息公开工作会议或专题会议数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lang w:val="en-US" w:eastAsia="zh-CN"/>
              </w:rPr>
            </w:pPr>
            <w:r>
              <w:rPr>
                <w:rFonts w:hint="eastAsia" w:ascii="仿宋_GB2312" w:hAnsi="仿宋_GB2312" w:eastAsia="仿宋_GB2312" w:cs="仿宋_GB2312"/>
                <w:snapToGrid w:val="0"/>
                <w:spacing w:val="-4"/>
                <w:kern w:val="0"/>
                <w:sz w:val="24"/>
                <w:szCs w:val="24"/>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left"/>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　　</w:t>
            </w:r>
            <w:r>
              <w:rPr>
                <w:rFonts w:hint="eastAsia" w:ascii="仿宋_GB2312" w:hAnsi="仿宋_GB2312" w:eastAsia="仿宋_GB2312" w:cs="仿宋_GB2312"/>
                <w:snapToGrid w:val="0"/>
                <w:spacing w:val="-4"/>
                <w:kern w:val="0"/>
                <w:sz w:val="24"/>
                <w:szCs w:val="24"/>
                <w:lang w:val="en-US" w:eastAsia="zh-CN"/>
              </w:rPr>
              <w:t>2.</w:t>
            </w:r>
            <w:r>
              <w:rPr>
                <w:rFonts w:hint="eastAsia" w:ascii="仿宋_GB2312" w:hAnsi="仿宋_GB2312" w:eastAsia="仿宋_GB2312" w:cs="仿宋_GB2312"/>
                <w:snapToGrid w:val="0"/>
                <w:spacing w:val="-4"/>
                <w:kern w:val="0"/>
                <w:sz w:val="24"/>
                <w:szCs w:val="24"/>
              </w:rPr>
              <w:t>举办各类培训班数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lang w:val="en-US" w:eastAsia="zh-CN"/>
              </w:rPr>
            </w:pPr>
            <w:r>
              <w:rPr>
                <w:rFonts w:hint="eastAsia" w:ascii="仿宋_GB2312" w:hAnsi="仿宋_GB2312" w:eastAsia="仿宋_GB2312" w:cs="仿宋_GB2312"/>
                <w:snapToGrid w:val="0"/>
                <w:spacing w:val="-4"/>
                <w:kern w:val="0"/>
                <w:sz w:val="24"/>
                <w:szCs w:val="24"/>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left"/>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　　</w:t>
            </w:r>
            <w:r>
              <w:rPr>
                <w:rFonts w:hint="eastAsia" w:ascii="仿宋_GB2312" w:hAnsi="仿宋_GB2312" w:eastAsia="仿宋_GB2312" w:cs="仿宋_GB2312"/>
                <w:snapToGrid w:val="0"/>
                <w:spacing w:val="-4"/>
                <w:kern w:val="0"/>
                <w:sz w:val="24"/>
                <w:szCs w:val="24"/>
                <w:lang w:val="en-US" w:eastAsia="zh-CN"/>
              </w:rPr>
              <w:t>3.</w:t>
            </w:r>
            <w:r>
              <w:rPr>
                <w:rFonts w:hint="eastAsia" w:ascii="仿宋_GB2312" w:hAnsi="仿宋_GB2312" w:eastAsia="仿宋_GB2312" w:cs="仿宋_GB2312"/>
                <w:snapToGrid w:val="0"/>
                <w:spacing w:val="-4"/>
                <w:kern w:val="0"/>
                <w:sz w:val="24"/>
                <w:szCs w:val="24"/>
              </w:rPr>
              <w:t>接受培训人员数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人次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lang w:val="en-US" w:eastAsia="zh-CN"/>
              </w:rPr>
            </w:pPr>
            <w:r>
              <w:rPr>
                <w:rFonts w:hint="eastAsia" w:ascii="仿宋_GB2312" w:hAnsi="仿宋_GB2312" w:eastAsia="仿宋_GB2312" w:cs="仿宋_GB2312"/>
                <w:snapToGrid w:val="0"/>
                <w:spacing w:val="-4"/>
                <w:kern w:val="0"/>
                <w:sz w:val="24"/>
                <w:szCs w:val="24"/>
                <w:lang w:val="en-US" w:eastAsia="zh-CN"/>
              </w:rPr>
              <w:t>80</w:t>
            </w:r>
          </w:p>
        </w:tc>
      </w:tr>
    </w:tbl>
    <w:p>
      <w:pPr>
        <w:keepNext w:val="0"/>
        <w:keepLines w:val="0"/>
        <w:pageBreakBefore w:val="0"/>
        <w:kinsoku/>
        <w:wordWrap/>
        <w:overflowPunct/>
        <w:topLinePunct w:val="0"/>
        <w:autoSpaceDE/>
        <w:autoSpaceDN/>
        <w:bidi w:val="0"/>
        <w:spacing w:line="400" w:lineRule="exact"/>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spacing w:line="580" w:lineRule="exact"/>
        <w:ind w:firstLine="640" w:firstLineChars="200"/>
        <w:jc w:val="both"/>
        <w:textAlignment w:val="auto"/>
        <w:outlineLvl w:val="9"/>
        <w:rPr>
          <w:rFonts w:hint="eastAsia" w:ascii="仿宋_GB2312" w:hAnsi="Times New Roman" w:eastAsia="仿宋_GB2312" w:cs="Times New Roman"/>
          <w:kern w:val="0"/>
          <w:sz w:val="32"/>
          <w:szCs w:val="32"/>
          <w:shd w:val="clear" w:color="auto"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创艺简标宋">
    <w:altName w:val="黑体"/>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469BF"/>
    <w:multiLevelType w:val="singleLevel"/>
    <w:tmpl w:val="0C9469BF"/>
    <w:lvl w:ilvl="0" w:tentative="0">
      <w:start w:val="1"/>
      <w:numFmt w:val="chineseCounting"/>
      <w:suff w:val="nothing"/>
      <w:lvlText w:val="%1、"/>
      <w:lvlJc w:val="left"/>
      <w:pPr>
        <w:ind w:left="722"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C517E6"/>
    <w:rsid w:val="05A050F5"/>
    <w:rsid w:val="0767720C"/>
    <w:rsid w:val="0972651F"/>
    <w:rsid w:val="0F55444B"/>
    <w:rsid w:val="12841117"/>
    <w:rsid w:val="15C517E6"/>
    <w:rsid w:val="19F0253A"/>
    <w:rsid w:val="1E70680B"/>
    <w:rsid w:val="2EF168CB"/>
    <w:rsid w:val="31A6173A"/>
    <w:rsid w:val="34040668"/>
    <w:rsid w:val="373444B8"/>
    <w:rsid w:val="39AB4C6C"/>
    <w:rsid w:val="3A8A7791"/>
    <w:rsid w:val="3CAA067A"/>
    <w:rsid w:val="44551EC2"/>
    <w:rsid w:val="50A315DA"/>
    <w:rsid w:val="5DA3336C"/>
    <w:rsid w:val="6BD112D1"/>
    <w:rsid w:val="70C8736F"/>
    <w:rsid w:val="72C83876"/>
    <w:rsid w:val="7482249B"/>
    <w:rsid w:val="7DE648A5"/>
    <w:rsid w:val="7FCA12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7">
    <w:name w:val="一"/>
    <w:basedOn w:val="2"/>
    <w:next w:val="1"/>
    <w:qFormat/>
    <w:uiPriority w:val="0"/>
    <w:pPr>
      <w:adjustRightInd w:val="0"/>
      <w:snapToGrid w:val="0"/>
      <w:spacing w:line="360" w:lineRule="auto"/>
      <w:jc w:val="center"/>
    </w:pPr>
    <w:rPr>
      <w:rFonts w:ascii="Times New Roman" w:hAnsi="Times New Roman" w:eastAsia="方正小标宋简体" w:cs="Times New Roman"/>
      <w:b w:val="0"/>
      <w:sz w:val="36"/>
    </w:rPr>
  </w:style>
  <w:style w:type="paragraph" w:customStyle="1" w:styleId="8">
    <w:name w:val="（一）"/>
    <w:next w:val="1"/>
    <w:qFormat/>
    <w:uiPriority w:val="0"/>
    <w:pPr>
      <w:adjustRightInd w:val="0"/>
      <w:snapToGrid w:val="0"/>
      <w:spacing w:line="580" w:lineRule="exact"/>
      <w:ind w:firstLine="720" w:firstLineChars="200"/>
    </w:pPr>
    <w:rPr>
      <w:rFonts w:ascii="Times New Roman" w:hAnsi="Times New Roman" w:eastAsia="仿宋_GB2312" w:cstheme="minorBidi"/>
      <w:sz w:val="32"/>
    </w:rPr>
  </w:style>
  <w:style w:type="paragraph" w:customStyle="1" w:styleId="9">
    <w:name w:val="1"/>
    <w:basedOn w:val="1"/>
    <w:qFormat/>
    <w:uiPriority w:val="0"/>
    <w:pPr>
      <w:adjustRightInd w:val="0"/>
      <w:snapToGrid w:val="0"/>
      <w:spacing w:line="580" w:lineRule="exact"/>
      <w:ind w:firstLine="720" w:firstLineChars="200"/>
    </w:pPr>
    <w:rPr>
      <w:rFonts w:ascii="仿宋_GB2312" w:hAnsi="仿宋_GB2312" w:eastAsia="仿宋_GB2312" w:cs="Times New Roman"/>
      <w:sz w:val="32"/>
    </w:rPr>
  </w:style>
  <w:style w:type="paragraph" w:customStyle="1" w:styleId="10">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2019-12-22T01:37:00Z</dcterms:created>
  <dc:creator>何洁</dc:creator>
  <cp:lastModifiedBy>@我喜欢香樟</cp:lastModifiedBy>
  <dcterms:modified xsi:type="dcterms:W3CDTF">2020-01-20T08:40:04Z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