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432" w:lineRule="atLeast"/>
        <w:jc w:val="center"/>
        <w:rPr>
          <w:rFonts w:ascii="创艺简标宋" w:hAnsi="创艺简标宋" w:eastAsia="创艺简标宋" w:cs="创艺简标宋"/>
          <w:b/>
          <w:color w:val="333333"/>
          <w:sz w:val="44"/>
          <w:szCs w:val="44"/>
        </w:rPr>
      </w:pPr>
      <w:r>
        <w:rPr>
          <w:rFonts w:hint="eastAsia" w:ascii="创艺简标宋" w:hAnsi="创艺简标宋" w:eastAsia="创艺简标宋" w:cs="创艺简标宋"/>
          <w:b/>
          <w:color w:val="333333"/>
          <w:sz w:val="44"/>
          <w:szCs w:val="44"/>
        </w:rPr>
        <w:t>宁波市大数据发展管理局2019年</w:t>
      </w:r>
    </w:p>
    <w:p>
      <w:pPr>
        <w:pStyle w:val="2"/>
        <w:widowControl/>
        <w:spacing w:before="0" w:beforeAutospacing="0" w:after="0" w:afterAutospacing="0" w:line="432" w:lineRule="atLeast"/>
        <w:jc w:val="center"/>
        <w:rPr>
          <w:rFonts w:ascii="创艺简标宋" w:hAnsi="创艺简标宋" w:eastAsia="创艺简标宋" w:cs="创艺简标宋"/>
          <w:sz w:val="44"/>
          <w:szCs w:val="44"/>
        </w:rPr>
      </w:pPr>
      <w:r>
        <w:rPr>
          <w:rFonts w:hint="eastAsia" w:ascii="创艺简标宋" w:hAnsi="创艺简标宋" w:eastAsia="创艺简标宋" w:cs="创艺简标宋"/>
          <w:b/>
          <w:color w:val="333333"/>
          <w:sz w:val="44"/>
          <w:szCs w:val="44"/>
        </w:rPr>
        <w:t>政府信息公开工作年度报告</w:t>
      </w:r>
    </w:p>
    <w:p>
      <w:pPr>
        <w:pStyle w:val="2"/>
        <w:widowControl/>
        <w:spacing w:before="0" w:beforeAutospacing="0" w:after="0" w:afterAutospacing="0" w:line="432" w:lineRule="atLeast"/>
        <w:ind w:firstLine="420"/>
        <w:jc w:val="both"/>
        <w:rPr>
          <w:rFonts w:ascii="宋体" w:hAnsi="宋体" w:cs="宋体"/>
        </w:rPr>
      </w:pPr>
    </w:p>
    <w:p>
      <w:pPr>
        <w:keepNext w:val="0"/>
        <w:keepLines w:val="0"/>
        <w:pageBreakBefore w:val="0"/>
        <w:kinsoku/>
        <w:wordWrap/>
        <w:overflowPunct/>
        <w:topLinePunct w:val="0"/>
        <w:autoSpaceDE/>
        <w:autoSpaceDN/>
        <w:bidi w:val="0"/>
        <w:spacing w:line="580" w:lineRule="exact"/>
        <w:ind w:firstLine="640" w:firstLineChars="200"/>
        <w:jc w:val="both"/>
        <w:textAlignment w:val="auto"/>
        <w:outlineLvl w:val="9"/>
        <w:rPr>
          <w:rFonts w:hint="eastAsia" w:ascii="仿宋_GB2312" w:hAnsi="Times New Roman" w:eastAsia="仿宋_GB2312" w:cs="Times New Roman"/>
          <w:kern w:val="0"/>
          <w:sz w:val="32"/>
          <w:szCs w:val="32"/>
          <w:shd w:val="clear" w:color="auto" w:fill="FFFFFF"/>
          <w:lang w:val="en-US" w:eastAsia="zh-CN" w:bidi="ar"/>
        </w:rPr>
      </w:pPr>
      <w:r>
        <w:rPr>
          <w:rFonts w:hint="eastAsia" w:ascii="仿宋_GB2312" w:hAnsi="Times New Roman" w:eastAsia="仿宋_GB2312" w:cs="Times New Roman"/>
          <w:kern w:val="0"/>
          <w:sz w:val="32"/>
          <w:szCs w:val="32"/>
          <w:shd w:val="clear" w:color="auto" w:fill="FFFFFF"/>
          <w:lang w:val="en-US" w:eastAsia="zh-CN" w:bidi="ar"/>
        </w:rPr>
        <w:t>本年报根据《中华人民共和国政府信息公开条例》（以下简称《条例》），按照2019年度宁波市大数据发展管理局政府信息公开工作实际编制而成。年报由总体情况、主动公开政府信息情况、收到和处理政府信息公开申请情况、政府信息公开行政复议行政诉讼情况、存在的主要问题及改进情况、其他需要报告的事项等六个部分组成，并附相关数据统计。本年报</w:t>
      </w:r>
      <w:r>
        <w:rPr>
          <w:rFonts w:hint="eastAsia" w:ascii="仿宋_GB2312" w:hAnsi="Times New Roman" w:eastAsia="仿宋_GB2312" w:cs="Times New Roman"/>
          <w:b w:val="0"/>
          <w:bCs w:val="0"/>
          <w:kern w:val="0"/>
          <w:sz w:val="32"/>
          <w:szCs w:val="32"/>
          <w:shd w:val="clear" w:color="auto" w:fill="FFFFFF"/>
          <w:lang w:val="en-US" w:eastAsia="zh-CN" w:bidi="ar"/>
        </w:rPr>
        <w:t>中所列数据统计期限</w:t>
      </w:r>
      <w:r>
        <w:rPr>
          <w:rFonts w:hint="eastAsia" w:ascii="仿宋_GB2312" w:hAnsi="Times New Roman" w:eastAsia="仿宋_GB2312" w:cs="Times New Roman"/>
          <w:kern w:val="0"/>
          <w:sz w:val="32"/>
          <w:szCs w:val="32"/>
          <w:shd w:val="clear" w:color="auto" w:fill="FFFFFF"/>
          <w:lang w:val="en-US" w:eastAsia="zh-CN" w:bidi="ar"/>
        </w:rPr>
        <w:t>自2019年1月1日起至2019年12月31日止。本年报的电子版可在“宁波市大数据发展管理局”网站（http://dsjj.ningbo.gov.cn/）政府信息公开专栏下载。如对本年报有疑问，请与宁波市大数据发展管理局联系（地址：宁波市鄞州区宁穿路2001号，邮编：315066，电话：0574-89183435）。 </w:t>
      </w:r>
    </w:p>
    <w:p>
      <w:pPr>
        <w:pStyle w:val="2"/>
        <w:widowControl/>
        <w:spacing w:before="0" w:beforeAutospacing="0" w:after="0" w:afterAutospacing="0" w:line="432" w:lineRule="atLeast"/>
        <w:ind w:firstLine="643" w:firstLineChars="200"/>
        <w:jc w:val="both"/>
        <w:rPr>
          <w:rFonts w:hint="eastAsia" w:ascii="黑体" w:hAnsi="黑体" w:eastAsia="黑体" w:cs="黑体"/>
          <w:b/>
          <w:color w:val="333333"/>
          <w:sz w:val="32"/>
          <w:szCs w:val="32"/>
        </w:rPr>
      </w:pPr>
    </w:p>
    <w:p>
      <w:pPr>
        <w:pStyle w:val="2"/>
        <w:widowControl/>
        <w:spacing w:before="0" w:beforeAutospacing="0" w:after="0" w:afterAutospacing="0" w:line="432" w:lineRule="atLeast"/>
        <w:ind w:firstLine="643" w:firstLineChars="200"/>
        <w:jc w:val="both"/>
        <w:rPr>
          <w:rFonts w:hint="eastAsia" w:ascii="黑体" w:hAnsi="黑体" w:eastAsia="黑体" w:cs="黑体"/>
          <w:sz w:val="32"/>
          <w:szCs w:val="32"/>
        </w:rPr>
      </w:pPr>
      <w:r>
        <w:rPr>
          <w:rFonts w:hint="eastAsia" w:ascii="黑体" w:hAnsi="黑体" w:eastAsia="黑体" w:cs="黑体"/>
          <w:b/>
          <w:color w:val="333333"/>
          <w:sz w:val="32"/>
          <w:szCs w:val="32"/>
        </w:rPr>
        <w:t>一、总体情况</w:t>
      </w:r>
    </w:p>
    <w:p>
      <w:pPr>
        <w:pStyle w:val="2"/>
        <w:keepNext w:val="0"/>
        <w:keepLines w:val="0"/>
        <w:pageBreakBefore w:val="0"/>
        <w:widowControl/>
        <w:kinsoku/>
        <w:wordWrap w:val="0"/>
        <w:overflowPunct/>
        <w:topLinePunct w:val="0"/>
        <w:autoSpaceDE w:val="0"/>
        <w:autoSpaceDN/>
        <w:bidi w:val="0"/>
        <w:adjustRightInd/>
        <w:snapToGrid/>
        <w:spacing w:line="58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一年来，宁波市大数据发展管理局坚持深化政府信息公开工作，以公开为常态，不公开为例外，针对涉及面广、社会关注度高及涉及群众关心的利益问题的政府信息面向社会公开。</w:t>
      </w:r>
    </w:p>
    <w:p>
      <w:pPr>
        <w:pStyle w:val="2"/>
        <w:keepNext w:val="0"/>
        <w:keepLines w:val="0"/>
        <w:pageBreakBefore w:val="0"/>
        <w:widowControl/>
        <w:kinsoku/>
        <w:wordWrap w:val="0"/>
        <w:overflowPunct/>
        <w:topLinePunct w:val="0"/>
        <w:autoSpaceDE w:val="0"/>
        <w:autoSpaceDN/>
        <w:bidi w:val="0"/>
        <w:adjustRightInd/>
        <w:snapToGrid/>
        <w:spacing w:line="58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（一）主动公开政府信息情况</w:t>
      </w:r>
    </w:p>
    <w:p>
      <w:pPr>
        <w:pStyle w:val="2"/>
        <w:keepNext w:val="0"/>
        <w:keepLines w:val="0"/>
        <w:pageBreakBefore w:val="0"/>
        <w:widowControl/>
        <w:kinsoku/>
        <w:wordWrap w:val="0"/>
        <w:overflowPunct/>
        <w:topLinePunct w:val="0"/>
        <w:autoSpaceDE w:val="0"/>
        <w:autoSpaceDN/>
        <w:bidi w:val="0"/>
        <w:adjustRightInd/>
        <w:snapToGrid/>
        <w:spacing w:line="58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2019年度我局通过宁波市发展管理局网站共主动公开政府信息105条，其中机构职能类信息10条，政策、规范性文件类信息7条，回应解读类信息7条，工作动态类信息81条。</w:t>
      </w:r>
    </w:p>
    <w:p>
      <w:pPr>
        <w:pStyle w:val="2"/>
        <w:keepNext w:val="0"/>
        <w:keepLines w:val="0"/>
        <w:pageBreakBefore w:val="0"/>
        <w:widowControl/>
        <w:kinsoku/>
        <w:wordWrap w:val="0"/>
        <w:overflowPunct/>
        <w:topLinePunct w:val="0"/>
        <w:autoSpaceDE w:val="0"/>
        <w:autoSpaceDN/>
        <w:bidi w:val="0"/>
        <w:adjustRightInd/>
        <w:snapToGrid/>
        <w:spacing w:line="58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（二）政府信息依申请公开办理情况</w:t>
      </w:r>
    </w:p>
    <w:p>
      <w:pPr>
        <w:pStyle w:val="2"/>
        <w:keepNext w:val="0"/>
        <w:keepLines w:val="0"/>
        <w:pageBreakBefore w:val="0"/>
        <w:widowControl/>
        <w:kinsoku/>
        <w:wordWrap w:val="0"/>
        <w:overflowPunct/>
        <w:topLinePunct w:val="0"/>
        <w:autoSpaceDE w:val="0"/>
        <w:autoSpaceDN/>
        <w:bidi w:val="0"/>
        <w:adjustRightInd/>
        <w:snapToGrid/>
        <w:spacing w:line="58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今年来我局收到政府信息公开申请1件，已办结。</w:t>
      </w:r>
    </w:p>
    <w:p>
      <w:pPr>
        <w:pStyle w:val="2"/>
        <w:keepNext w:val="0"/>
        <w:keepLines w:val="0"/>
        <w:pageBreakBefore w:val="0"/>
        <w:widowControl/>
        <w:kinsoku/>
        <w:wordWrap w:val="0"/>
        <w:overflowPunct/>
        <w:topLinePunct w:val="0"/>
        <w:autoSpaceDE w:val="0"/>
        <w:autoSpaceDN/>
        <w:bidi w:val="0"/>
        <w:adjustRightInd/>
        <w:snapToGrid/>
        <w:spacing w:line="58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（三）政府信息管理情况</w:t>
      </w:r>
    </w:p>
    <w:p>
      <w:pPr>
        <w:pStyle w:val="2"/>
        <w:keepNext w:val="0"/>
        <w:keepLines w:val="0"/>
        <w:pageBreakBefore w:val="0"/>
        <w:widowControl/>
        <w:kinsoku/>
        <w:wordWrap w:val="0"/>
        <w:overflowPunct/>
        <w:topLinePunct w:val="0"/>
        <w:autoSpaceDE w:val="0"/>
        <w:autoSpaceDN/>
        <w:bidi w:val="0"/>
        <w:adjustRightInd/>
        <w:snapToGrid/>
        <w:spacing w:line="58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我局建立健全政府信息公开工作机制，完善《宁波市大数据发展管理局政府信息公开指南》和《宁波市大数据发展管理局政府信息公开目录》，落实专人做好政府信息公开各项工作，严格执行政府信息公开的法律法规，建立健全政府信息公开申请受理答复各环节制度规范，对所公开事项内容进行审核、把关，确保公开内容的合法性、准确性、严肃性。确保公开的范围、形式、时限、程序等符合《中华人民共和国政府信息公开条例》的相关要求。</w:t>
      </w:r>
    </w:p>
    <w:p>
      <w:pPr>
        <w:pStyle w:val="2"/>
        <w:keepNext w:val="0"/>
        <w:keepLines w:val="0"/>
        <w:pageBreakBefore w:val="0"/>
        <w:widowControl/>
        <w:kinsoku/>
        <w:wordWrap w:val="0"/>
        <w:overflowPunct/>
        <w:topLinePunct w:val="0"/>
        <w:autoSpaceDE w:val="0"/>
        <w:autoSpaceDN/>
        <w:bidi w:val="0"/>
        <w:adjustRightInd/>
        <w:snapToGrid/>
        <w:spacing w:line="58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（四）政府信息公开平台建设情况</w:t>
      </w:r>
    </w:p>
    <w:p>
      <w:pPr>
        <w:pStyle w:val="2"/>
        <w:keepNext w:val="0"/>
        <w:keepLines w:val="0"/>
        <w:pageBreakBefore w:val="0"/>
        <w:widowControl/>
        <w:kinsoku/>
        <w:wordWrap w:val="0"/>
        <w:overflowPunct/>
        <w:topLinePunct w:val="0"/>
        <w:autoSpaceDE w:val="0"/>
        <w:autoSpaceDN/>
        <w:bidi w:val="0"/>
        <w:adjustRightInd/>
        <w:snapToGrid/>
        <w:spacing w:line="58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我局政府信息公开平台主要在宁波市大数据发展管理局网站进行全文电子化公开。</w:t>
      </w:r>
    </w:p>
    <w:p>
      <w:pPr>
        <w:pStyle w:val="2"/>
        <w:keepNext w:val="0"/>
        <w:keepLines w:val="0"/>
        <w:pageBreakBefore w:val="0"/>
        <w:widowControl/>
        <w:kinsoku/>
        <w:wordWrap w:val="0"/>
        <w:overflowPunct/>
        <w:topLinePunct w:val="0"/>
        <w:autoSpaceDE w:val="0"/>
        <w:autoSpaceDN/>
        <w:bidi w:val="0"/>
        <w:adjustRightInd/>
        <w:snapToGrid/>
        <w:spacing w:line="58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（五）监督保障机制</w:t>
      </w:r>
    </w:p>
    <w:p>
      <w:pPr>
        <w:pStyle w:val="2"/>
        <w:keepNext w:val="0"/>
        <w:keepLines w:val="0"/>
        <w:pageBreakBefore w:val="0"/>
        <w:widowControl/>
        <w:kinsoku/>
        <w:wordWrap w:val="0"/>
        <w:overflowPunct/>
        <w:topLinePunct w:val="0"/>
        <w:autoSpaceDE w:val="0"/>
        <w:autoSpaceDN/>
        <w:bidi w:val="0"/>
        <w:adjustRightInd/>
        <w:snapToGrid/>
        <w:spacing w:line="58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为切实做好政务公开工作，深化主动公开内容，我局逐步健全政府信息公开工作机制，将政府信息公开工作纳入考评工作，及时对信息更新不及时、处理申请不规范、群众反映不满意的现象进行整改，强化监督检查，对信息公开不正确、不及时等违反公开条例的行为追究相关负责人的责任，进一步保障了政府信息公开工作落到实处。</w:t>
      </w:r>
    </w:p>
    <w:p>
      <w:pPr>
        <w:pStyle w:val="2"/>
        <w:widowControl/>
        <w:spacing w:before="0" w:beforeAutospacing="0" w:after="240" w:afterAutospacing="0" w:line="432" w:lineRule="atLeast"/>
        <w:ind w:firstLine="643" w:firstLineChars="200"/>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二、主动公开政府信息情况</w:t>
      </w:r>
    </w:p>
    <w:tbl>
      <w:tblPr>
        <w:tblStyle w:val="3"/>
        <w:tblW w:w="0" w:type="auto"/>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本年新</w:t>
            </w:r>
            <w:r>
              <w:rPr>
                <w:rFonts w:hint="eastAsia" w:ascii="宋体" w:hAnsi="宋体" w:cs="宋体"/>
                <w:color w:val="000000" w:themeColor="text1"/>
                <w:kern w:val="0"/>
                <w:sz w:val="20"/>
                <w:szCs w:val="20"/>
                <w:lang w:bidi="ar"/>
                <w14:textFill>
                  <w14:solidFill>
                    <w14:schemeClr w14:val="tx1"/>
                  </w14:solidFill>
                </w14:textFill>
              </w:rPr>
              <w:br w:type="textWrapping"/>
            </w:r>
            <w:r>
              <w:rPr>
                <w:color w:val="000000" w:themeColor="text1"/>
                <w:kern w:val="0"/>
                <w:sz w:val="20"/>
                <w:szCs w:val="20"/>
                <w:lang w:bidi="ar"/>
                <w14:textFill>
                  <w14:solidFill>
                    <w14:schemeClr w14:val="tx1"/>
                  </w14:solidFill>
                </w14:textFill>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本年新</w:t>
            </w:r>
            <w:r>
              <w:rPr>
                <w:rFonts w:hint="eastAsia" w:ascii="宋体" w:hAnsi="宋体" w:cs="宋体"/>
                <w:color w:val="000000" w:themeColor="text1"/>
                <w:kern w:val="0"/>
                <w:sz w:val="20"/>
                <w:szCs w:val="20"/>
                <w:lang w:bidi="ar"/>
                <w14:textFill>
                  <w14:solidFill>
                    <w14:schemeClr w14:val="tx1"/>
                  </w14:solidFill>
                </w14:textFill>
              </w:rPr>
              <w:br w:type="textWrapping"/>
            </w:r>
            <w:r>
              <w:rPr>
                <w:color w:val="000000" w:themeColor="text1"/>
                <w:kern w:val="0"/>
                <w:sz w:val="20"/>
                <w:szCs w:val="20"/>
                <w:lang w:bidi="ar"/>
                <w14:textFill>
                  <w14:solidFill>
                    <w14:schemeClr w14:val="tx1"/>
                  </w14:solidFill>
                </w14:textFill>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jc w:val="center"/>
              <w:rPr>
                <w:rFonts w:ascii="宋体"/>
                <w:color w:val="000000" w:themeColor="text1"/>
                <w:sz w:val="24"/>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r>
    </w:tbl>
    <w:p>
      <w:pPr>
        <w:pStyle w:val="2"/>
        <w:widowControl/>
        <w:spacing w:before="0" w:beforeAutospacing="0" w:after="0" w:afterAutospacing="0" w:line="432" w:lineRule="atLeast"/>
        <w:ind w:firstLine="420"/>
        <w:jc w:val="both"/>
        <w:rPr>
          <w:rFonts w:ascii="宋体" w:hAnsi="宋体" w:cs="宋体"/>
          <w:color w:val="000000" w:themeColor="text1"/>
          <w14:textFill>
            <w14:solidFill>
              <w14:schemeClr w14:val="tx1"/>
            </w14:solidFill>
          </w14:textFill>
        </w:rPr>
      </w:pPr>
    </w:p>
    <w:p>
      <w:pPr>
        <w:pStyle w:val="2"/>
        <w:widowControl/>
        <w:spacing w:before="0" w:beforeAutospacing="0" w:after="240" w:afterAutospacing="0" w:line="432" w:lineRule="atLeast"/>
        <w:ind w:firstLine="643" w:firstLineChars="200"/>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三、收到和处理政府信息公开申请情况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1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自然人</w:t>
            </w:r>
          </w:p>
        </w:tc>
        <w:tc>
          <w:tcPr>
            <w:tcW w:w="401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法人或其他组织</w:t>
            </w:r>
          </w:p>
        </w:tc>
        <w:tc>
          <w:tcPr>
            <w:tcW w:w="68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1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科研机构</w:t>
            </w:r>
          </w:p>
        </w:tc>
        <w:tc>
          <w:tcPr>
            <w:tcW w:w="81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社会公益组织</w:t>
            </w:r>
          </w:p>
        </w:tc>
        <w:tc>
          <w:tcPr>
            <w:tcW w:w="97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其他</w:t>
            </w:r>
          </w:p>
        </w:tc>
        <w:tc>
          <w:tcPr>
            <w:tcW w:w="68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一、本年新收政府信息公开申请数量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1</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二、上年结转政府信息公开申请数量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（一）予以公开</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（二）部分公开（区分处理的，只计这一情形，不计其他情形）</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1.属于国家秘密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2.其他法律行政法规禁止公开</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3.危及“三安全一稳定”</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4.保护第三方合法权益</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5.属于三类内部事务信息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6.属于四类过程性信息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7.属于行政执法案卷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8.属于行政查询事项</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1.本机关不掌握相关政府信息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2.没有现成信息需要另行制作</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3.补正后申请内容仍不明确</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1.信访举报投诉类申请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2.重复申请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3.要求提供公开出版物</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4.无正当理由大量反复申请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5.要求行政机关确认或重新出具已获取信息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（六）其他处理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bidi="ar"/>
                <w14:textFill>
                  <w14:solidFill>
                    <w14:schemeClr w14:val="tx1"/>
                  </w14:solidFill>
                </w14:textFill>
              </w:rPr>
              <w:t>（七）总计</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四、结转下年度继续办理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p>
        </w:tc>
      </w:tr>
    </w:tbl>
    <w:p>
      <w:pPr>
        <w:pStyle w:val="2"/>
        <w:widowControl/>
        <w:spacing w:before="0" w:beforeAutospacing="0" w:after="0" w:afterAutospacing="0" w:line="432" w:lineRule="atLeast"/>
        <w:ind w:firstLine="420"/>
        <w:jc w:val="both"/>
        <w:rPr>
          <w:rFonts w:ascii="宋体" w:hAnsi="宋体" w:cs="宋体"/>
          <w:color w:val="000000" w:themeColor="text1"/>
          <w14:textFill>
            <w14:solidFill>
              <w14:schemeClr w14:val="tx1"/>
            </w14:solidFill>
          </w14:textFill>
        </w:rPr>
      </w:pPr>
    </w:p>
    <w:p>
      <w:pPr>
        <w:pStyle w:val="2"/>
        <w:widowControl/>
        <w:spacing w:before="0" w:beforeAutospacing="0" w:after="0" w:afterAutospacing="0" w:line="432" w:lineRule="atLeast"/>
        <w:ind w:firstLine="643" w:firstLineChars="200"/>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四、政府信息公开行政复议、行政诉讼情况</w:t>
      </w:r>
    </w:p>
    <w:p>
      <w:pPr>
        <w:pStyle w:val="2"/>
        <w:widowControl/>
        <w:spacing w:before="0" w:beforeAutospacing="0" w:after="0" w:afterAutospacing="0" w:line="432" w:lineRule="atLeast"/>
        <w:ind w:firstLine="420"/>
        <w:jc w:val="both"/>
        <w:rPr>
          <w:rFonts w:ascii="宋体" w:hAnsi="宋体" w:cs="宋体"/>
          <w:color w:val="000000" w:themeColor="text1"/>
          <w14:textFill>
            <w14:solidFill>
              <w14:schemeClr w14:val="tx1"/>
            </w14:solidFill>
          </w14:textFill>
        </w:rPr>
      </w:pP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color w:val="000000" w:themeColor="text1"/>
                <w:sz w:val="24"/>
                <w14:textFill>
                  <w14:solidFill>
                    <w14:schemeClr w14:val="tx1"/>
                  </w14:solidFill>
                </w14:textFill>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color w:val="000000" w:themeColor="text1"/>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r>
              <w:rPr>
                <w:rFonts w:cs="Calibri"/>
                <w:color w:val="000000" w:themeColor="text1"/>
                <w:kern w:val="0"/>
                <w:sz w:val="20"/>
                <w:szCs w:val="20"/>
                <w:lang w:bidi="ar"/>
                <w14:textFill>
                  <w14:solidFill>
                    <w14:schemeClr w14:val="tx1"/>
                  </w14:solidFill>
                </w14:textFill>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cs="Calibri"/>
                <w:color w:val="000000" w:themeColor="text1"/>
                <w:kern w:val="0"/>
                <w:sz w:val="20"/>
                <w:szCs w:val="20"/>
                <w:lang w:bidi="ar"/>
                <w14:textFill>
                  <w14:solidFill>
                    <w14:schemeClr w14:val="tx1"/>
                  </w14:solidFill>
                </w14:textFill>
              </w:rPr>
              <w:t> </w:t>
            </w:r>
            <w:r>
              <w:rPr>
                <w:rFonts w:hint="eastAsia" w:cs="Calibri"/>
                <w:color w:val="000000" w:themeColor="text1"/>
                <w:kern w:val="0"/>
                <w:sz w:val="20"/>
                <w:szCs w:val="20"/>
                <w:lang w:bidi="ar"/>
                <w14:textFill>
                  <w14:solidFill>
                    <w14:schemeClr w14:val="tx1"/>
                  </w14:solidFill>
                </w14:textFill>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 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 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 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 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0 </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0 </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cs="Calibri"/>
                <w:color w:val="000000" w:themeColor="text1"/>
                <w:kern w:val="0"/>
                <w:sz w:val="20"/>
                <w:szCs w:val="20"/>
                <w:lang w:bidi="ar"/>
                <w14:textFill>
                  <w14:solidFill>
                    <w14:schemeClr w14:val="tx1"/>
                  </w14:solidFill>
                </w14:textFill>
              </w:rPr>
            </w:pPr>
            <w:r>
              <w:rPr>
                <w:rFonts w:hint="eastAsia" w:cs="Calibri"/>
                <w:color w:val="000000" w:themeColor="text1"/>
                <w:kern w:val="0"/>
                <w:sz w:val="20"/>
                <w:szCs w:val="20"/>
                <w:lang w:bidi="ar"/>
                <w14:textFill>
                  <w14:solidFill>
                    <w14:schemeClr w14:val="tx1"/>
                  </w14:solidFill>
                </w14:textFill>
              </w:rPr>
              <w:t>0</w:t>
            </w:r>
          </w:p>
        </w:tc>
      </w:tr>
    </w:tbl>
    <w:p>
      <w:pPr>
        <w:widowControl/>
        <w:spacing w:line="432" w:lineRule="atLeast"/>
        <w:jc w:val="center"/>
        <w:rPr>
          <w:rFonts w:ascii="宋体" w:hAnsi="宋体" w:cs="宋体"/>
          <w:color w:val="000000" w:themeColor="text1"/>
          <w:sz w:val="24"/>
          <w14:textFill>
            <w14:solidFill>
              <w14:schemeClr w14:val="tx1"/>
            </w14:solidFill>
          </w14:textFill>
        </w:rPr>
      </w:pPr>
    </w:p>
    <w:p>
      <w:pPr>
        <w:pStyle w:val="2"/>
        <w:widowControl/>
        <w:spacing w:before="0" w:beforeAutospacing="0" w:after="0" w:afterAutospacing="0" w:line="432" w:lineRule="atLeast"/>
        <w:ind w:firstLine="643" w:firstLineChars="200"/>
        <w:jc w:val="both"/>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五、存在的主要问题及改进情况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2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（一）主要问题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2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一是相关工作人员对政务公开政策内容还不够熟悉；二是主动公开信息内容有待进一步充实。</w:t>
      </w:r>
    </w:p>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80" w:lineRule="exact"/>
        <w:ind w:firstLine="42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改进情况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一是组织相关工作人员加强对新修订《条例》的学习，完善信息公开制度；二是进一步梳理了我局信息公开内容，拓宽公开渠道，从而丰富信息公开内容。</w:t>
      </w:r>
    </w:p>
    <w:p>
      <w:pPr>
        <w:pStyle w:val="2"/>
        <w:widowControl/>
        <w:numPr>
          <w:ilvl w:val="0"/>
          <w:numId w:val="2"/>
        </w:numPr>
        <w:spacing w:before="0" w:beforeAutospacing="0" w:after="0" w:afterAutospacing="0" w:line="432" w:lineRule="atLeast"/>
        <w:ind w:firstLine="643" w:firstLineChars="200"/>
        <w:jc w:val="both"/>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其他需要报告的事项</w:t>
      </w:r>
    </w:p>
    <w:p>
      <w:pPr>
        <w:pStyle w:val="2"/>
        <w:widowControl/>
        <w:numPr>
          <w:numId w:val="0"/>
        </w:numPr>
        <w:spacing w:before="0" w:beforeAutospacing="0" w:after="0" w:afterAutospacing="0" w:line="432" w:lineRule="atLeast"/>
        <w:ind w:firstLine="640" w:firstLineChars="200"/>
        <w:jc w:val="both"/>
        <w:rPr>
          <w:color w:val="000000" w:themeColor="text1"/>
          <w14:textFill>
            <w14:solidFill>
              <w14:schemeClr w14:val="tx1"/>
            </w14:solidFill>
          </w14:textFill>
        </w:rPr>
      </w:pPr>
      <w:r>
        <w:rPr>
          <w:rFonts w:hint="eastAsia" w:ascii="仿宋_GB2312" w:hAnsi="Times New Roman" w:eastAsia="仿宋_GB2312" w:cs="Times New Roman"/>
          <w:kern w:val="0"/>
          <w:sz w:val="32"/>
          <w:szCs w:val="32"/>
          <w:shd w:val="clear" w:color="auto" w:fill="FFFFFF"/>
          <w:lang w:val="en-US" w:eastAsia="zh-CN" w:bidi="ar"/>
        </w:rPr>
        <w:t>本年度无其他需要报告的事项。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161BC"/>
    <w:multiLevelType w:val="singleLevel"/>
    <w:tmpl w:val="8BF161BC"/>
    <w:lvl w:ilvl="0" w:tentative="0">
      <w:start w:val="6"/>
      <w:numFmt w:val="chineseCounting"/>
      <w:suff w:val="nothing"/>
      <w:lvlText w:val="%1、"/>
      <w:lvlJc w:val="left"/>
      <w:rPr>
        <w:rFonts w:hint="eastAsia"/>
      </w:rPr>
    </w:lvl>
  </w:abstractNum>
  <w:abstractNum w:abstractNumId="1">
    <w:nsid w:val="6738A18F"/>
    <w:multiLevelType w:val="singleLevel"/>
    <w:tmpl w:val="6738A18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32639"/>
    <w:rsid w:val="2AA57C1F"/>
    <w:rsid w:val="31932639"/>
    <w:rsid w:val="35064735"/>
    <w:rsid w:val="6B042A5E"/>
    <w:rsid w:val="71790F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2020-01-22T05:03:00Z</dcterms:created>
  <dc:creator>呆毛控</dc:creator>
  <cp:lastModifiedBy>呆毛控</cp:lastModifiedBy>
  <dcterms:modified xsi:type="dcterms:W3CDTF">2020-01-22T05:20:10Z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