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ascii="方正小标宋简体" w:hAnsi="??" w:eastAsia="方正小标宋简体"/>
          <w:color w:val="333333"/>
          <w:kern w:val="0"/>
          <w:sz w:val="44"/>
          <w:szCs w:val="44"/>
        </w:rPr>
      </w:pPr>
      <w:r>
        <w:rPr>
          <w:rFonts w:hint="eastAsia" w:ascii="方正小标宋简体" w:hAnsi="??" w:eastAsia="方正小标宋简体" w:cs="方正小标宋简体"/>
          <w:color w:val="333333"/>
          <w:kern w:val="0"/>
          <w:sz w:val="44"/>
          <w:szCs w:val="44"/>
          <w:lang w:val="en-US" w:eastAsia="zh-CN"/>
        </w:rPr>
        <w:t>2019</w:t>
      </w:r>
      <w:r>
        <w:rPr>
          <w:rFonts w:hint="eastAsia" w:ascii="方正小标宋简体" w:hAnsi="??" w:eastAsia="方正小标宋简体" w:cs="方正小标宋简体"/>
          <w:color w:val="333333"/>
          <w:kern w:val="0"/>
          <w:sz w:val="44"/>
          <w:szCs w:val="44"/>
        </w:rPr>
        <w:t>年宁波市人力资源和社会保障局</w:t>
      </w:r>
    </w:p>
    <w:p>
      <w:pPr>
        <w:widowControl/>
        <w:snapToGrid w:val="0"/>
        <w:spacing w:line="560" w:lineRule="exact"/>
        <w:jc w:val="center"/>
        <w:rPr>
          <w:rFonts w:ascii="方正小标宋简体" w:hAnsi="??" w:eastAsia="方正小标宋简体"/>
          <w:color w:val="333333"/>
          <w:kern w:val="0"/>
          <w:sz w:val="44"/>
          <w:szCs w:val="44"/>
        </w:rPr>
      </w:pPr>
      <w:r>
        <w:rPr>
          <w:rFonts w:hint="eastAsia" w:ascii="方正小标宋简体" w:hAnsi="??" w:eastAsia="方正小标宋简体" w:cs="方正小标宋简体"/>
          <w:color w:val="333333"/>
          <w:kern w:val="0"/>
          <w:sz w:val="44"/>
          <w:szCs w:val="44"/>
        </w:rPr>
        <w:t>政府信息公开年度报告</w:t>
      </w:r>
    </w:p>
    <w:p>
      <w:pPr>
        <w:widowControl/>
        <w:snapToGrid w:val="0"/>
        <w:spacing w:line="560" w:lineRule="exact"/>
        <w:jc w:val="center"/>
        <w:rPr>
          <w:rFonts w:ascii="方正小标宋简体" w:hAnsi="??" w:eastAsia="方正小标宋简体"/>
          <w:color w:val="333333"/>
          <w:kern w:val="0"/>
          <w:sz w:val="44"/>
          <w:szCs w:val="44"/>
        </w:rPr>
      </w:pP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报是根据《政府信息公开条例》的要求，由宁波市人力资源和社会保障局编制。年报包括概述、主动公开政府信息情况、依申请公开政府信息办理情况、政府信息公开收费及减免情况、行政复议或提起行政诉讼的情况、存在的主要问题和改进措施等内容。年报中的统计数据期限自</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日起到</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日止。</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总体情况</w:t>
      </w:r>
      <w:r>
        <w:rPr>
          <w:rFonts w:hint="eastAsia" w:ascii="黑体" w:hAnsi="黑体" w:eastAsia="黑体"/>
          <w:sz w:val="32"/>
          <w:szCs w:val="32"/>
        </w:rPr>
        <w:t>概述</w:t>
      </w:r>
    </w:p>
    <w:p>
      <w:pPr>
        <w:widowControl/>
        <w:spacing w:line="560" w:lineRule="exact"/>
        <w:ind w:firstLine="640" w:firstLineChars="200"/>
        <w:jc w:val="left"/>
        <w:rPr>
          <w:rFonts w:ascii="仿宋_GB2312" w:hAnsi="仿宋" w:eastAsia="仿宋_GB2312" w:cs="仿宋_GB2312"/>
          <w:sz w:val="32"/>
          <w:szCs w:val="32"/>
        </w:rPr>
      </w:pPr>
      <w:r>
        <w:rPr>
          <w:rFonts w:hint="eastAsia" w:ascii="仿宋_GB2312" w:eastAsia="仿宋_GB2312" w:cs="仿宋_GB2312"/>
          <w:sz w:val="32"/>
          <w:szCs w:val="32"/>
        </w:rPr>
        <w:t>按照</w:t>
      </w:r>
      <w:r>
        <w:rPr>
          <w:rFonts w:hint="eastAsia" w:ascii="仿宋_GB2312" w:eastAsia="仿宋_GB2312" w:cs="仿宋_GB2312"/>
          <w:sz w:val="32"/>
          <w:szCs w:val="32"/>
          <w:lang w:eastAsia="zh-CN"/>
        </w:rPr>
        <w:t>《中华人民共和国政府信息公开条例》和《国务院办公厅政府信息与政务公开办公室关于政府信息公开工作年度报告有关事项的通知》</w:t>
      </w:r>
      <w:r>
        <w:rPr>
          <w:rFonts w:hint="eastAsia" w:ascii="仿宋_GB2312" w:eastAsia="仿宋_GB2312" w:cs="仿宋_GB2312"/>
          <w:sz w:val="32"/>
          <w:szCs w:val="32"/>
        </w:rPr>
        <w:t>文件</w:t>
      </w:r>
      <w:r>
        <w:rPr>
          <w:rFonts w:hint="eastAsia" w:ascii="仿宋_GB2312" w:hAnsi="Calibri" w:eastAsia="仿宋_GB2312" w:cs="仿宋_GB2312"/>
          <w:sz w:val="32"/>
          <w:szCs w:val="32"/>
        </w:rPr>
        <w:t>要求，</w:t>
      </w:r>
      <w:r>
        <w:rPr>
          <w:rFonts w:hint="eastAsia" w:ascii="仿宋_GB2312" w:hAnsi="仿宋" w:eastAsia="仿宋_GB2312" w:cs="仿宋_GB2312"/>
          <w:sz w:val="32"/>
          <w:szCs w:val="32"/>
        </w:rPr>
        <w:t>截止</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年底，我局政府信息公开工作运行正常，政府信息公开咨询、申请以及答复工作均得到了顺利开展。</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（一）组织领导方面</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1.坚持公开透明原则。</w:t>
      </w:r>
      <w:r>
        <w:rPr>
          <w:rFonts w:hint="eastAsia" w:ascii="仿宋_GB2312" w:eastAsia="仿宋_GB2312"/>
          <w:sz w:val="32"/>
          <w:szCs w:val="32"/>
        </w:rPr>
        <w:t>把“公开是常态，不公开是例外”作为人社工作的基本要求，对局长办公会议、局务会等研究决定的事项、制定的重要政策，除法律规定需要保密的之外均</w:t>
      </w:r>
      <w:r>
        <w:rPr>
          <w:rFonts w:ascii="仿宋_GB2312" w:eastAsia="仿宋_GB2312"/>
          <w:sz w:val="32"/>
          <w:szCs w:val="32"/>
        </w:rPr>
        <w:t>按照决策、执行、管理、服务和结果</w:t>
      </w:r>
      <w:r>
        <w:rPr>
          <w:rFonts w:hint="eastAsia" w:ascii="仿宋_GB2312" w:eastAsia="仿宋_GB2312"/>
          <w:sz w:val="32"/>
          <w:szCs w:val="32"/>
        </w:rPr>
        <w:t>“</w:t>
      </w:r>
      <w:r>
        <w:rPr>
          <w:rFonts w:ascii="仿宋_GB2312" w:eastAsia="仿宋_GB2312"/>
          <w:sz w:val="32"/>
          <w:szCs w:val="32"/>
        </w:rPr>
        <w:t>五公开</w:t>
      </w:r>
      <w:r>
        <w:rPr>
          <w:rFonts w:hint="eastAsia" w:ascii="仿宋_GB2312" w:eastAsia="仿宋_GB2312"/>
          <w:sz w:val="32"/>
          <w:szCs w:val="32"/>
        </w:rPr>
        <w:t>”</w:t>
      </w:r>
      <w:r>
        <w:rPr>
          <w:rFonts w:ascii="仿宋_GB2312" w:eastAsia="仿宋_GB2312"/>
          <w:sz w:val="32"/>
          <w:szCs w:val="32"/>
        </w:rPr>
        <w:t>要求</w:t>
      </w:r>
      <w:r>
        <w:rPr>
          <w:rFonts w:hint="eastAsia" w:ascii="仿宋_GB2312" w:eastAsia="仿宋_GB2312"/>
          <w:sz w:val="32"/>
          <w:szCs w:val="32"/>
        </w:rPr>
        <w:t>及时对外公开，</w:t>
      </w:r>
      <w:r>
        <w:rPr>
          <w:rFonts w:ascii="仿宋_GB2312" w:eastAsia="仿宋_GB2312"/>
          <w:sz w:val="32"/>
          <w:szCs w:val="32"/>
        </w:rPr>
        <w:t>满足和保障社会公众对政务信息的知情权。</w:t>
      </w:r>
      <w:r>
        <w:rPr>
          <w:rFonts w:hint="eastAsia" w:ascii="仿宋_GB2312" w:eastAsia="仿宋_GB2312"/>
          <w:sz w:val="32"/>
          <w:szCs w:val="32"/>
        </w:rPr>
        <w:t>涉及公共利益、公众权益的各类政策文件、政务信息实现了“应公开尽公开”。同时，进一步加大人大建议和政协提案复函公开力度，办理结果经过审查均已公开答复全文，主动接受社会各界监督。</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2.突出重点领域主动公开。</w:t>
      </w:r>
      <w:r>
        <w:rPr>
          <w:rFonts w:hint="eastAsia" w:ascii="仿宋_GB2312" w:eastAsia="仿宋_GB2312"/>
          <w:sz w:val="32"/>
          <w:szCs w:val="32"/>
        </w:rPr>
        <w:t>认真落实有关市级部门</w:t>
      </w:r>
      <w:r>
        <w:rPr>
          <w:rFonts w:hint="eastAsia" w:ascii="仿宋_GB2312" w:eastAsia="仿宋_GB2312"/>
          <w:sz w:val="32"/>
          <w:szCs w:val="32"/>
          <w:lang w:eastAsia="zh-CN"/>
        </w:rPr>
        <w:t>重点领域信息公开的相关要求，在市政府信息公开平台、局门户网站上按规定开设就业创业专题版块，内容化涵盖就业创业活动，就业创业政策以及各类招聘求职等相关事项，并将就业创业活动细化到就业创业帮扶、就业创业补贴、就业创业指导等一系列内容，系统性的展示我局在重点领域的工作，让本年度人社重点工作充分发挥公共舆论的监督作用，稳步朝着“担民所忧，解民所忧”的方向前进。</w:t>
      </w:r>
      <w:r>
        <w:rPr>
          <w:rFonts w:hint="eastAsia" w:ascii="仿宋_GB2312" w:eastAsia="仿宋_GB2312"/>
          <w:sz w:val="32"/>
          <w:szCs w:val="32"/>
        </w:rPr>
        <w:t>此外，认真做好</w:t>
      </w:r>
      <w:r>
        <w:rPr>
          <w:rFonts w:hint="eastAsia" w:ascii="仿宋_GB2312" w:eastAsia="仿宋_GB2312"/>
          <w:sz w:val="32"/>
          <w:szCs w:val="32"/>
          <w:lang w:eastAsia="zh-CN"/>
        </w:rPr>
        <w:t>预决算公开、</w:t>
      </w:r>
      <w:r>
        <w:rPr>
          <w:rFonts w:hint="eastAsia" w:ascii="仿宋_GB2312" w:eastAsia="仿宋_GB2312"/>
          <w:sz w:val="32"/>
          <w:szCs w:val="32"/>
        </w:rPr>
        <w:t>精准扶贫脱贫、补贴发放对象公示等信息公开，使相关信息可检索、可核查、可利用。根据“双随机、一公开”监管要求，及时公开劳动保障监察执法信息，增强行政执法威慑力和公信力。</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lang w:val="en-US" w:eastAsia="zh-CN"/>
        </w:rPr>
        <w:t>3.完善主动公开目录</w:t>
      </w:r>
      <w:r>
        <w:rPr>
          <w:rFonts w:hint="eastAsia" w:ascii="楷体_GB2312" w:eastAsia="楷体_GB2312"/>
          <w:b/>
          <w:sz w:val="32"/>
          <w:szCs w:val="32"/>
        </w:rPr>
        <w:t>。</w:t>
      </w:r>
      <w:r>
        <w:rPr>
          <w:rFonts w:hint="eastAsia" w:ascii="仿宋_GB2312" w:eastAsia="仿宋_GB2312"/>
          <w:sz w:val="32"/>
          <w:szCs w:val="32"/>
        </w:rPr>
        <w:t>按照“五公开”要求，科学规划政务公开、政府信息公开目录，按照“三定”方案，结合我局工作实际，对政务信息公开目录重新进行分类设置，目前共设置7个大栏目2</w:t>
      </w:r>
      <w:r>
        <w:rPr>
          <w:rFonts w:hint="eastAsia" w:ascii="仿宋_GB2312" w:eastAsia="仿宋_GB2312"/>
          <w:sz w:val="32"/>
          <w:szCs w:val="32"/>
          <w:lang w:val="en-US" w:eastAsia="zh-CN"/>
        </w:rPr>
        <w:t>3</w:t>
      </w:r>
      <w:r>
        <w:rPr>
          <w:rFonts w:hint="eastAsia" w:ascii="仿宋_GB2312" w:eastAsia="仿宋_GB2312"/>
          <w:sz w:val="32"/>
          <w:szCs w:val="32"/>
        </w:rPr>
        <w:t>个子栏目，实现主要业务工作全覆盖。</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（三）宣传方面</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1.加强人社政策解读。</w:t>
      </w:r>
      <w:r>
        <w:rPr>
          <w:rFonts w:hint="eastAsia" w:ascii="仿宋_GB2312" w:eastAsia="仿宋_GB2312"/>
          <w:sz w:val="32"/>
          <w:szCs w:val="32"/>
        </w:rPr>
        <w:t>以加强人社新闻宣传工作为抓手，积极做好政策解读工作。</w:t>
      </w:r>
      <w:r>
        <w:rPr>
          <w:rFonts w:hint="eastAsia" w:ascii="仿宋_GB2312" w:eastAsia="仿宋_GB2312"/>
          <w:sz w:val="32"/>
          <w:szCs w:val="32"/>
          <w:lang w:eastAsia="zh-CN"/>
        </w:rPr>
        <w:t>坚持新旧传媒相结合。注重在</w:t>
      </w:r>
      <w:r>
        <w:rPr>
          <w:rFonts w:hint="eastAsia" w:ascii="仿宋_GB2312" w:eastAsia="仿宋_GB2312"/>
          <w:sz w:val="32"/>
          <w:szCs w:val="32"/>
        </w:rPr>
        <w:t>《看看看》、《宁波日报》等</w:t>
      </w:r>
      <w:r>
        <w:rPr>
          <w:rFonts w:hint="eastAsia" w:ascii="仿宋_GB2312" w:eastAsia="仿宋_GB2312"/>
          <w:sz w:val="32"/>
          <w:szCs w:val="32"/>
          <w:lang w:eastAsia="zh-CN"/>
        </w:rPr>
        <w:t>传统媒体下</w:t>
      </w:r>
      <w:r>
        <w:rPr>
          <w:rFonts w:hint="eastAsia" w:ascii="仿宋_GB2312" w:eastAsia="仿宋_GB2312"/>
          <w:sz w:val="32"/>
          <w:szCs w:val="32"/>
        </w:rPr>
        <w:t>开设人社专栏，及时</w:t>
      </w:r>
      <w:r>
        <w:rPr>
          <w:rFonts w:hint="eastAsia" w:ascii="仿宋_GB2312" w:eastAsia="仿宋_GB2312"/>
          <w:sz w:val="32"/>
          <w:szCs w:val="32"/>
          <w:lang w:eastAsia="zh-CN"/>
        </w:rPr>
        <w:t>公示</w:t>
      </w:r>
      <w:r>
        <w:rPr>
          <w:rFonts w:hint="eastAsia" w:ascii="仿宋_GB2312" w:eastAsia="仿宋_GB2312"/>
          <w:sz w:val="32"/>
          <w:szCs w:val="32"/>
        </w:rPr>
        <w:t>公告</w:t>
      </w:r>
      <w:r>
        <w:rPr>
          <w:rFonts w:hint="eastAsia" w:ascii="仿宋_GB2312" w:eastAsia="仿宋_GB2312"/>
          <w:sz w:val="32"/>
          <w:szCs w:val="32"/>
          <w:lang w:eastAsia="zh-CN"/>
        </w:rPr>
        <w:t>人社</w:t>
      </w:r>
      <w:r>
        <w:rPr>
          <w:rFonts w:hint="eastAsia" w:ascii="仿宋_GB2312" w:eastAsia="仿宋_GB2312"/>
          <w:sz w:val="32"/>
          <w:szCs w:val="32"/>
        </w:rPr>
        <w:t>政策、民生事项。</w:t>
      </w:r>
      <w:r>
        <w:rPr>
          <w:rFonts w:hint="eastAsia" w:ascii="仿宋_GB2312" w:eastAsia="仿宋_GB2312"/>
          <w:sz w:val="32"/>
          <w:szCs w:val="32"/>
          <w:lang w:eastAsia="zh-CN"/>
        </w:rPr>
        <w:t>加大专题</w:t>
      </w:r>
      <w:r>
        <w:rPr>
          <w:rFonts w:hint="eastAsia" w:ascii="仿宋_GB2312" w:eastAsia="仿宋_GB2312"/>
          <w:sz w:val="32"/>
          <w:szCs w:val="32"/>
        </w:rPr>
        <w:t>宣传片、微信公众号、人社移动客户端</w:t>
      </w:r>
      <w:r>
        <w:rPr>
          <w:rFonts w:hint="eastAsia" w:ascii="仿宋_GB2312" w:eastAsia="仿宋_GB2312"/>
          <w:sz w:val="32"/>
          <w:szCs w:val="32"/>
          <w:lang w:eastAsia="zh-CN"/>
        </w:rPr>
        <w:t>、微博</w:t>
      </w:r>
      <w:r>
        <w:rPr>
          <w:rFonts w:hint="eastAsia" w:ascii="仿宋_GB2312" w:eastAsia="仿宋_GB2312"/>
          <w:sz w:val="32"/>
          <w:szCs w:val="32"/>
        </w:rPr>
        <w:t>等新媒体</w:t>
      </w:r>
      <w:r>
        <w:rPr>
          <w:rFonts w:hint="eastAsia" w:ascii="仿宋_GB2312" w:eastAsia="仿宋_GB2312"/>
          <w:sz w:val="32"/>
          <w:szCs w:val="32"/>
          <w:lang w:eastAsia="zh-CN"/>
        </w:rPr>
        <w:t>的应用推广</w:t>
      </w:r>
      <w:r>
        <w:rPr>
          <w:rFonts w:hint="eastAsia" w:ascii="仿宋_GB2312" w:eastAsia="仿宋_GB2312"/>
          <w:sz w:val="32"/>
          <w:szCs w:val="32"/>
        </w:rPr>
        <w:t>，与时俱进开展人社政策宣传工作</w:t>
      </w:r>
      <w:r>
        <w:rPr>
          <w:rFonts w:hint="eastAsia" w:ascii="仿宋_GB2312" w:eastAsia="仿宋_GB2312"/>
          <w:sz w:val="32"/>
          <w:szCs w:val="32"/>
          <w:lang w:eastAsia="zh-CN"/>
        </w:rPr>
        <w:t>。坚持图文解读相结合。创新图表化，单一的文字政策下，我局通过文字分析，将政策图表化，使得群众乐于主动了解政策，政策看的多、看的懂。</w:t>
      </w:r>
      <w:r>
        <w:rPr>
          <w:rFonts w:hint="eastAsia" w:ascii="仿宋_GB2312" w:eastAsia="仿宋_GB2312"/>
          <w:sz w:val="32"/>
          <w:szCs w:val="32"/>
          <w:lang w:val="en-US" w:eastAsia="zh-CN"/>
        </w:rPr>
        <w:t>同时我局更是</w:t>
      </w:r>
      <w:r>
        <w:rPr>
          <w:rFonts w:hint="eastAsia" w:ascii="仿宋_GB2312" w:eastAsia="仿宋_GB2312"/>
          <w:sz w:val="32"/>
          <w:szCs w:val="32"/>
        </w:rPr>
        <w:t>持续加大</w:t>
      </w:r>
      <w:r>
        <w:rPr>
          <w:rFonts w:hint="eastAsia" w:ascii="仿宋_GB2312" w:eastAsia="仿宋_GB2312"/>
          <w:sz w:val="32"/>
          <w:szCs w:val="32"/>
          <w:lang w:eastAsia="zh-CN"/>
        </w:rPr>
        <w:t>对人社政策的</w:t>
      </w:r>
      <w:r>
        <w:rPr>
          <w:rFonts w:hint="eastAsia" w:ascii="仿宋_GB2312" w:eastAsia="仿宋_GB2312"/>
          <w:sz w:val="32"/>
          <w:szCs w:val="32"/>
        </w:rPr>
        <w:t>宣传覆盖面，在地铁车厢、公交车电视、户外广告牌等</w:t>
      </w:r>
      <w:r>
        <w:rPr>
          <w:rFonts w:hint="eastAsia" w:ascii="仿宋_GB2312" w:eastAsia="仿宋_GB2312"/>
          <w:sz w:val="32"/>
          <w:szCs w:val="32"/>
          <w:lang w:eastAsia="zh-CN"/>
        </w:rPr>
        <w:t>地宣传人社政策</w:t>
      </w:r>
      <w:r>
        <w:rPr>
          <w:rFonts w:hint="eastAsia" w:ascii="仿宋_GB2312" w:eastAsia="仿宋_GB2312"/>
          <w:sz w:val="32"/>
          <w:szCs w:val="32"/>
        </w:rPr>
        <w:t>，</w:t>
      </w:r>
      <w:r>
        <w:rPr>
          <w:rFonts w:ascii="仿宋_GB2312" w:eastAsia="仿宋_GB2312"/>
          <w:sz w:val="32"/>
          <w:szCs w:val="32"/>
        </w:rPr>
        <w:t>切实</w:t>
      </w:r>
      <w:r>
        <w:rPr>
          <w:rFonts w:hint="eastAsia" w:ascii="仿宋_GB2312" w:eastAsia="仿宋_GB2312"/>
          <w:sz w:val="32"/>
          <w:szCs w:val="32"/>
        </w:rPr>
        <w:t>有效满足</w:t>
      </w:r>
      <w:r>
        <w:rPr>
          <w:rFonts w:hint="eastAsia" w:ascii="仿宋_GB2312" w:eastAsia="仿宋_GB2312"/>
          <w:sz w:val="32"/>
          <w:szCs w:val="32"/>
          <w:lang w:eastAsia="zh-CN"/>
        </w:rPr>
        <w:t>群众</w:t>
      </w:r>
      <w:r>
        <w:rPr>
          <w:rFonts w:hint="eastAsia" w:ascii="仿宋_GB2312" w:eastAsia="仿宋_GB2312"/>
          <w:sz w:val="32"/>
          <w:szCs w:val="32"/>
        </w:rPr>
        <w:t>需求，</w:t>
      </w:r>
      <w:r>
        <w:rPr>
          <w:rFonts w:ascii="仿宋_GB2312" w:eastAsia="仿宋_GB2312"/>
          <w:sz w:val="32"/>
          <w:szCs w:val="32"/>
        </w:rPr>
        <w:t>提高</w:t>
      </w:r>
      <w:r>
        <w:rPr>
          <w:rFonts w:hint="eastAsia" w:ascii="仿宋_GB2312" w:eastAsia="仿宋_GB2312"/>
          <w:sz w:val="32"/>
          <w:szCs w:val="32"/>
        </w:rPr>
        <w:t>人社政策</w:t>
      </w:r>
      <w:r>
        <w:rPr>
          <w:rFonts w:ascii="仿宋_GB2312" w:eastAsia="仿宋_GB2312"/>
          <w:sz w:val="32"/>
          <w:szCs w:val="32"/>
        </w:rPr>
        <w:t>传播力、影响力和公信力。</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2.及时回应舆情热点。</w:t>
      </w:r>
      <w:r>
        <w:rPr>
          <w:rFonts w:hint="eastAsia" w:ascii="仿宋_GB2312" w:eastAsia="仿宋_GB2312"/>
          <w:sz w:val="32"/>
          <w:szCs w:val="32"/>
        </w:rPr>
        <w:t>明确信息公开重点，认真落实重要信息预公开和新闻发布（通气）会制度，凡是与群众切身利益息息相关的民生热点、社会关注度高的重要信息，均通过人社官方平台向社会进行公开公示。特别是对广泛关注的社会保障、就业形势、企业用工等工作，我局还特别通过</w:t>
      </w:r>
      <w:r>
        <w:rPr>
          <w:rFonts w:hint="eastAsia" w:ascii="仿宋_GB2312" w:eastAsia="仿宋_GB2312"/>
          <w:sz w:val="32"/>
          <w:szCs w:val="32"/>
          <w:lang w:eastAsia="zh-CN"/>
        </w:rPr>
        <w:t>主题日活动</w:t>
      </w:r>
      <w:r>
        <w:rPr>
          <w:rFonts w:hint="eastAsia" w:ascii="仿宋_GB2312" w:eastAsia="仿宋_GB2312"/>
          <w:sz w:val="32"/>
          <w:szCs w:val="32"/>
        </w:rPr>
        <w:t>（</w:t>
      </w:r>
      <w:r>
        <w:rPr>
          <w:rFonts w:ascii="仿宋_GB2312" w:eastAsia="仿宋_GB2312"/>
          <w:sz w:val="32"/>
          <w:szCs w:val="32"/>
        </w:rPr>
        <w:t>3月</w:t>
      </w:r>
      <w:r>
        <w:rPr>
          <w:rFonts w:hint="eastAsia" w:ascii="仿宋_GB2312" w:eastAsia="仿宋_GB2312"/>
          <w:sz w:val="32"/>
          <w:szCs w:val="32"/>
          <w:lang w:val="en-US" w:eastAsia="zh-CN"/>
        </w:rPr>
        <w:t>30</w:t>
      </w:r>
      <w:r>
        <w:rPr>
          <w:rFonts w:ascii="仿宋_GB2312" w:eastAsia="仿宋_GB2312"/>
          <w:sz w:val="32"/>
          <w:szCs w:val="32"/>
        </w:rPr>
        <w:t>日，围绕“12333全国统一咨询日”</w:t>
      </w:r>
      <w:r>
        <w:rPr>
          <w:rFonts w:hint="eastAsia" w:ascii="仿宋_GB2312" w:eastAsia="仿宋_GB2312"/>
          <w:sz w:val="32"/>
          <w:szCs w:val="32"/>
          <w:lang w:eastAsia="zh-CN"/>
        </w:rPr>
        <w:t>举行</w:t>
      </w:r>
      <w:r>
        <w:rPr>
          <w:rFonts w:ascii="仿宋_GB2312" w:eastAsia="仿宋_GB2312"/>
          <w:sz w:val="32"/>
          <w:szCs w:val="32"/>
        </w:rPr>
        <w:t>主题</w:t>
      </w:r>
      <w:r>
        <w:rPr>
          <w:rFonts w:hint="eastAsia" w:ascii="仿宋_GB2312" w:eastAsia="仿宋_GB2312"/>
          <w:sz w:val="32"/>
          <w:szCs w:val="32"/>
          <w:lang w:eastAsia="zh-CN"/>
        </w:rPr>
        <w:t>日活动</w:t>
      </w:r>
      <w:r>
        <w:rPr>
          <w:rFonts w:ascii="仿宋_GB2312" w:eastAsia="仿宋_GB2312"/>
          <w:sz w:val="32"/>
          <w:szCs w:val="32"/>
        </w:rPr>
        <w:t>）、新闻发布会（</w:t>
      </w:r>
      <w:r>
        <w:rPr>
          <w:rFonts w:hint="eastAsia" w:ascii="仿宋_GB2312" w:eastAsia="仿宋_GB2312"/>
          <w:sz w:val="32"/>
          <w:szCs w:val="32"/>
          <w:lang w:val="en-US" w:eastAsia="zh-CN"/>
        </w:rPr>
        <w:t>7</w:t>
      </w:r>
      <w:r>
        <w:rPr>
          <w:rFonts w:ascii="仿宋_GB2312" w:eastAsia="仿宋_GB2312"/>
          <w:sz w:val="32"/>
          <w:szCs w:val="32"/>
        </w:rPr>
        <w:t>月</w:t>
      </w:r>
      <w:r>
        <w:rPr>
          <w:rFonts w:hint="eastAsia" w:ascii="仿宋_GB2312" w:eastAsia="仿宋_GB2312"/>
          <w:sz w:val="32"/>
          <w:szCs w:val="32"/>
          <w:lang w:val="en-US" w:eastAsia="zh-CN"/>
        </w:rPr>
        <w:t>18</w:t>
      </w:r>
      <w:r>
        <w:rPr>
          <w:rFonts w:ascii="仿宋_GB2312" w:eastAsia="仿宋_GB2312"/>
          <w:sz w:val="32"/>
          <w:szCs w:val="32"/>
        </w:rPr>
        <w:t>日，围绕</w:t>
      </w:r>
      <w:r>
        <w:rPr>
          <w:rFonts w:hint="eastAsia" w:ascii="仿宋_GB2312" w:eastAsia="仿宋_GB2312"/>
          <w:sz w:val="32"/>
          <w:szCs w:val="32"/>
          <w:lang w:eastAsia="zh-CN"/>
        </w:rPr>
        <w:t>职称改革意见</w:t>
      </w:r>
      <w:r>
        <w:rPr>
          <w:rFonts w:ascii="仿宋_GB2312" w:eastAsia="仿宋_GB2312"/>
          <w:sz w:val="32"/>
          <w:szCs w:val="32"/>
        </w:rPr>
        <w:t>举办发布会）和新闻通气会（</w:t>
      </w:r>
      <w:r>
        <w:rPr>
          <w:rFonts w:hint="eastAsia" w:ascii="仿宋_GB2312" w:eastAsia="仿宋_GB2312"/>
          <w:sz w:val="32"/>
          <w:szCs w:val="32"/>
          <w:lang w:val="en-US" w:eastAsia="zh-CN"/>
        </w:rPr>
        <w:t>12</w:t>
      </w:r>
      <w:r>
        <w:rPr>
          <w:rFonts w:ascii="仿宋_GB2312" w:eastAsia="仿宋_GB2312"/>
          <w:sz w:val="32"/>
          <w:szCs w:val="32"/>
        </w:rPr>
        <w:t>月</w:t>
      </w:r>
      <w:r>
        <w:rPr>
          <w:rFonts w:hint="eastAsia" w:ascii="仿宋_GB2312" w:eastAsia="仿宋_GB2312"/>
          <w:sz w:val="32"/>
          <w:szCs w:val="32"/>
          <w:lang w:val="en-US" w:eastAsia="zh-CN"/>
        </w:rPr>
        <w:t>23</w:t>
      </w:r>
      <w:r>
        <w:rPr>
          <w:rFonts w:ascii="仿宋_GB2312" w:eastAsia="仿宋_GB2312"/>
          <w:sz w:val="32"/>
          <w:szCs w:val="32"/>
        </w:rPr>
        <w:t>日，围绕</w:t>
      </w:r>
      <w:r>
        <w:rPr>
          <w:rFonts w:hint="eastAsia" w:ascii="仿宋_GB2312" w:eastAsia="仿宋_GB2312"/>
          <w:sz w:val="32"/>
          <w:szCs w:val="32"/>
          <w:lang w:eastAsia="zh-CN"/>
        </w:rPr>
        <w:t>《宁波市职业技能提升行动实施方案（</w:t>
      </w:r>
      <w:r>
        <w:rPr>
          <w:rFonts w:hint="eastAsia" w:ascii="仿宋_GB2312" w:eastAsia="仿宋_GB2312"/>
          <w:sz w:val="32"/>
          <w:szCs w:val="32"/>
          <w:lang w:val="en-US" w:eastAsia="zh-CN"/>
        </w:rPr>
        <w:t>2019—2021</w:t>
      </w:r>
      <w:r>
        <w:rPr>
          <w:rFonts w:hint="eastAsia" w:ascii="仿宋_GB2312" w:eastAsia="仿宋_GB2312"/>
          <w:sz w:val="32"/>
          <w:szCs w:val="32"/>
          <w:lang w:eastAsia="zh-CN"/>
        </w:rPr>
        <w:t>）》出台</w:t>
      </w:r>
      <w:r>
        <w:rPr>
          <w:rFonts w:ascii="仿宋_GB2312" w:eastAsia="仿宋_GB2312"/>
          <w:sz w:val="32"/>
          <w:szCs w:val="32"/>
        </w:rPr>
        <w:t>举办通气会）等形式，主动向社会进行解读宣传，提高了信息公开的针对性及时性有效性。</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（四）服务公开方面</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1.深</w:t>
      </w:r>
      <w:r>
        <w:rPr>
          <w:rFonts w:hint="eastAsia" w:ascii="楷体_GB2312" w:eastAsia="楷体_GB2312"/>
          <w:b/>
          <w:sz w:val="32"/>
          <w:szCs w:val="32"/>
          <w:lang w:eastAsia="zh-CN"/>
        </w:rPr>
        <w:t>化</w:t>
      </w:r>
      <w:r>
        <w:rPr>
          <w:rFonts w:hint="eastAsia" w:ascii="楷体_GB2312" w:eastAsia="楷体_GB2312"/>
          <w:b/>
          <w:sz w:val="32"/>
          <w:szCs w:val="32"/>
        </w:rPr>
        <w:t>互联网政务服务。</w:t>
      </w:r>
      <w:r>
        <w:rPr>
          <w:rFonts w:hint="eastAsia" w:ascii="仿宋_GB2312" w:eastAsia="仿宋_GB2312"/>
          <w:sz w:val="32"/>
          <w:szCs w:val="32"/>
        </w:rPr>
        <w:t>通过信息一体化建设，将“互联网</w:t>
      </w:r>
      <w:r>
        <w:rPr>
          <w:rFonts w:ascii="仿宋_GB2312" w:eastAsia="仿宋_GB2312"/>
          <w:sz w:val="32"/>
          <w:szCs w:val="32"/>
        </w:rPr>
        <w:t>+人社”作为逐步实现人社应用和服务的一体化，</w:t>
      </w:r>
      <w:r>
        <w:rPr>
          <w:rFonts w:hint="eastAsia" w:ascii="仿宋_GB2312" w:eastAsia="仿宋_GB2312"/>
          <w:sz w:val="32"/>
          <w:szCs w:val="32"/>
        </w:rPr>
        <w:t>“网上办”架起服务群众直通车，</w:t>
      </w:r>
      <w:r>
        <w:rPr>
          <w:rFonts w:ascii="仿宋_GB2312" w:eastAsia="仿宋_GB2312"/>
          <w:sz w:val="32"/>
          <w:szCs w:val="32"/>
        </w:rPr>
        <w:t>让群众足不出户就能享受便捷服务。打造互联网+一卡通公共服务平台。通过建设</w:t>
      </w:r>
      <w:r>
        <w:rPr>
          <w:rFonts w:hint="eastAsia" w:ascii="仿宋_GB2312" w:eastAsia="仿宋_GB2312"/>
          <w:sz w:val="32"/>
          <w:szCs w:val="32"/>
        </w:rPr>
        <w:t>“</w:t>
      </w:r>
      <w:r>
        <w:rPr>
          <w:rFonts w:ascii="仿宋_GB2312" w:eastAsia="仿宋_GB2312"/>
          <w:sz w:val="32"/>
          <w:szCs w:val="32"/>
        </w:rPr>
        <w:t>宁波人社</w:t>
      </w:r>
      <w:r>
        <w:rPr>
          <w:rFonts w:hint="eastAsia" w:ascii="仿宋_GB2312" w:eastAsia="仿宋_GB2312"/>
          <w:sz w:val="32"/>
          <w:szCs w:val="32"/>
        </w:rPr>
        <w:t>”</w:t>
      </w:r>
      <w:r>
        <w:rPr>
          <w:rFonts w:ascii="仿宋_GB2312" w:eastAsia="仿宋_GB2312"/>
          <w:sz w:val="32"/>
          <w:szCs w:val="32"/>
        </w:rPr>
        <w:t>手机客户端、微信公众号</w:t>
      </w:r>
      <w:r>
        <w:rPr>
          <w:rFonts w:hint="eastAsia" w:ascii="仿宋_GB2312" w:eastAsia="仿宋_GB2312"/>
          <w:sz w:val="32"/>
          <w:szCs w:val="32"/>
          <w:lang w:eastAsia="zh-CN"/>
        </w:rPr>
        <w:t>、微博、智慧人社公众号</w:t>
      </w:r>
      <w:r>
        <w:rPr>
          <w:rFonts w:ascii="仿宋_GB2312" w:eastAsia="仿宋_GB2312"/>
          <w:sz w:val="32"/>
          <w:szCs w:val="32"/>
        </w:rPr>
        <w:t>等公共服务渠道，对接全市人社部门各个业务系统。通过对接阳光政务网上办事大厅、12333智慧咨询等系统，在宁波人社手机客户端上提供各类服务超过150项。</w:t>
      </w:r>
      <w:r>
        <w:rPr>
          <w:rFonts w:hint="eastAsia" w:ascii="仿宋_GB2312" w:eastAsia="仿宋_GB2312"/>
          <w:sz w:val="32"/>
          <w:szCs w:val="32"/>
        </w:rPr>
        <w:t>推动数据共享打破信息孤岛。强化人社内部数据共享利用。</w:t>
      </w:r>
      <w:r>
        <w:rPr>
          <w:rFonts w:ascii="仿宋_GB2312" w:eastAsia="仿宋_GB2312"/>
          <w:sz w:val="32"/>
          <w:szCs w:val="32"/>
        </w:rPr>
        <w:t>各级人社业务系统通过与基础信息库、参保登记库的实时联</w:t>
      </w:r>
      <w:r>
        <w:rPr>
          <w:rFonts w:hint="eastAsia" w:ascii="仿宋_GB2312" w:eastAsia="仿宋_GB2312"/>
          <w:sz w:val="32"/>
          <w:szCs w:val="32"/>
        </w:rPr>
        <w:t>动和数据对接，实现了人社内部基础数据的共享复用和业务协同办理，初步形成了人社内部的共享数据仓。积极参与市级政府数据资源归集共享。</w:t>
      </w:r>
      <w:r>
        <w:rPr>
          <w:rFonts w:ascii="仿宋_GB2312" w:eastAsia="仿宋_GB2312"/>
          <w:sz w:val="32"/>
          <w:szCs w:val="32"/>
        </w:rPr>
        <w:t>实现与公安、信用办、经信委等部门的数据交换共享，有力推动了群众和企业办事从</w:t>
      </w:r>
      <w:r>
        <w:rPr>
          <w:rFonts w:hint="eastAsia" w:ascii="仿宋_GB2312" w:eastAsia="仿宋_GB2312"/>
          <w:sz w:val="32"/>
          <w:szCs w:val="32"/>
        </w:rPr>
        <w:t>“</w:t>
      </w:r>
      <w:r>
        <w:rPr>
          <w:rFonts w:ascii="仿宋_GB2312" w:eastAsia="仿宋_GB2312"/>
          <w:sz w:val="32"/>
          <w:szCs w:val="32"/>
        </w:rPr>
        <w:t>部门办</w:t>
      </w:r>
      <w:r>
        <w:rPr>
          <w:rFonts w:hint="eastAsia" w:ascii="仿宋_GB2312" w:eastAsia="仿宋_GB2312"/>
          <w:sz w:val="32"/>
          <w:szCs w:val="32"/>
        </w:rPr>
        <w:t>”</w:t>
      </w:r>
      <w:r>
        <w:rPr>
          <w:rFonts w:ascii="仿宋_GB2312" w:eastAsia="仿宋_GB2312"/>
          <w:sz w:val="32"/>
          <w:szCs w:val="32"/>
        </w:rPr>
        <w:t>到</w:t>
      </w:r>
      <w:r>
        <w:rPr>
          <w:rFonts w:hint="eastAsia" w:ascii="仿宋_GB2312" w:eastAsia="仿宋_GB2312"/>
          <w:sz w:val="32"/>
          <w:szCs w:val="32"/>
        </w:rPr>
        <w:t>“</w:t>
      </w:r>
      <w:r>
        <w:rPr>
          <w:rFonts w:ascii="仿宋_GB2312" w:eastAsia="仿宋_GB2312"/>
          <w:sz w:val="32"/>
          <w:szCs w:val="32"/>
        </w:rPr>
        <w:t>政府办</w:t>
      </w:r>
      <w:r>
        <w:rPr>
          <w:rFonts w:hint="eastAsia" w:ascii="仿宋_GB2312" w:eastAsia="仿宋_GB2312"/>
          <w:sz w:val="32"/>
          <w:szCs w:val="32"/>
        </w:rPr>
        <w:t>”</w:t>
      </w:r>
      <w:r>
        <w:rPr>
          <w:rFonts w:ascii="仿宋_GB2312" w:eastAsia="仿宋_GB2312"/>
          <w:sz w:val="32"/>
          <w:szCs w:val="32"/>
        </w:rPr>
        <w:t>、从</w:t>
      </w:r>
      <w:r>
        <w:rPr>
          <w:rFonts w:hint="eastAsia" w:ascii="仿宋_GB2312" w:eastAsia="仿宋_GB2312"/>
          <w:sz w:val="32"/>
          <w:szCs w:val="32"/>
        </w:rPr>
        <w:t>“</w:t>
      </w:r>
      <w:r>
        <w:rPr>
          <w:rFonts w:ascii="仿宋_GB2312" w:eastAsia="仿宋_GB2312"/>
          <w:sz w:val="32"/>
          <w:szCs w:val="32"/>
        </w:rPr>
        <w:t>群众跑</w:t>
      </w:r>
      <w:r>
        <w:rPr>
          <w:rFonts w:hint="eastAsia" w:ascii="仿宋_GB2312" w:eastAsia="仿宋_GB2312"/>
          <w:sz w:val="32"/>
          <w:szCs w:val="32"/>
        </w:rPr>
        <w:t>”</w:t>
      </w:r>
      <w:r>
        <w:rPr>
          <w:rFonts w:ascii="仿宋_GB2312" w:eastAsia="仿宋_GB2312"/>
          <w:sz w:val="32"/>
          <w:szCs w:val="32"/>
        </w:rPr>
        <w:t>到</w:t>
      </w:r>
      <w:r>
        <w:rPr>
          <w:rFonts w:hint="eastAsia" w:ascii="仿宋_GB2312" w:eastAsia="仿宋_GB2312"/>
          <w:sz w:val="32"/>
          <w:szCs w:val="32"/>
        </w:rPr>
        <w:t>“</w:t>
      </w:r>
      <w:r>
        <w:rPr>
          <w:rFonts w:ascii="仿宋_GB2312" w:eastAsia="仿宋_GB2312"/>
          <w:sz w:val="32"/>
          <w:szCs w:val="32"/>
        </w:rPr>
        <w:t>数据跑</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lang w:eastAsia="zh-CN"/>
        </w:rPr>
        <w:t>依托</w:t>
      </w:r>
      <w:r>
        <w:rPr>
          <w:rFonts w:ascii="仿宋_GB2312" w:eastAsia="仿宋_GB2312"/>
          <w:sz w:val="32"/>
          <w:szCs w:val="32"/>
        </w:rPr>
        <w:t>省公共资源数据库</w:t>
      </w:r>
      <w:r>
        <w:rPr>
          <w:rFonts w:hint="eastAsia" w:ascii="仿宋_GB2312" w:eastAsia="仿宋_GB2312"/>
          <w:sz w:val="32"/>
          <w:szCs w:val="32"/>
          <w:lang w:eastAsia="zh-CN"/>
        </w:rPr>
        <w:t>，实现人社服务家里办</w:t>
      </w:r>
      <w:r>
        <w:rPr>
          <w:rFonts w:hint="eastAsia" w:ascii="仿宋_GB2312" w:eastAsia="仿宋_GB2312"/>
          <w:sz w:val="32"/>
          <w:szCs w:val="32"/>
        </w:rPr>
        <w:t>。</w:t>
      </w:r>
    </w:p>
    <w:p>
      <w:pPr>
        <w:spacing w:line="560" w:lineRule="exact"/>
        <w:ind w:firstLine="643" w:firstLineChars="200"/>
        <w:rPr>
          <w:rFonts w:hint="eastAsia" w:ascii="仿宋_GB2312" w:eastAsia="仿宋_GB2312"/>
          <w:sz w:val="32"/>
          <w:szCs w:val="32"/>
          <w:lang w:eastAsia="zh-CN"/>
        </w:rPr>
      </w:pPr>
      <w:r>
        <w:rPr>
          <w:rFonts w:hint="eastAsia" w:ascii="楷体_GB2312" w:eastAsia="楷体_GB2312"/>
          <w:b/>
          <w:sz w:val="32"/>
          <w:szCs w:val="32"/>
        </w:rPr>
        <w:t>2.提升政务大厅服务能力。</w:t>
      </w:r>
      <w:r>
        <w:rPr>
          <w:rFonts w:hint="eastAsia" w:ascii="仿宋_GB2312" w:eastAsia="仿宋_GB2312"/>
          <w:sz w:val="32"/>
          <w:szCs w:val="32"/>
        </w:rPr>
        <w:t>积极做好与市政务服务统一受理平台的对接工作，完成城乡居民基本医疗保险参保等事项的全市“一窗受理、全城通办”。</w:t>
      </w:r>
      <w:r>
        <w:rPr>
          <w:rFonts w:ascii="仿宋_GB2312" w:eastAsia="仿宋_GB2312"/>
          <w:sz w:val="32"/>
          <w:szCs w:val="32"/>
        </w:rPr>
        <w:t>进一步完善一体化数据中心。实现全市人社数据的实时归集；推进电子档案系统的应用，凡是纳入</w:t>
      </w:r>
      <w:r>
        <w:rPr>
          <w:rFonts w:hint="eastAsia" w:ascii="仿宋_GB2312" w:eastAsia="仿宋_GB2312"/>
          <w:sz w:val="32"/>
          <w:szCs w:val="32"/>
        </w:rPr>
        <w:t>“</w:t>
      </w:r>
      <w:r>
        <w:rPr>
          <w:rFonts w:ascii="仿宋_GB2312" w:eastAsia="仿宋_GB2312"/>
          <w:sz w:val="32"/>
          <w:szCs w:val="32"/>
        </w:rPr>
        <w:t>最多跑一次</w:t>
      </w:r>
      <w:r>
        <w:rPr>
          <w:rFonts w:hint="eastAsia" w:ascii="仿宋_GB2312" w:eastAsia="仿宋_GB2312"/>
          <w:sz w:val="32"/>
          <w:szCs w:val="32"/>
        </w:rPr>
        <w:t>”</w:t>
      </w:r>
      <w:r>
        <w:rPr>
          <w:rFonts w:ascii="仿宋_GB2312" w:eastAsia="仿宋_GB2312"/>
          <w:sz w:val="32"/>
          <w:szCs w:val="32"/>
        </w:rPr>
        <w:t>范围的事项，充分利用电子档案系统，避免重复提交办事材料、证明和证件等</w:t>
      </w:r>
      <w:r>
        <w:rPr>
          <w:rFonts w:hint="eastAsia" w:ascii="仿宋_GB2312" w:eastAsia="仿宋_GB2312"/>
          <w:sz w:val="32"/>
          <w:szCs w:val="32"/>
          <w:lang w:eastAsia="zh-CN"/>
        </w:rPr>
        <w:t>真正做到人社服务“</w:t>
      </w:r>
      <w:r>
        <w:rPr>
          <w:rFonts w:ascii="仿宋_GB2312" w:eastAsia="仿宋_GB2312"/>
          <w:sz w:val="32"/>
          <w:szCs w:val="32"/>
        </w:rPr>
        <w:t>最多跑一次</w:t>
      </w:r>
      <w:r>
        <w:rPr>
          <w:rFonts w:hint="eastAsia" w:ascii="仿宋_GB2312" w:eastAsia="仿宋_GB2312"/>
          <w:sz w:val="32"/>
          <w:szCs w:val="32"/>
          <w:lang w:eastAsia="zh-CN"/>
        </w:rPr>
        <w:t>”。</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3.优化审批办事服务。</w:t>
      </w:r>
      <w:r>
        <w:rPr>
          <w:rFonts w:hint="eastAsia" w:ascii="仿宋_GB2312" w:eastAsia="仿宋_GB2312"/>
          <w:sz w:val="32"/>
          <w:szCs w:val="32"/>
          <w:lang w:eastAsia="zh-CN"/>
        </w:rPr>
        <w:t>融合</w:t>
      </w:r>
      <w:r>
        <w:rPr>
          <w:rFonts w:hint="eastAsia" w:ascii="仿宋_GB2312" w:eastAsia="仿宋_GB2312"/>
          <w:sz w:val="32"/>
          <w:szCs w:val="32"/>
        </w:rPr>
        <w:t>省市“最多跑一次”改革，重点抓好“服务公开”工作，全面梳理公开1</w:t>
      </w:r>
      <w:r>
        <w:rPr>
          <w:rFonts w:ascii="仿宋_GB2312" w:eastAsia="仿宋_GB2312"/>
          <w:sz w:val="32"/>
          <w:szCs w:val="32"/>
        </w:rPr>
        <w:t>3</w:t>
      </w:r>
      <w:r>
        <w:rPr>
          <w:rFonts w:hint="eastAsia" w:ascii="仿宋_GB2312" w:eastAsia="仿宋_GB2312"/>
          <w:sz w:val="32"/>
          <w:szCs w:val="32"/>
          <w:lang w:val="en-US" w:eastAsia="zh-CN"/>
        </w:rPr>
        <w:t>0多</w:t>
      </w:r>
      <w:r>
        <w:rPr>
          <w:rFonts w:hint="eastAsia" w:ascii="仿宋_GB2312" w:eastAsia="仿宋_GB2312"/>
          <w:sz w:val="32"/>
          <w:szCs w:val="32"/>
        </w:rPr>
        <w:t>个服务事项，编制发布办事指南，简化优化办事流程，让群众不跑冤枉路，办事更明白、更便捷</w:t>
      </w:r>
      <w:r>
        <w:rPr>
          <w:rFonts w:hint="eastAsia" w:ascii="仿宋_GB2312" w:eastAsia="仿宋_GB2312"/>
          <w:sz w:val="32"/>
          <w:szCs w:val="32"/>
          <w:lang w:eastAsia="zh-CN"/>
        </w:rPr>
        <w:t>，</w:t>
      </w:r>
      <w:r>
        <w:rPr>
          <w:rFonts w:hint="eastAsia" w:ascii="仿宋_GB2312" w:eastAsia="仿宋_GB2312"/>
          <w:sz w:val="32"/>
          <w:szCs w:val="32"/>
        </w:rPr>
        <w:t>实现“全城通办”“统一办”。同时积极推进人社基层服务平台建设，</w:t>
      </w:r>
      <w:r>
        <w:rPr>
          <w:rFonts w:ascii="仿宋_GB2312" w:eastAsia="仿宋_GB2312"/>
          <w:sz w:val="32"/>
          <w:szCs w:val="32"/>
        </w:rPr>
        <w:t>就近就地方便群众办事。</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（五）平台建设方面</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强化政府网站建设和“两微一端”应用。</w:t>
      </w:r>
      <w:r>
        <w:rPr>
          <w:rFonts w:hint="eastAsia" w:ascii="仿宋_GB2312" w:hAnsi="仿宋_GB2312" w:eastAsia="仿宋_GB2312" w:cs="仿宋_GB2312"/>
          <w:b w:val="0"/>
          <w:bCs/>
          <w:sz w:val="32"/>
          <w:szCs w:val="32"/>
          <w:lang w:eastAsia="zh-CN"/>
        </w:rPr>
        <w:t>结合人社系统机构改革，及时更新局门户网站信息，</w:t>
      </w:r>
      <w:r>
        <w:rPr>
          <w:rFonts w:hint="eastAsia" w:ascii="仿宋_GB2312" w:eastAsia="仿宋_GB2312"/>
          <w:sz w:val="32"/>
          <w:szCs w:val="32"/>
        </w:rPr>
        <w:t>完成局门户网站的升级改版工作，板块设置更合理，信息搜索更便捷，方便群众在线检索所需信息。</w:t>
      </w:r>
      <w:r>
        <w:rPr>
          <w:rFonts w:hint="eastAsia" w:ascii="仿宋_GB2312" w:eastAsia="仿宋_GB2312"/>
          <w:sz w:val="32"/>
          <w:szCs w:val="32"/>
          <w:lang w:eastAsia="zh-CN"/>
        </w:rPr>
        <w:t>明确各处室、单位政务公开原则，做到人社工作公正透明，</w:t>
      </w:r>
      <w:r>
        <w:rPr>
          <w:rFonts w:hint="eastAsia" w:ascii="仿宋_GB2312" w:eastAsia="仿宋_GB2312"/>
          <w:sz w:val="32"/>
          <w:szCs w:val="32"/>
        </w:rPr>
        <w:t>统一公布政务信息到局门户网站上，</w:t>
      </w:r>
      <w:r>
        <w:rPr>
          <w:rFonts w:hint="eastAsia" w:ascii="仿宋_GB2312" w:eastAsia="仿宋_GB2312"/>
          <w:sz w:val="32"/>
          <w:szCs w:val="32"/>
          <w:lang w:eastAsia="zh-CN"/>
        </w:rPr>
        <w:t>方便民众对人社政务了解的同时，也便于</w:t>
      </w:r>
      <w:r>
        <w:rPr>
          <w:rFonts w:hint="eastAsia" w:ascii="仿宋_GB2312" w:eastAsia="仿宋_GB2312"/>
          <w:sz w:val="32"/>
          <w:szCs w:val="32"/>
        </w:rPr>
        <w:t>加强</w:t>
      </w:r>
      <w:r>
        <w:rPr>
          <w:rFonts w:hint="eastAsia" w:ascii="仿宋_GB2312" w:eastAsia="仿宋_GB2312"/>
          <w:sz w:val="32"/>
          <w:szCs w:val="32"/>
          <w:lang w:eastAsia="zh-CN"/>
        </w:rPr>
        <w:t>各方</w:t>
      </w:r>
      <w:r>
        <w:rPr>
          <w:rFonts w:hint="eastAsia" w:ascii="仿宋_GB2312" w:eastAsia="仿宋_GB2312"/>
          <w:sz w:val="32"/>
          <w:szCs w:val="32"/>
        </w:rPr>
        <w:t>对信息公布</w:t>
      </w:r>
      <w:r>
        <w:rPr>
          <w:rFonts w:hint="eastAsia" w:ascii="仿宋_GB2312" w:eastAsia="仿宋_GB2312"/>
          <w:sz w:val="32"/>
          <w:szCs w:val="32"/>
          <w:lang w:eastAsia="zh-CN"/>
        </w:rPr>
        <w:t>情况</w:t>
      </w:r>
      <w:r>
        <w:rPr>
          <w:rFonts w:hint="eastAsia" w:ascii="仿宋_GB2312" w:eastAsia="仿宋_GB2312"/>
          <w:sz w:val="32"/>
          <w:szCs w:val="32"/>
        </w:rPr>
        <w:t>的监管审查，确保信息发布的准确性、及时性和权威性。充分发挥“宁波人社”微博、微信、移动客户端</w:t>
      </w:r>
      <w:r>
        <w:rPr>
          <w:rFonts w:hint="eastAsia" w:ascii="仿宋_GB2312" w:eastAsia="仿宋_GB2312"/>
          <w:sz w:val="32"/>
          <w:szCs w:val="32"/>
          <w:lang w:eastAsia="zh-CN"/>
        </w:rPr>
        <w:t>的推广、应用，发挥其</w:t>
      </w:r>
      <w:r>
        <w:rPr>
          <w:rFonts w:hint="eastAsia" w:ascii="仿宋_GB2312" w:eastAsia="仿宋_GB2312"/>
          <w:sz w:val="32"/>
          <w:szCs w:val="32"/>
        </w:rPr>
        <w:t>灵活便捷的优势，做好政务动态、政策解读工作，提供在线办事、互动咨询服务。</w:t>
      </w:r>
    </w:p>
    <w:tbl>
      <w:tblPr>
        <w:tblStyle w:val="6"/>
        <w:tblW w:w="9750" w:type="dxa"/>
        <w:tblCellSpacing w:w="0" w:type="dxa"/>
        <w:tblInd w:w="0" w:type="dxa"/>
        <w:shd w:val="clear" w:color="auto" w:fill="FFFFFF"/>
        <w:tblLayout w:type="fixed"/>
        <w:tblCellMar>
          <w:top w:w="0" w:type="dxa"/>
          <w:left w:w="0" w:type="dxa"/>
          <w:bottom w:w="0" w:type="dxa"/>
          <w:right w:w="0" w:type="dxa"/>
        </w:tblCellMar>
      </w:tblPr>
      <w:tblGrid>
        <w:gridCol w:w="9750"/>
      </w:tblGrid>
      <w:tr>
        <w:tblPrEx>
          <w:shd w:val="clear" w:color="auto" w:fill="FFFFFF"/>
          <w:tblLayout w:type="fixed"/>
          <w:tblCellMar>
            <w:top w:w="0" w:type="dxa"/>
            <w:left w:w="0" w:type="dxa"/>
            <w:bottom w:w="0" w:type="dxa"/>
            <w:right w:w="0" w:type="dxa"/>
          </w:tblCellMar>
        </w:tblPrEx>
        <w:trPr>
          <w:tblCellSpacing w:w="0" w:type="dxa"/>
        </w:trPr>
        <w:tc>
          <w:tcPr>
            <w:tcW w:w="975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right="0" w:firstLine="643" w:firstLineChars="200"/>
              <w:jc w:val="both"/>
              <w:rPr>
                <w:rFonts w:hint="eastAsia" w:ascii="黑体" w:hAnsi="黑体" w:eastAsia="黑体" w:cs="黑体"/>
                <w:sz w:val="32"/>
                <w:szCs w:val="32"/>
              </w:rPr>
            </w:pPr>
            <w:r>
              <w:rPr>
                <w:rFonts w:hint="eastAsia" w:ascii="黑体" w:hAnsi="黑体" w:eastAsia="黑体" w:cs="黑体"/>
                <w:b/>
                <w:i w:val="0"/>
                <w:caps w:val="0"/>
                <w:color w:val="333333"/>
                <w:spacing w:val="0"/>
                <w:sz w:val="32"/>
                <w:szCs w:val="32"/>
              </w:rPr>
              <w:t>二、主动公开政府信息情况</w:t>
            </w:r>
          </w:p>
          <w:tbl>
            <w:tblPr>
              <w:tblStyle w:val="6"/>
              <w:tblW w:w="8140" w:type="dxa"/>
              <w:tblInd w:w="0" w:type="dxa"/>
              <w:tblLayout w:type="fixed"/>
              <w:tblCellMar>
                <w:top w:w="0" w:type="dxa"/>
                <w:left w:w="0" w:type="dxa"/>
                <w:bottom w:w="0" w:type="dxa"/>
                <w:right w:w="0" w:type="dxa"/>
              </w:tblCellMar>
            </w:tblPr>
            <w:tblGrid>
              <w:gridCol w:w="3113"/>
              <w:gridCol w:w="1875"/>
              <w:gridCol w:w="6"/>
              <w:gridCol w:w="1265"/>
              <w:gridCol w:w="1881"/>
            </w:tblGrid>
            <w:tr>
              <w:tblPrEx>
                <w:tblLayout w:type="fixed"/>
                <w:tblCellMar>
                  <w:top w:w="0" w:type="dxa"/>
                  <w:left w:w="0" w:type="dxa"/>
                  <w:bottom w:w="0" w:type="dxa"/>
                  <w:right w:w="0" w:type="dxa"/>
                </w:tblCellMar>
              </w:tblPrEx>
              <w:trPr>
                <w:trHeight w:val="495" w:hRule="atLeast"/>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882"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公开数量</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Layout w:type="fixed"/>
                <w:tblCellMar>
                  <w:top w:w="0" w:type="dxa"/>
                  <w:left w:w="0" w:type="dxa"/>
                  <w:bottom w:w="0" w:type="dxa"/>
                  <w:right w:w="0" w:type="dxa"/>
                </w:tblCellMar>
              </w:tblPrEx>
              <w:trPr>
                <w:trHeight w:val="523"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lang w:val="en-US"/>
                    </w:rPr>
                  </w:pPr>
                  <w:r>
                    <w:rPr>
                      <w:rFonts w:hint="eastAsia" w:ascii="仿宋_GB2312" w:hAnsi="仿宋_GB2312" w:eastAsia="仿宋_GB2312" w:cs="仿宋_GB2312"/>
                      <w:color w:val="000000"/>
                      <w:kern w:val="0"/>
                      <w:sz w:val="24"/>
                      <w:szCs w:val="24"/>
                      <w:lang w:val="en-US" w:eastAsia="zh-CN" w:bidi="ar"/>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2</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140</w:t>
                  </w:r>
                </w:p>
              </w:tc>
            </w:tr>
            <w:tr>
              <w:tblPrEx>
                <w:tblLayout w:type="fixed"/>
                <w:tblCellMar>
                  <w:top w:w="0" w:type="dxa"/>
                  <w:left w:w="0" w:type="dxa"/>
                  <w:bottom w:w="0" w:type="dxa"/>
                  <w:right w:w="0" w:type="dxa"/>
                </w:tblCellMar>
              </w:tblPrEx>
              <w:trPr>
                <w:trHeight w:val="471"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ascii="仿宋_GB2312" w:hAnsi="仿宋_GB2312" w:eastAsia="仿宋_GB2312" w:cs="仿宋_GB2312"/>
                      <w:sz w:val="24"/>
                      <w:szCs w:val="24"/>
                      <w:lang w:val="en-US" w:eastAsia="zh-CN"/>
                    </w:rPr>
                    <w:t>22</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22</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439</w:t>
                  </w:r>
                </w:p>
              </w:tc>
            </w:tr>
            <w:tr>
              <w:tblPrEx>
                <w:tblLayout w:type="fixed"/>
                <w:tblCellMar>
                  <w:top w:w="0" w:type="dxa"/>
                  <w:left w:w="0" w:type="dxa"/>
                  <w:bottom w:w="0" w:type="dxa"/>
                  <w:right w:w="0" w:type="dxa"/>
                </w:tblCellMar>
              </w:tblPrEx>
              <w:trPr>
                <w:trHeight w:val="480" w:hRule="atLeast"/>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634"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552"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3</w:t>
                  </w:r>
                </w:p>
              </w:tc>
              <w:tc>
                <w:tcPr>
                  <w:tcW w:w="126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—2</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82</w:t>
                  </w:r>
                </w:p>
              </w:tc>
            </w:tr>
            <w:tr>
              <w:tblPrEx>
                <w:tblLayout w:type="fixed"/>
                <w:tblCellMar>
                  <w:top w:w="0" w:type="dxa"/>
                  <w:left w:w="0" w:type="dxa"/>
                  <w:bottom w:w="0" w:type="dxa"/>
                  <w:right w:w="0" w:type="dxa"/>
                </w:tblCellMar>
              </w:tblPrEx>
              <w:trPr>
                <w:trHeight w:val="550"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67</w:t>
                  </w:r>
                </w:p>
              </w:tc>
              <w:tc>
                <w:tcPr>
                  <w:tcW w:w="126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—17</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52万</w:t>
                  </w:r>
                  <w:bookmarkStart w:id="0" w:name="_GoBack"/>
                  <w:bookmarkEnd w:id="0"/>
                </w:p>
              </w:tc>
            </w:tr>
            <w:tr>
              <w:tblPrEx>
                <w:tblLayout w:type="fixed"/>
                <w:tblCellMar>
                  <w:top w:w="0" w:type="dxa"/>
                  <w:left w:w="0" w:type="dxa"/>
                  <w:bottom w:w="0" w:type="dxa"/>
                  <w:right w:w="0" w:type="dxa"/>
                </w:tblCellMar>
              </w:tblPrEx>
              <w:trPr>
                <w:trHeight w:val="406" w:hRule="atLeast"/>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634"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430"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70</w:t>
                  </w:r>
                </w:p>
              </w:tc>
              <w:tc>
                <w:tcPr>
                  <w:tcW w:w="126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180</w:t>
                  </w:r>
                </w:p>
              </w:tc>
            </w:tr>
            <w:tr>
              <w:tblPrEx>
                <w:tblLayout w:type="fixed"/>
                <w:tblCellMar>
                  <w:top w:w="0" w:type="dxa"/>
                  <w:left w:w="0" w:type="dxa"/>
                  <w:bottom w:w="0" w:type="dxa"/>
                  <w:right w:w="0" w:type="dxa"/>
                </w:tblCellMar>
              </w:tblPrEx>
              <w:trPr>
                <w:trHeight w:val="409"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2</w:t>
                  </w:r>
                </w:p>
              </w:tc>
              <w:tc>
                <w:tcPr>
                  <w:tcW w:w="126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19</w:t>
                  </w:r>
                </w:p>
              </w:tc>
            </w:tr>
            <w:tr>
              <w:tblPrEx>
                <w:tblLayout w:type="fixed"/>
                <w:tblCellMar>
                  <w:top w:w="0" w:type="dxa"/>
                  <w:left w:w="0" w:type="dxa"/>
                  <w:bottom w:w="0" w:type="dxa"/>
                  <w:right w:w="0" w:type="dxa"/>
                </w:tblCellMar>
              </w:tblPrEx>
              <w:trPr>
                <w:trHeight w:val="474" w:hRule="atLeast"/>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270"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0" w:type="dxa"/>
                  <w:bottom w:w="0" w:type="dxa"/>
                  <w:right w:w="0" w:type="dxa"/>
                </w:tblCellMar>
              </w:tblPrEx>
              <w:trPr>
                <w:trHeight w:val="551"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6</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476" w:hRule="atLeast"/>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Layout w:type="fixed"/>
                <w:tblCellMar>
                  <w:top w:w="0" w:type="dxa"/>
                  <w:left w:w="0" w:type="dxa"/>
                  <w:bottom w:w="0" w:type="dxa"/>
                  <w:right w:w="0" w:type="dxa"/>
                </w:tblCellMar>
              </w:tblPrEx>
              <w:trPr>
                <w:trHeight w:val="585"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Layout w:type="fixed"/>
                <w:tblCellMar>
                  <w:top w:w="0" w:type="dxa"/>
                  <w:left w:w="0" w:type="dxa"/>
                  <w:bottom w:w="0" w:type="dxa"/>
                  <w:right w:w="0" w:type="dxa"/>
                </w:tblCellMar>
              </w:tblPrEx>
              <w:trPr>
                <w:trHeight w:val="539" w:hRule="atLeast"/>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87</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1222676.13元</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center"/>
              <w:rPr>
                <w:rFonts w:hint="eastAsia" w:ascii="宋体" w:hAnsi="宋体" w:eastAsia="宋体" w:cs="宋体"/>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2338"/>
                <w:tab w:val="center" w:pos="5256"/>
              </w:tabs>
              <w:spacing w:before="0" w:beforeAutospacing="0" w:after="240" w:afterAutospacing="0" w:line="432" w:lineRule="atLeast"/>
              <w:ind w:right="0" w:firstLine="643" w:firstLineChars="200"/>
              <w:jc w:val="left"/>
              <w:rPr>
                <w:rFonts w:hint="eastAsia" w:ascii="黑体" w:hAnsi="黑体" w:eastAsia="黑体" w:cs="黑体"/>
                <w:sz w:val="32"/>
                <w:szCs w:val="32"/>
              </w:rPr>
            </w:pPr>
            <w:r>
              <w:rPr>
                <w:rFonts w:hint="eastAsia" w:ascii="黑体" w:hAnsi="黑体" w:eastAsia="黑体" w:cs="黑体"/>
                <w:b/>
                <w:i w:val="0"/>
                <w:caps w:val="0"/>
                <w:color w:val="333333"/>
                <w:spacing w:val="0"/>
                <w:sz w:val="32"/>
                <w:szCs w:val="32"/>
              </w:rPr>
              <w:t>三、收到和处理政府信息公开申请情况</w:t>
            </w:r>
          </w:p>
          <w:tbl>
            <w:tblPr>
              <w:tblStyle w:val="6"/>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8"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1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4"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2"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8"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9</w:t>
                  </w: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8"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（一）予以公开</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7</w:t>
                  </w: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（二）部分公开（区分处理的，只计这一情形，不计其他情形）</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1.属于国家秘密</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2.其他法律行政法规禁止公开</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3.危及“三安全一稳定”</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4.保护第三方合法权益</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5.属于三类内部事务信息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6.属于四类过程性信息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7.属于行政执法案卷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8.属于行政查询事项</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1.本机关不掌握相关政府信息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2</w:t>
                  </w: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2.没有现成信息需要另行制作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3.补正后申请内容仍不明确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1.信访举报投诉类申请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2.重复申请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3.要求提供公开出版物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4.无正当理由大量反复申请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5.要求行政机关确认或重新出具已获取信息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楷体" w:hAnsi="楷体" w:eastAsia="楷体" w:cs="楷体"/>
                      <w:kern w:val="0"/>
                      <w:sz w:val="20"/>
                      <w:szCs w:val="20"/>
                      <w:lang w:val="en-US" w:eastAsia="zh-CN" w:bidi="ar"/>
                    </w:rPr>
                    <w:t>（七）总计</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8"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四、结转下年度继续办理</w:t>
                  </w: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89"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center"/>
              <w:rPr>
                <w:rFonts w:hint="eastAsia" w:ascii="宋体" w:hAnsi="宋体" w:eastAsia="宋体" w:cs="宋体"/>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3" w:firstLineChars="200"/>
              <w:jc w:val="both"/>
              <w:rPr>
                <w:rFonts w:hint="eastAsia" w:ascii="黑体" w:hAnsi="黑体" w:eastAsia="黑体" w:cs="黑体"/>
                <w:sz w:val="32"/>
                <w:szCs w:val="32"/>
              </w:rPr>
            </w:pPr>
            <w:r>
              <w:rPr>
                <w:rFonts w:hint="eastAsia" w:ascii="黑体" w:hAnsi="黑体" w:eastAsia="黑体" w:cs="黑体"/>
                <w:b/>
                <w:i w:val="0"/>
                <w:caps w:val="0"/>
                <w:color w:val="333333"/>
                <w:spacing w:val="0"/>
                <w:sz w:val="32"/>
                <w:szCs w:val="32"/>
              </w:rPr>
              <w:t>四、政府信息公开行政复议、行政诉讼情况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center"/>
              <w:rPr>
                <w:rFonts w:hint="eastAsia" w:ascii="宋体" w:hAnsi="宋体" w:eastAsia="宋体" w:cs="宋体"/>
              </w:rPr>
            </w:pPr>
          </w:p>
          <w:tbl>
            <w:tblPr>
              <w:tblStyle w:val="6"/>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hint="eastAsia" w:ascii="宋体"/>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10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10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3</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1</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5</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9</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5</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06"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center"/>
              <w:rPr>
                <w:rFonts w:hint="eastAsia" w:ascii="宋体" w:hAnsi="宋体" w:eastAsia="宋体" w:cs="宋体"/>
              </w:rPr>
            </w:pPr>
          </w:p>
        </w:tc>
      </w:tr>
      <w:tr>
        <w:tblPrEx>
          <w:tblLayout w:type="fixed"/>
          <w:tblCellMar>
            <w:top w:w="0" w:type="dxa"/>
            <w:left w:w="0" w:type="dxa"/>
            <w:bottom w:w="0" w:type="dxa"/>
            <w:right w:w="0" w:type="dxa"/>
          </w:tblCellMar>
        </w:tblPrEx>
        <w:trPr>
          <w:tblCellSpacing w:w="0" w:type="dxa"/>
        </w:trPr>
        <w:tc>
          <w:tcPr>
            <w:tcW w:w="9750" w:type="dxa"/>
            <w:shd w:val="clear" w:color="auto" w:fill="FFFFFF"/>
            <w:vAlign w:val="center"/>
          </w:tcPr>
          <w:p>
            <w:pPr>
              <w:jc w:val="left"/>
              <w:rPr>
                <w:rFonts w:hint="eastAsia" w:ascii="宋体" w:hAnsi="宋体" w:eastAsia="宋体" w:cs="宋体"/>
                <w:i w:val="0"/>
                <w:caps w:val="0"/>
                <w:color w:val="333333"/>
                <w:spacing w:val="0"/>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3" w:firstLineChars="200"/>
        <w:jc w:val="both"/>
        <w:rPr>
          <w:rFonts w:hint="eastAsia" w:ascii="黑体" w:hAnsi="黑体" w:eastAsia="黑体" w:cs="黑体"/>
          <w:sz w:val="32"/>
          <w:szCs w:val="32"/>
        </w:rPr>
      </w:pPr>
      <w:r>
        <w:rPr>
          <w:rFonts w:hint="eastAsia" w:ascii="黑体" w:hAnsi="黑体" w:eastAsia="黑体" w:cs="黑体"/>
          <w:b/>
          <w:i w:val="0"/>
          <w:caps w:val="0"/>
          <w:color w:val="333333"/>
          <w:spacing w:val="0"/>
          <w:sz w:val="32"/>
          <w:szCs w:val="32"/>
        </w:rPr>
        <w:t>五、存在的主要问题及改进情况</w:t>
      </w:r>
    </w:p>
    <w:p>
      <w:pPr>
        <w:spacing w:line="560" w:lineRule="exact"/>
        <w:ind w:firstLine="640"/>
        <w:rPr>
          <w:rFonts w:ascii="仿宋_GB2312" w:eastAsia="仿宋_GB2312"/>
          <w:sz w:val="32"/>
          <w:szCs w:val="32"/>
        </w:rPr>
      </w:pPr>
      <w:r>
        <w:rPr>
          <w:rFonts w:ascii="仿宋_GB2312" w:eastAsia="仿宋_GB2312" w:cs="仿宋_GB2312"/>
          <w:sz w:val="32"/>
          <w:szCs w:val="32"/>
        </w:rPr>
        <w:t>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年，我局在政府信息公开</w:t>
      </w:r>
      <w:r>
        <w:rPr>
          <w:rFonts w:hint="eastAsia" w:ascii="仿宋_GB2312" w:eastAsia="仿宋_GB2312" w:cs="仿宋_GB2312"/>
          <w:sz w:val="32"/>
          <w:szCs w:val="32"/>
          <w:lang w:eastAsia="zh-CN"/>
        </w:rPr>
        <w:t>上，</w:t>
      </w:r>
      <w:r>
        <w:rPr>
          <w:rFonts w:hint="eastAsia" w:ascii="仿宋_GB2312" w:eastAsia="仿宋_GB2312" w:cs="仿宋_GB2312"/>
          <w:sz w:val="32"/>
          <w:szCs w:val="32"/>
        </w:rPr>
        <w:t>还存在公开内容的</w:t>
      </w:r>
      <w:r>
        <w:rPr>
          <w:rFonts w:hint="eastAsia" w:ascii="仿宋_GB2312" w:eastAsia="仿宋_GB2312" w:cs="仿宋_GB2312"/>
          <w:sz w:val="32"/>
          <w:szCs w:val="32"/>
          <w:lang w:eastAsia="zh-CN"/>
        </w:rPr>
        <w:t>不够</w:t>
      </w:r>
      <w:r>
        <w:rPr>
          <w:rFonts w:hint="eastAsia" w:ascii="仿宋_GB2312" w:eastAsia="仿宋_GB2312" w:cs="仿宋_GB2312"/>
          <w:sz w:val="32"/>
          <w:szCs w:val="32"/>
        </w:rPr>
        <w:t>及时</w:t>
      </w:r>
      <w:r>
        <w:rPr>
          <w:rFonts w:hint="eastAsia" w:ascii="仿宋_GB2312" w:eastAsia="仿宋_GB2312" w:cs="仿宋_GB2312"/>
          <w:sz w:val="32"/>
          <w:szCs w:val="32"/>
          <w:lang w:eastAsia="zh-CN"/>
        </w:rPr>
        <w:t>、</w:t>
      </w:r>
      <w:r>
        <w:rPr>
          <w:rFonts w:hint="eastAsia" w:ascii="仿宋_GB2312" w:eastAsia="仿宋_GB2312" w:cs="仿宋_GB2312"/>
          <w:sz w:val="32"/>
          <w:szCs w:val="32"/>
        </w:rPr>
        <w:t>全面</w:t>
      </w:r>
      <w:r>
        <w:rPr>
          <w:rFonts w:hint="eastAsia" w:ascii="仿宋_GB2312" w:eastAsia="仿宋_GB2312" w:cs="仿宋_GB2312"/>
          <w:sz w:val="32"/>
          <w:szCs w:val="32"/>
          <w:lang w:eastAsia="zh-CN"/>
        </w:rPr>
        <w:t>，</w:t>
      </w:r>
      <w:r>
        <w:rPr>
          <w:rFonts w:hint="eastAsia" w:ascii="仿宋_GB2312" w:eastAsia="仿宋_GB2312" w:cs="仿宋_GB2312"/>
          <w:sz w:val="32"/>
          <w:szCs w:val="32"/>
        </w:rPr>
        <w:t>公开形式</w:t>
      </w:r>
      <w:r>
        <w:rPr>
          <w:rFonts w:hint="eastAsia" w:ascii="仿宋_GB2312" w:eastAsia="仿宋_GB2312" w:cs="仿宋_GB2312"/>
          <w:sz w:val="32"/>
          <w:szCs w:val="32"/>
          <w:lang w:eastAsia="zh-CN"/>
        </w:rPr>
        <w:t>不够</w:t>
      </w:r>
      <w:r>
        <w:rPr>
          <w:rFonts w:hint="eastAsia" w:ascii="仿宋_GB2312" w:eastAsia="仿宋_GB2312" w:cs="仿宋_GB2312"/>
          <w:sz w:val="32"/>
          <w:szCs w:val="32"/>
        </w:rPr>
        <w:t>多样</w:t>
      </w:r>
      <w:r>
        <w:rPr>
          <w:rFonts w:hint="eastAsia" w:ascii="仿宋_GB2312" w:eastAsia="仿宋_GB2312" w:cs="仿宋_GB2312"/>
          <w:sz w:val="32"/>
          <w:szCs w:val="32"/>
          <w:lang w:eastAsia="zh-CN"/>
        </w:rPr>
        <w:t>、</w:t>
      </w:r>
      <w:r>
        <w:rPr>
          <w:rFonts w:hint="eastAsia" w:ascii="仿宋_GB2312" w:eastAsia="仿宋_GB2312" w:cs="仿宋_GB2312"/>
          <w:sz w:val="32"/>
          <w:szCs w:val="32"/>
        </w:rPr>
        <w:t>便民</w:t>
      </w:r>
      <w:r>
        <w:rPr>
          <w:rFonts w:hint="eastAsia" w:ascii="仿宋_GB2312" w:eastAsia="仿宋_GB2312" w:cs="仿宋_GB2312"/>
          <w:sz w:val="32"/>
          <w:szCs w:val="32"/>
          <w:lang w:eastAsia="zh-CN"/>
        </w:rPr>
        <w:t>。</w:t>
      </w:r>
      <w:r>
        <w:rPr>
          <w:rFonts w:hint="eastAsia" w:ascii="仿宋_GB2312" w:eastAsia="仿宋_GB2312" w:cs="仿宋_GB2312"/>
          <w:sz w:val="32"/>
          <w:szCs w:val="32"/>
        </w:rPr>
        <w:t>少数处室（单位）主动公开意识不强，政府信息归类不够明晰、部分栏目公开的信息</w:t>
      </w:r>
      <w:r>
        <w:rPr>
          <w:rFonts w:hint="eastAsia" w:ascii="仿宋_GB2312" w:eastAsia="仿宋_GB2312" w:cs="仿宋_GB2312"/>
          <w:sz w:val="32"/>
          <w:szCs w:val="32"/>
          <w:lang w:eastAsia="zh-CN"/>
        </w:rPr>
        <w:t>更新</w:t>
      </w:r>
      <w:r>
        <w:rPr>
          <w:rFonts w:hint="eastAsia" w:ascii="仿宋_GB2312" w:eastAsia="仿宋_GB2312" w:cs="仿宋_GB2312"/>
          <w:sz w:val="32"/>
          <w:szCs w:val="32"/>
        </w:rPr>
        <w:t>数</w:t>
      </w:r>
      <w:r>
        <w:rPr>
          <w:rFonts w:hint="eastAsia" w:ascii="仿宋_GB2312" w:eastAsia="仿宋_GB2312" w:cs="仿宋_GB2312"/>
          <w:sz w:val="32"/>
          <w:szCs w:val="32"/>
          <w:lang w:eastAsia="zh-CN"/>
        </w:rPr>
        <w:t>量</w:t>
      </w:r>
      <w:r>
        <w:rPr>
          <w:rFonts w:hint="eastAsia" w:ascii="仿宋_GB2312" w:eastAsia="仿宋_GB2312" w:cs="仿宋_GB2312"/>
          <w:sz w:val="32"/>
          <w:szCs w:val="32"/>
        </w:rPr>
        <w:t>有待提升。下一步，我局将认真贯彻落实政府信息公开有关的各项规章制度，进一步规范政务公开工作流程，加强对各处室（单位）信息公开工作监督检查，加大政务公开人员队伍建设，全面提升政务公开能力和水平。</w:t>
      </w:r>
    </w:p>
    <w:p>
      <w:pPr>
        <w:spacing w:line="560" w:lineRule="exact"/>
        <w:ind w:firstLine="640" w:firstLineChars="200"/>
        <w:rPr>
          <w:rFonts w:hint="eastAsia" w:ascii="仿宋_GB2312" w:hAnsi="仿宋" w:eastAsia="仿宋_GB2312" w:cs="仿宋_GB2312"/>
          <w:sz w:val="32"/>
          <w:szCs w:val="32"/>
        </w:rPr>
      </w:pP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如对本报告有疑问，请联系：宁波市人力资源和社会保障局；地址：宁波市</w:t>
      </w:r>
      <w:r>
        <w:rPr>
          <w:rFonts w:hint="eastAsia" w:ascii="仿宋_GB2312" w:hAnsi="仿宋" w:eastAsia="仿宋_GB2312" w:cs="仿宋_GB2312"/>
          <w:sz w:val="32"/>
          <w:szCs w:val="32"/>
          <w:lang w:eastAsia="zh-CN"/>
        </w:rPr>
        <w:t>鄞州</w:t>
      </w:r>
      <w:r>
        <w:rPr>
          <w:rFonts w:hint="eastAsia" w:ascii="仿宋_GB2312" w:hAnsi="仿宋" w:eastAsia="仿宋_GB2312" w:cs="仿宋_GB2312"/>
          <w:sz w:val="32"/>
          <w:szCs w:val="32"/>
        </w:rPr>
        <w:t>区和济街</w:t>
      </w:r>
      <w:r>
        <w:rPr>
          <w:rFonts w:ascii="仿宋_GB2312" w:hAnsi="仿宋" w:eastAsia="仿宋_GB2312" w:cs="仿宋_GB2312"/>
          <w:sz w:val="32"/>
          <w:szCs w:val="32"/>
        </w:rPr>
        <w:t>95</w:t>
      </w:r>
      <w:r>
        <w:rPr>
          <w:rFonts w:hint="eastAsia" w:ascii="仿宋_GB2312" w:hAnsi="仿宋" w:eastAsia="仿宋_GB2312" w:cs="仿宋_GB2312"/>
          <w:sz w:val="32"/>
          <w:szCs w:val="32"/>
        </w:rPr>
        <w:t>号，邮编：</w:t>
      </w:r>
      <w:r>
        <w:rPr>
          <w:rFonts w:ascii="仿宋_GB2312" w:hAnsi="仿宋" w:eastAsia="仿宋_GB2312" w:cs="仿宋_GB2312"/>
          <w:sz w:val="32"/>
          <w:szCs w:val="32"/>
        </w:rPr>
        <w:t>315042</w:t>
      </w:r>
      <w:r>
        <w:rPr>
          <w:rFonts w:hint="eastAsia" w:ascii="仿宋_GB2312" w:hAnsi="仿宋" w:eastAsia="仿宋_GB2312" w:cs="仿宋_GB2312"/>
          <w:sz w:val="32"/>
          <w:szCs w:val="32"/>
        </w:rPr>
        <w:t>；电话：</w:t>
      </w:r>
      <w:r>
        <w:rPr>
          <w:rFonts w:ascii="仿宋_GB2312" w:hAnsi="仿宋" w:eastAsia="仿宋_GB2312" w:cs="仿宋_GB2312"/>
          <w:sz w:val="32"/>
          <w:szCs w:val="32"/>
        </w:rPr>
        <w:t>0574-89186211</w:t>
      </w:r>
      <w:r>
        <w:rPr>
          <w:rFonts w:hint="eastAsia" w:ascii="仿宋_GB2312" w:hAnsi="仿宋" w:eastAsia="仿宋_GB2312" w:cs="仿宋_GB2312"/>
          <w:sz w:val="32"/>
          <w:szCs w:val="32"/>
        </w:rPr>
        <w:t>。</w:t>
      </w:r>
    </w:p>
    <w:p>
      <w:pPr>
        <w:spacing w:line="560" w:lineRule="exact"/>
        <w:ind w:firstLine="640" w:firstLineChars="200"/>
        <w:jc w:val="right"/>
        <w:rPr>
          <w:rFonts w:hint="eastAsia" w:ascii="仿宋_GB2312" w:hAnsi="仿宋" w:eastAsia="仿宋_GB2312" w:cs="仿宋_GB2312"/>
          <w:sz w:val="32"/>
          <w:szCs w:val="32"/>
        </w:rPr>
      </w:pPr>
      <w:r>
        <w:rPr>
          <w:rFonts w:hint="eastAsia" w:ascii="仿宋_GB2312" w:hAnsi="仿宋" w:eastAsia="仿宋_GB2312" w:cs="仿宋_GB2312"/>
          <w:sz w:val="32"/>
          <w:szCs w:val="32"/>
        </w:rPr>
        <w:t>宁波市人力资源和社会保障局</w:t>
      </w:r>
    </w:p>
    <w:p>
      <w:pPr>
        <w:spacing w:line="560" w:lineRule="exact"/>
        <w:ind w:firstLine="640" w:firstLineChars="200"/>
        <w:jc w:val="right"/>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2019年12月31日</w:t>
      </w:r>
    </w:p>
    <w:p>
      <w:pPr>
        <w:jc w:val="right"/>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65649"/>
    <w:rsid w:val="04B24D5F"/>
    <w:rsid w:val="06006D63"/>
    <w:rsid w:val="0DED7C90"/>
    <w:rsid w:val="1C3D00F5"/>
    <w:rsid w:val="1F7F5538"/>
    <w:rsid w:val="23FA5EFD"/>
    <w:rsid w:val="2C24411B"/>
    <w:rsid w:val="2DB65649"/>
    <w:rsid w:val="36264905"/>
    <w:rsid w:val="36616226"/>
    <w:rsid w:val="3A811550"/>
    <w:rsid w:val="457C499A"/>
    <w:rsid w:val="46FA6EAA"/>
    <w:rsid w:val="51807AC1"/>
    <w:rsid w:val="548028AA"/>
    <w:rsid w:val="57006AAD"/>
    <w:rsid w:val="58AA4A2D"/>
    <w:rsid w:val="6A737820"/>
    <w:rsid w:val="7A9E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b/>
      <w:kern w:val="44"/>
      <w:sz w:val="44"/>
    </w:rPr>
  </w:style>
  <w:style w:type="paragraph" w:styleId="3">
    <w:name w:val="heading 2"/>
    <w:basedOn w:val="1"/>
    <w:next w:val="1"/>
    <w:semiHidden/>
    <w:unhideWhenUsed/>
    <w:qFormat/>
    <w:uiPriority w:val="0"/>
    <w:pPr>
      <w:spacing w:before="0" w:beforeAutospacing="1" w:after="0" w:afterAutospacing="1" w:line="580" w:lineRule="exact"/>
      <w:ind w:firstLine="643" w:firstLineChars="200"/>
      <w:jc w:val="left"/>
      <w:outlineLvl w:val="1"/>
    </w:pPr>
    <w:rPr>
      <w:rFonts w:hint="eastAsia" w:ascii="宋体" w:hAnsi="宋体" w:eastAsia="黑体" w:cs="宋体"/>
      <w:b/>
      <w:kern w:val="0"/>
      <w:szCs w:val="36"/>
      <w:lang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2019-12-26T04:49:00Z</dcterms:created>
  <dc:creator>lenovo</dc:creator>
  <cp:lastModifiedBy>lenovo</cp:lastModifiedBy>
  <cp:lastPrinted>2020-01-03T08:34:00Z</cp:lastPrinted>
  <dcterms:modified xsi:type="dcterms:W3CDTF">2020-01-08T01:27:30Z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