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atLeast"/>
        <w:ind w:left="0" w:right="0"/>
        <w:jc w:val="center"/>
        <w:textAlignment w:val="auto"/>
        <w:rPr>
          <w:rFonts w:hint="eastAsia" w:ascii="创艺简标宋" w:hAnsi="创艺简标宋" w:eastAsia="创艺简标宋" w:cs="创艺简标宋"/>
          <w:b/>
          <w:i w:val="0"/>
          <w:caps w:val="0"/>
          <w:color w:val="000000"/>
          <w:spacing w:val="0"/>
          <w:sz w:val="44"/>
          <w:szCs w:val="44"/>
          <w:lang w:eastAsia="zh-CN"/>
        </w:rPr>
      </w:pPr>
      <w:r>
        <w:rPr>
          <w:rFonts w:hint="eastAsia" w:ascii="创艺简标宋" w:hAnsi="创艺简标宋" w:eastAsia="创艺简标宋" w:cs="创艺简标宋"/>
          <w:b/>
          <w:i w:val="0"/>
          <w:caps w:val="0"/>
          <w:color w:val="000000"/>
          <w:spacing w:val="0"/>
          <w:sz w:val="44"/>
          <w:szCs w:val="44"/>
          <w:lang w:eastAsia="zh-CN"/>
        </w:rPr>
        <w:t>宁波市对口支援和区域合作局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atLeast"/>
        <w:ind w:left="0" w:right="0"/>
        <w:jc w:val="center"/>
        <w:textAlignment w:val="auto"/>
        <w:rPr>
          <w:rFonts w:hint="eastAsia" w:ascii="创艺简标宋" w:hAnsi="创艺简标宋" w:eastAsia="创艺简标宋" w:cs="创艺简标宋"/>
          <w:color w:val="000000"/>
          <w:sz w:val="44"/>
          <w:szCs w:val="44"/>
        </w:rPr>
      </w:pPr>
      <w:bookmarkStart w:id="0" w:name="_GoBack"/>
      <w:bookmarkEnd w:id="0"/>
      <w:r>
        <w:rPr>
          <w:rFonts w:hint="eastAsia" w:ascii="创艺简标宋" w:hAnsi="创艺简标宋" w:eastAsia="创艺简标宋" w:cs="创艺简标宋"/>
          <w:b/>
          <w:i w:val="0"/>
          <w:caps w:val="0"/>
          <w:color w:val="000000"/>
          <w:spacing w:val="0"/>
          <w:sz w:val="44"/>
          <w:szCs w:val="44"/>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color w:val="00000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atLeast"/>
        <w:ind w:left="0" w:right="0" w:firstLine="643" w:firstLineChars="200"/>
        <w:jc w:val="both"/>
        <w:textAlignment w:val="auto"/>
        <w:rPr>
          <w:rFonts w:hint="eastAsia" w:ascii="黑体" w:hAnsi="黑体" w:eastAsia="黑体" w:cs="黑体"/>
          <w:color w:val="000000"/>
          <w:sz w:val="32"/>
          <w:szCs w:val="32"/>
        </w:rPr>
      </w:pPr>
      <w:r>
        <w:rPr>
          <w:rFonts w:hint="eastAsia" w:ascii="黑体" w:hAnsi="黑体" w:eastAsia="黑体" w:cs="黑体"/>
          <w:b/>
          <w:i w:val="0"/>
          <w:caps w:val="0"/>
          <w:color w:val="000000"/>
          <w:spacing w:val="0"/>
          <w:sz w:val="32"/>
          <w:szCs w:val="32"/>
        </w:rPr>
        <w:t>一、总体情况</w:t>
      </w:r>
    </w:p>
    <w:p>
      <w:pPr>
        <w:keepNext w:val="0"/>
        <w:keepLines w:val="0"/>
        <w:pageBreakBefore w:val="0"/>
        <w:kinsoku/>
        <w:wordWrap/>
        <w:overflowPunct/>
        <w:topLinePunct w:val="0"/>
        <w:autoSpaceDE/>
        <w:autoSpaceDN/>
        <w:bidi w:val="0"/>
        <w:adjustRightInd/>
        <w:snapToGrid w:val="0"/>
        <w:spacing w:line="56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年度，宁波市</w:t>
      </w:r>
      <w:r>
        <w:rPr>
          <w:rFonts w:hint="eastAsia" w:ascii="仿宋_GB2312" w:hAnsi="仿宋_GB2312" w:eastAsia="仿宋_GB2312" w:cs="仿宋_GB2312"/>
          <w:sz w:val="32"/>
          <w:szCs w:val="32"/>
          <w:lang w:val="en-US" w:eastAsia="zh-CN"/>
        </w:rPr>
        <w:t>支援合作</w:t>
      </w:r>
      <w:r>
        <w:rPr>
          <w:rFonts w:hint="eastAsia" w:ascii="仿宋_GB2312" w:hAnsi="仿宋_GB2312" w:eastAsia="仿宋_GB2312" w:cs="仿宋_GB2312"/>
          <w:sz w:val="32"/>
          <w:szCs w:val="32"/>
        </w:rPr>
        <w:t>局根据</w:t>
      </w:r>
      <w:r>
        <w:rPr>
          <w:rFonts w:hint="eastAsia" w:ascii="仿宋_GB2312" w:hAnsi="仿宋_GB2312" w:eastAsia="仿宋_GB2312" w:cs="仿宋_GB2312"/>
          <w:sz w:val="32"/>
          <w:szCs w:val="32"/>
          <w:lang w:eastAsia="zh-CN"/>
        </w:rPr>
        <w:t>新修订的</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28"/>
          <w:szCs w:val="28"/>
          <w:lang w:val="en-US" w:eastAsia="zh-CN" w:bidi="ar"/>
        </w:rPr>
        <w:t>中华人民共和国政府信息公开条例</w:t>
      </w:r>
      <w:r>
        <w:rPr>
          <w:rFonts w:hint="eastAsia" w:ascii="仿宋_GB2312" w:hAnsi="仿宋_GB2312" w:eastAsia="仿宋_GB2312" w:cs="仿宋_GB2312"/>
          <w:sz w:val="32"/>
          <w:szCs w:val="32"/>
        </w:rPr>
        <w:t>》和宁波市人民政府办公厅《关于印发201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年宁波市政务公开工作要点的通知》（甬政办发〔201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号）要求，</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对政府信息公开工作的组织领导，完善工作机制，落实工作责任，加大审核力度，</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公开信息目录和内容</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梳理，进一步加大信息公开的形式，依法有序的推进</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政府信息公开工作。</w:t>
      </w:r>
    </w:p>
    <w:p>
      <w:pPr>
        <w:keepNext w:val="0"/>
        <w:keepLines w:val="0"/>
        <w:pageBreakBefore w:val="0"/>
        <w:kinsoku/>
        <w:wordWrap/>
        <w:overflowPunct/>
        <w:topLinePunct w:val="0"/>
        <w:autoSpaceDE/>
        <w:autoSpaceDN/>
        <w:bidi w:val="0"/>
        <w:adjustRightInd/>
        <w:snapToGrid w:val="0"/>
        <w:spacing w:line="560" w:lineRule="atLeas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（一）进一步落实责任，强化组织领导。</w:t>
      </w:r>
      <w:r>
        <w:rPr>
          <w:rFonts w:hint="eastAsia" w:ascii="仿宋_GB2312" w:hAnsi="仿宋_GB2312" w:eastAsia="仿宋_GB2312" w:cs="仿宋_GB2312"/>
          <w:sz w:val="32"/>
          <w:szCs w:val="32"/>
        </w:rPr>
        <w:t>做到分工明确，责任到人，一级抓一级，层层抓落实。局主要领导对政府信息公开工作负总责，分管局长主抓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组织人事</w:t>
      </w:r>
      <w:r>
        <w:rPr>
          <w:rFonts w:hint="eastAsia" w:ascii="仿宋_GB2312" w:hAnsi="仿宋_GB2312" w:eastAsia="仿宋_GB2312" w:cs="仿宋_GB2312"/>
          <w:sz w:val="32"/>
          <w:szCs w:val="32"/>
        </w:rPr>
        <w:t>处为职能处室，负责牵头协调和收集整理公开信息，并指定具体工作人员，负责工作具体开展；相关处室做好配合工作，及时提供公开信息，配合做好依申请公开等工作，做到严格按规定程序公开政府信息，办理依申请公开政府信息。</w:t>
      </w:r>
    </w:p>
    <w:p>
      <w:pPr>
        <w:keepNext w:val="0"/>
        <w:keepLines w:val="0"/>
        <w:pageBreakBefore w:val="0"/>
        <w:kinsoku/>
        <w:wordWrap/>
        <w:overflowPunct/>
        <w:topLinePunct w:val="0"/>
        <w:autoSpaceDE/>
        <w:autoSpaceDN/>
        <w:bidi w:val="0"/>
        <w:adjustRightInd/>
        <w:snapToGrid w:val="0"/>
        <w:spacing w:line="560" w:lineRule="atLeas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（二）进一步规范程序，加大审核力度。</w:t>
      </w:r>
      <w:r>
        <w:rPr>
          <w:rFonts w:hint="eastAsia" w:ascii="楷体_GB2312" w:hAnsi="楷体_GB2312" w:eastAsia="楷体_GB2312" w:cs="楷体_GB2312"/>
          <w:sz w:val="32"/>
          <w:szCs w:val="32"/>
          <w:lang w:eastAsia="zh-CN"/>
        </w:rPr>
        <w:t>为</w:t>
      </w:r>
      <w:r>
        <w:rPr>
          <w:rFonts w:hint="eastAsia" w:ascii="仿宋_GB2312" w:hAnsi="仿宋_GB2312" w:eastAsia="仿宋_GB2312" w:cs="仿宋_GB2312"/>
          <w:sz w:val="32"/>
          <w:szCs w:val="32"/>
        </w:rPr>
        <w:t>提高信息质量和数量，</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健全机制入手，</w:t>
      </w:r>
      <w:r>
        <w:rPr>
          <w:rFonts w:hint="eastAsia" w:ascii="仿宋_GB2312" w:hAnsi="仿宋_GB2312" w:eastAsia="仿宋_GB2312" w:cs="仿宋_GB2312"/>
          <w:sz w:val="32"/>
          <w:szCs w:val="32"/>
          <w:lang w:val="en-US" w:eastAsia="zh-CN"/>
        </w:rPr>
        <w:t>规范信息公开审核，建立公开信息由业务处室提供、分管领导审核、责任处室把关、专门管理员发布的流程，</w:t>
      </w:r>
      <w:r>
        <w:rPr>
          <w:rFonts w:hint="eastAsia" w:ascii="仿宋_GB2312" w:hAnsi="仿宋_GB2312" w:eastAsia="仿宋_GB2312" w:cs="仿宋_GB2312"/>
          <w:sz w:val="32"/>
          <w:szCs w:val="32"/>
        </w:rPr>
        <w:t>牢牢把控信息文件审核环节，</w:t>
      </w:r>
      <w:r>
        <w:rPr>
          <w:rFonts w:hint="eastAsia" w:ascii="仿宋_GB2312" w:hAnsi="仿宋_GB2312" w:eastAsia="仿宋_GB2312" w:cs="仿宋_GB2312"/>
          <w:sz w:val="32"/>
          <w:szCs w:val="32"/>
          <w:lang w:val="en-US" w:eastAsia="zh-CN"/>
        </w:rPr>
        <w:t>保障公开信息规范。</w:t>
      </w:r>
      <w:r>
        <w:rPr>
          <w:rFonts w:hint="eastAsia" w:ascii="仿宋_GB2312" w:hAnsi="仿宋_GB2312" w:eastAsia="仿宋_GB2312" w:cs="仿宋_GB2312"/>
          <w:sz w:val="32"/>
          <w:szCs w:val="32"/>
          <w:lang w:eastAsia="zh-CN"/>
        </w:rPr>
        <w:t>在尽可能</w:t>
      </w:r>
      <w:r>
        <w:rPr>
          <w:rFonts w:hint="eastAsia" w:ascii="仿宋_GB2312" w:hAnsi="仿宋_GB2312" w:eastAsia="仿宋_GB2312" w:cs="仿宋_GB2312"/>
          <w:sz w:val="32"/>
          <w:szCs w:val="32"/>
        </w:rPr>
        <w:t>扩大信息公开范围</w:t>
      </w:r>
      <w:r>
        <w:rPr>
          <w:rFonts w:hint="eastAsia" w:ascii="仿宋_GB2312" w:hAnsi="仿宋_GB2312" w:eastAsia="仿宋_GB2312" w:cs="仿宋_GB2312"/>
          <w:sz w:val="32"/>
          <w:szCs w:val="32"/>
          <w:lang w:eastAsia="zh-CN"/>
        </w:rPr>
        <w:t>前提下</w:t>
      </w:r>
      <w:r>
        <w:rPr>
          <w:rFonts w:hint="eastAsia" w:ascii="仿宋_GB2312" w:hAnsi="仿宋_GB2312" w:eastAsia="仿宋_GB2312" w:cs="仿宋_GB2312"/>
          <w:sz w:val="32"/>
          <w:szCs w:val="32"/>
        </w:rPr>
        <w:t>，确保涉密文件不公开。按照“谁发布、谁负责”原则，责任落实到具体处室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确保信息及时、完整、准确公开，确保公众对市</w:t>
      </w:r>
      <w:r>
        <w:rPr>
          <w:rFonts w:hint="eastAsia" w:ascii="仿宋_GB2312" w:hAnsi="仿宋_GB2312" w:eastAsia="仿宋_GB2312" w:cs="仿宋_GB2312"/>
          <w:sz w:val="32"/>
          <w:szCs w:val="32"/>
          <w:lang w:val="en-US" w:eastAsia="zh-CN"/>
        </w:rPr>
        <w:t>对口支援和区域合作</w:t>
      </w:r>
      <w:r>
        <w:rPr>
          <w:rFonts w:hint="eastAsia" w:ascii="仿宋_GB2312" w:hAnsi="仿宋_GB2312" w:eastAsia="仿宋_GB2312" w:cs="仿宋_GB2312"/>
          <w:sz w:val="32"/>
          <w:szCs w:val="32"/>
        </w:rPr>
        <w:t>局工作的知情权、表达权、参与权和监督权等。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atLeas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（三）进一步深化载体，拓宽监督渠道。</w:t>
      </w:r>
      <w:r>
        <w:rPr>
          <w:rFonts w:hint="eastAsia" w:ascii="仿宋_GB2312" w:hAnsi="仿宋_GB2312" w:eastAsia="仿宋_GB2312" w:cs="仿宋_GB2312"/>
          <w:sz w:val="32"/>
          <w:szCs w:val="32"/>
          <w:lang w:val="en-US" w:eastAsia="zh-CN"/>
        </w:rPr>
        <w:t>一是平稳做好机构改革后的政府网站改版工作。</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对口支援和区域合作</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是此轮机构改革新组建单位，在已迁移到集约化平台的原宁波市经济合作与投资促进局门户网站的基础上，根据机构改革“三定方案”、门户网站改版要求及时进行门户网站改版。二是完成网站域名清理工作。对已关停的《宁波国内投资合作信息平台》网站，及时做好关停网站域名及ICP备案信息确认等工作。三是拓展政府信息公开渠道。利用局“支援与合作”杂志、短信平台，以及国内主流媒体合作公开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atLeast"/>
        <w:ind w:left="0" w:right="0" w:firstLine="643" w:firstLineChars="200"/>
        <w:jc w:val="both"/>
        <w:textAlignment w:val="auto"/>
        <w:rPr>
          <w:rFonts w:hint="eastAsia" w:ascii="黑体" w:hAnsi="黑体" w:eastAsia="黑体" w:cs="黑体"/>
          <w:b/>
          <w:i w:val="0"/>
          <w:caps w:val="0"/>
          <w:color w:val="000000"/>
          <w:spacing w:val="0"/>
          <w:sz w:val="32"/>
          <w:szCs w:val="32"/>
        </w:rPr>
      </w:pPr>
      <w:r>
        <w:rPr>
          <w:rFonts w:hint="eastAsia" w:ascii="黑体" w:hAnsi="黑体" w:eastAsia="黑体" w:cs="黑体"/>
          <w:b/>
          <w:i w:val="0"/>
          <w:caps w:val="0"/>
          <w:color w:val="000000"/>
          <w:spacing w:val="0"/>
          <w:sz w:val="32"/>
          <w:szCs w:val="32"/>
        </w:rPr>
        <w:t>二、主动公开政府信息情况</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（一）主动公开的信息量。</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市对口支援和区域合作局围绕2019年市政府工作报告和“六争攻坚”行动年度目标涉及本局的内容，逐一细化工作内容，落实职能处室和分管领导，制订年度工作计划，2019年全年主动公开政府信息47条，通过其他不同渠道和方式公开政府信息3332条，其中：政府网站公开信息919条、政务微博公开信息692条、一点资讯平台公开信息1721条，同时拓展政府信息公开渠道，利用局“支援与合作”杂志、短信平台，以及与国内主流媒体合作公开政府信息。</w:t>
      </w:r>
      <w:r>
        <w:rPr>
          <w:rFonts w:hint="eastAsia" w:ascii="仿宋_GB2312" w:hAnsi="仿宋_GB2312" w:eastAsia="仿宋_GB2312" w:cs="仿宋_GB2312"/>
          <w:sz w:val="32"/>
          <w:szCs w:val="32"/>
        </w:rPr>
        <w:t>属主动公开的政府信息都能在规定期限内及时发布，公开的信息归类正确，内容完整。全年未发生公开信息与实际应公开内容明显不符的事件，也没有出现过泄密、应急事件未及时处理、不符合《政府信息公开条例》等相关法律法规规定的其它情况。</w:t>
      </w:r>
    </w:p>
    <w:p>
      <w:pPr>
        <w:keepNext w:val="0"/>
        <w:keepLines w:val="0"/>
        <w:pageBreakBefore w:val="0"/>
        <w:kinsoku/>
        <w:wordWrap/>
        <w:overflowPunct/>
        <w:topLinePunct w:val="0"/>
        <w:autoSpaceDE/>
        <w:autoSpaceDN/>
        <w:bidi w:val="0"/>
        <w:adjustRightInd/>
        <w:snapToGrid w:val="0"/>
        <w:spacing w:line="560" w:lineRule="atLeas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深化重要政策解读。</w:t>
      </w:r>
      <w:r>
        <w:rPr>
          <w:rFonts w:hint="eastAsia" w:ascii="仿宋_GB2312" w:hAnsi="仿宋_GB2312" w:eastAsia="仿宋_GB2312" w:cs="仿宋_GB2312"/>
          <w:sz w:val="32"/>
          <w:szCs w:val="32"/>
          <w:lang w:val="en-US" w:eastAsia="zh-CN"/>
        </w:rPr>
        <w:t>2019年市对口支援和区域合作</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没有制订相关政策性文件，为让全社会更加全面了解上级和市委市政府有关脱贫攻坚、对口支援和区域合作相关政策，全年我们及时转载公开政策文件4条、政策解读3条，提高相关政策在全社会的知晓度。</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jc w:val="both"/>
        <w:textAlignment w:val="auto"/>
        <w:rPr>
          <w:rFonts w:hint="eastAsia" w:ascii="仿宋_GB2312" w:hAnsi="仿宋_GB2312" w:eastAsia="仿宋_GB2312" w:cs="仿宋_GB2312"/>
          <w:snapToGrid w:val="0"/>
          <w:spacing w:val="-4"/>
          <w:sz w:val="32"/>
          <w:szCs w:val="32"/>
          <w:lang w:val="en-US" w:eastAsia="zh-CN"/>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val="en-US" w:eastAsia="zh-CN"/>
        </w:rPr>
        <w:t>深化三大攻坚战信息公开</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打好脱贫攻坚战是我</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的重要工作，局党组紧紧围绕市委市政府“政治站位再拔高、工作标准再提升、帮扶力度再加码”的指示要求，认真分析研判形势，落实落细各项举措，推动我市东西部扶贫协作继续走在前列。推进过程中及时将东西扶贫协作和对口支援工作的年度工作方案、责任分解、年度项目完成情况、财政性资金安排及到位情况等信息进行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atLeast"/>
        <w:ind w:left="0" w:right="0" w:firstLine="640" w:firstLineChars="200"/>
        <w:jc w:val="both"/>
        <w:textAlignment w:val="auto"/>
        <w:rPr>
          <w:rFonts w:hint="eastAsia" w:ascii="黑体" w:hAnsi="黑体" w:eastAsia="黑体" w:cs="黑体"/>
          <w:b/>
          <w:i w:val="0"/>
          <w:caps w:val="0"/>
          <w:color w:val="000000"/>
          <w:spacing w:val="0"/>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细化财政信息公开</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根据信息公开要求，在规定时间内按照财政信息公开格式和内容要求，及时将《宁波市对口支援和区域合作局（原宁波市经济合作与投资促进局）2019年部门预算》、《宁波市经济合作与投资促进局2018年部门决算》在政务公开“财政信息”栏中公开。</w:t>
      </w:r>
    </w:p>
    <w:tbl>
      <w:tblPr>
        <w:tblStyle w:val="3"/>
        <w:tblW w:w="0" w:type="auto"/>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597"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ascii="Calibri" w:hAnsi="Calibri" w:eastAsia="宋体" w:cs="Times New Roman"/>
                <w:color w:val="000000"/>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ascii="Calibri" w:hAnsi="Calibri" w:eastAsia="宋体" w:cs="Times New Roman"/>
                <w:color w:val="000000"/>
                <w:kern w:val="0"/>
                <w:sz w:val="20"/>
                <w:szCs w:val="20"/>
                <w:lang w:val="en-US" w:eastAsia="zh-CN" w:bidi="ar"/>
              </w:rPr>
              <w:t>公开数量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3</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default" w:cs="Calibri"/>
                <w:color w:val="000000"/>
                <w:kern w:val="0"/>
                <w:sz w:val="21"/>
                <w:szCs w:val="21"/>
                <w:lang w:val="en-US" w:eastAsia="zh-CN" w:bidi="ar"/>
              </w:rPr>
            </w:pPr>
            <w:r>
              <w:rPr>
                <w:rFonts w:hint="eastAsia" w:cs="Calibri"/>
                <w:color w:val="000000"/>
                <w:kern w:val="0"/>
                <w:sz w:val="21"/>
                <w:szCs w:val="21"/>
                <w:lang w:val="en-US" w:eastAsia="zh-CN" w:bidi="ar"/>
              </w:rPr>
              <w:t>45</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rFonts w:hint="eastAsia" w:cs="Calibri"/>
                <w:color w:val="000000"/>
                <w:kern w:val="0"/>
                <w:sz w:val="21"/>
                <w:szCs w:val="21"/>
                <w:lang w:val="en-US" w:eastAsia="zh-CN" w:bidi="ar"/>
              </w:rPr>
            </w:pPr>
            <w:r>
              <w:rPr>
                <w:rFonts w:hint="eastAsia" w:cs="Calibri"/>
                <w:color w:val="000000"/>
                <w:kern w:val="0"/>
                <w:sz w:val="21"/>
                <w:szCs w:val="21"/>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atLeast"/>
        <w:ind w:left="0" w:right="0" w:firstLine="643" w:firstLineChars="200"/>
        <w:jc w:val="both"/>
        <w:textAlignment w:val="auto"/>
        <w:rPr>
          <w:rFonts w:hint="eastAsia" w:ascii="黑体" w:hAnsi="黑体" w:eastAsia="黑体" w:cs="黑体"/>
          <w:b/>
          <w:i w:val="0"/>
          <w:caps w:val="0"/>
          <w:color w:val="000000"/>
          <w:spacing w:val="0"/>
          <w:sz w:val="32"/>
          <w:szCs w:val="32"/>
        </w:rPr>
      </w:pPr>
      <w:r>
        <w:rPr>
          <w:rFonts w:hint="eastAsia" w:ascii="黑体" w:hAnsi="黑体" w:eastAsia="黑体" w:cs="黑体"/>
          <w:b/>
          <w:i w:val="0"/>
          <w:caps w:val="0"/>
          <w:color w:val="000000"/>
          <w:spacing w:val="0"/>
          <w:sz w:val="32"/>
          <w:szCs w:val="32"/>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329"/>
        <w:gridCol w:w="735"/>
        <w:gridCol w:w="765"/>
        <w:gridCol w:w="675"/>
        <w:gridCol w:w="810"/>
        <w:gridCol w:w="88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3801"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（本列数据的勾稽关系为：第一项加第二项之和，等于第三项加第四项之和）</w:t>
            </w:r>
          </w:p>
        </w:tc>
        <w:tc>
          <w:tcPr>
            <w:tcW w:w="5270"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380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735"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自然人</w:t>
            </w:r>
          </w:p>
        </w:tc>
        <w:tc>
          <w:tcPr>
            <w:tcW w:w="3846"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法人或其他组织</w:t>
            </w:r>
          </w:p>
        </w:tc>
        <w:tc>
          <w:tcPr>
            <w:tcW w:w="68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380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73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商业企业</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科研机构</w:t>
            </w:r>
          </w:p>
        </w:tc>
        <w:tc>
          <w:tcPr>
            <w:tcW w:w="81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社会公益组织</w:t>
            </w:r>
          </w:p>
        </w:tc>
        <w:tc>
          <w:tcPr>
            <w:tcW w:w="88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法律服务机构</w:t>
            </w:r>
          </w:p>
        </w:tc>
        <w:tc>
          <w:tcPr>
            <w:tcW w:w="71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其他</w:t>
            </w:r>
          </w:p>
        </w:tc>
        <w:tc>
          <w:tcPr>
            <w:tcW w:w="68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380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宋体" w:hAnsi="宋体" w:eastAsia="宋体" w:cs="宋体"/>
                <w:color w:val="000000"/>
                <w:kern w:val="0"/>
                <w:sz w:val="20"/>
                <w:szCs w:val="20"/>
                <w:lang w:val="en-US" w:eastAsia="zh-CN" w:bidi="ar"/>
              </w:rPr>
              <w:t>一、本年新收政府信息公开申请数量</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380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宋体" w:hAnsi="宋体" w:eastAsia="宋体" w:cs="宋体"/>
                <w:color w:val="000000"/>
                <w:kern w:val="0"/>
                <w:sz w:val="20"/>
                <w:szCs w:val="20"/>
                <w:lang w:val="en-US" w:eastAsia="zh-CN" w:bidi="ar"/>
              </w:rPr>
              <w:t>二、上年结转政府信息公开申请数量</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rPr>
            </w:pPr>
            <w:r>
              <w:rPr>
                <w:rFonts w:hint="eastAsia" w:ascii="宋体" w:hAnsi="宋体" w:eastAsia="宋体" w:cs="宋体"/>
                <w:color w:val="000000"/>
                <w:kern w:val="0"/>
                <w:sz w:val="20"/>
                <w:szCs w:val="20"/>
                <w:lang w:val="en-US" w:eastAsia="zh-CN" w:bidi="ar"/>
              </w:rPr>
              <w:t>三、本年度办理结果</w:t>
            </w:r>
          </w:p>
        </w:tc>
        <w:tc>
          <w:tcPr>
            <w:tcW w:w="318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（一）予以公开</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318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（二）部分公开（区分处理的，只计这一情形，不计其他情形）</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（三）不予公开</w:t>
            </w: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1.属于国家秘密</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2.其他法律行政法规禁止公开</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3.危及“三安全一稳定”</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4.保护第三方合法权益</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5.属于三类内部事务信息</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6.属于四类过程性信息</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7.属于行政执法案卷</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8.属于行政查询事项</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（四）无法提供</w:t>
            </w: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1.本机关不掌握相关政府信息</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2.没有现成信息需要另行制作</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3.补正后申请内容仍不明确</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（五）不予处理</w:t>
            </w: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1.信访举报投诉类申请</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2.重复申请</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3.要求提供公开出版物</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4.无正当理由大量反复申请</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232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5.要求行政机关确认或重新出具已获取信息</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318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（六）其他处理</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color w:val="000000"/>
                <w:sz w:val="24"/>
                <w:szCs w:val="24"/>
              </w:rPr>
            </w:pPr>
          </w:p>
        </w:tc>
        <w:tc>
          <w:tcPr>
            <w:tcW w:w="318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楷体" w:hAnsi="楷体" w:eastAsia="楷体" w:cs="楷体"/>
                <w:color w:val="000000"/>
                <w:kern w:val="0"/>
                <w:sz w:val="20"/>
                <w:szCs w:val="20"/>
                <w:lang w:val="en-US" w:eastAsia="zh-CN" w:bidi="ar"/>
              </w:rPr>
              <w:t>（七）总计</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380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left"/>
              <w:textAlignment w:val="auto"/>
              <w:rPr>
                <w:color w:val="000000"/>
              </w:rPr>
            </w:pPr>
            <w:r>
              <w:rPr>
                <w:rFonts w:hint="eastAsia" w:ascii="宋体" w:hAnsi="宋体" w:eastAsia="宋体" w:cs="宋体"/>
                <w:color w:val="000000"/>
                <w:kern w:val="0"/>
                <w:sz w:val="20"/>
                <w:szCs w:val="20"/>
                <w:lang w:val="en-US" w:eastAsia="zh-CN" w:bidi="ar"/>
              </w:rPr>
              <w:t>四、结转下年度继续办理</w:t>
            </w:r>
          </w:p>
        </w:tc>
        <w:tc>
          <w:tcPr>
            <w:tcW w:w="7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0" w:right="0"/>
              <w:jc w:val="center"/>
              <w:textAlignment w:val="auto"/>
              <w:rPr>
                <w:color w:val="000000"/>
                <w:sz w:val="21"/>
                <w:szCs w:val="21"/>
              </w:rPr>
            </w:pPr>
            <w:r>
              <w:rPr>
                <w:rFonts w:hint="eastAsia" w:cs="Calibri"/>
                <w:color w:val="000000"/>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eastAsia="宋体"/>
                <w:color w:val="000000"/>
                <w:sz w:val="21"/>
                <w:szCs w:val="21"/>
                <w:lang w:val="en-US" w:eastAsia="zh-CN"/>
              </w:rPr>
            </w:pPr>
            <w:r>
              <w:rPr>
                <w:rFonts w:hint="eastAsia" w:ascii="宋体"/>
                <w:color w:val="000000"/>
                <w:sz w:val="21"/>
                <w:szCs w:val="21"/>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i w:val="0"/>
          <w:caps w:val="0"/>
          <w:color w:val="00000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atLeast"/>
        <w:ind w:left="0" w:right="0" w:firstLine="643" w:firstLineChars="200"/>
        <w:jc w:val="both"/>
        <w:textAlignment w:val="auto"/>
        <w:rPr>
          <w:rFonts w:hint="eastAsia" w:ascii="黑体" w:hAnsi="黑体" w:eastAsia="黑体" w:cs="黑体"/>
          <w:b/>
          <w:i w:val="0"/>
          <w:caps w:val="0"/>
          <w:color w:val="000000"/>
          <w:spacing w:val="0"/>
          <w:sz w:val="32"/>
          <w:szCs w:val="32"/>
        </w:rPr>
      </w:pPr>
      <w:r>
        <w:rPr>
          <w:rFonts w:hint="eastAsia" w:ascii="黑体" w:hAnsi="黑体" w:eastAsia="黑体" w:cs="黑体"/>
          <w:b/>
          <w:i w:val="0"/>
          <w:caps w:val="0"/>
          <w:color w:val="000000"/>
          <w:spacing w:val="0"/>
          <w:sz w:val="32"/>
          <w:szCs w:val="32"/>
        </w:rPr>
        <w:t>四、政府信息公开行政复议、行政诉讼情况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color w:val="000000"/>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color w:val="000000"/>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hint="eastAsia" w:ascii="宋体"/>
                <w:color w:val="000000"/>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hint="eastAsia" w:ascii="宋体"/>
                <w:color w:val="000000"/>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hint="eastAsia" w:ascii="宋体"/>
                <w:color w:val="000000"/>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cs="Calibri"/>
                <w:color w:val="000000"/>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cs="Calibri"/>
                <w:color w:val="000000"/>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cs="Calibri"/>
                <w:color w:val="000000"/>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cs="Calibri"/>
                <w:color w:val="000000"/>
                <w:kern w:val="0"/>
                <w:sz w:val="20"/>
                <w:szCs w:val="20"/>
                <w:lang w:val="en-US" w:eastAsia="zh-CN" w:bidi="ar"/>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cs="Calibri"/>
                <w:color w:val="000000"/>
                <w:kern w:val="0"/>
                <w:sz w:val="20"/>
                <w:szCs w:val="20"/>
                <w:lang w:val="en-US" w:eastAsia="zh-CN" w:bidi="ar"/>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cs="宋体"/>
                <w:color w:val="000000"/>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cs="宋体"/>
                <w:color w:val="000000"/>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cs="宋体"/>
                <w:color w:val="000000"/>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cs="宋体"/>
                <w:color w:val="000000"/>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cs="宋体"/>
                <w:color w:val="000000"/>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cs="宋体"/>
                <w:color w:val="000000"/>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cs="宋体"/>
                <w:color w:val="000000"/>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cs="宋体"/>
                <w:color w:val="000000"/>
                <w:kern w:val="0"/>
                <w:sz w:val="20"/>
                <w:szCs w:val="20"/>
                <w:lang w:val="en-US" w:eastAsia="zh-CN" w:bidi="ar"/>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cs="宋体"/>
                <w:color w:val="000000"/>
                <w:kern w:val="0"/>
                <w:sz w:val="20"/>
                <w:szCs w:val="20"/>
                <w:lang w:val="en-US" w:eastAsia="zh-CN" w:bidi="ar"/>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eastAsia="宋体"/>
                <w:color w:val="000000"/>
                <w:sz w:val="24"/>
                <w:szCs w:val="24"/>
                <w:lang w:val="en-US" w:eastAsia="zh-CN"/>
              </w:rPr>
            </w:pPr>
            <w:r>
              <w:rPr>
                <w:rFonts w:hint="eastAsia" w:ascii="宋体"/>
                <w:color w:val="000000"/>
                <w:sz w:val="24"/>
                <w:szCs w:val="24"/>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atLeast"/>
        <w:ind w:left="0" w:right="0" w:firstLine="643" w:firstLineChars="200"/>
        <w:jc w:val="both"/>
        <w:textAlignment w:val="auto"/>
        <w:rPr>
          <w:rFonts w:hint="eastAsia" w:ascii="黑体" w:hAnsi="黑体" w:eastAsia="黑体" w:cs="黑体"/>
          <w:b/>
          <w:i w:val="0"/>
          <w:caps w:val="0"/>
          <w:color w:val="000000"/>
          <w:spacing w:val="0"/>
          <w:sz w:val="32"/>
          <w:szCs w:val="32"/>
        </w:rPr>
      </w:pPr>
      <w:r>
        <w:rPr>
          <w:rFonts w:hint="eastAsia" w:ascii="黑体" w:hAnsi="黑体" w:eastAsia="黑体" w:cs="黑体"/>
          <w:b/>
          <w:i w:val="0"/>
          <w:caps w:val="0"/>
          <w:color w:val="000000"/>
          <w:spacing w:val="0"/>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年度，市</w:t>
      </w:r>
      <w:r>
        <w:rPr>
          <w:rFonts w:hint="eastAsia" w:ascii="仿宋_GB2312" w:hAnsi="仿宋_GB2312" w:eastAsia="仿宋_GB2312" w:cs="仿宋_GB2312"/>
          <w:sz w:val="32"/>
          <w:szCs w:val="32"/>
          <w:lang w:val="en-US" w:eastAsia="zh-CN"/>
        </w:rPr>
        <w:t>对口支援和区域合作</w:t>
      </w:r>
      <w:r>
        <w:rPr>
          <w:rFonts w:hint="eastAsia" w:ascii="仿宋_GB2312" w:hAnsi="仿宋_GB2312" w:eastAsia="仿宋_GB2312" w:cs="仿宋_GB2312"/>
          <w:sz w:val="32"/>
          <w:szCs w:val="32"/>
        </w:rPr>
        <w:t>局政府信息公开工作虽然取得了一些成绩，但在信息公开的全面性、主动性、及时性、规范性等方面还有待进一步加强。结合工作中的不足，下步重点从以下方面改进：一是进一步探索政府信息公开工作的新思路、新方法</w:t>
      </w:r>
      <w:r>
        <w:rPr>
          <w:rFonts w:hint="eastAsia" w:ascii="仿宋_GB2312" w:hAnsi="仿宋_GB2312" w:eastAsia="仿宋_GB2312" w:cs="仿宋_GB2312"/>
          <w:sz w:val="32"/>
          <w:szCs w:val="32"/>
          <w:lang w:eastAsia="zh-CN"/>
        </w:rPr>
        <w:t>、新载体</w:t>
      </w:r>
      <w:r>
        <w:rPr>
          <w:rFonts w:hint="eastAsia" w:ascii="仿宋_GB2312" w:hAnsi="仿宋_GB2312" w:eastAsia="仿宋_GB2312" w:cs="仿宋_GB2312"/>
          <w:sz w:val="32"/>
          <w:szCs w:val="32"/>
        </w:rPr>
        <w:t>；二是进一步规范完善信息公开制度；三是进一步加大公开力度，及时、全面向社会公开政府信息。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atLeast"/>
        <w:ind w:left="0" w:right="0" w:firstLine="643" w:firstLineChars="200"/>
        <w:jc w:val="both"/>
        <w:textAlignment w:val="auto"/>
        <w:rPr>
          <w:rFonts w:hint="eastAsia" w:ascii="黑体" w:hAnsi="黑体" w:eastAsia="黑体" w:cs="黑体"/>
          <w:b/>
          <w:i w:val="0"/>
          <w:caps w:val="0"/>
          <w:color w:val="000000"/>
          <w:spacing w:val="0"/>
          <w:sz w:val="32"/>
          <w:szCs w:val="32"/>
        </w:rPr>
      </w:pPr>
      <w:r>
        <w:rPr>
          <w:rFonts w:hint="eastAsia" w:ascii="黑体" w:hAnsi="黑体" w:eastAsia="黑体" w:cs="黑体"/>
          <w:b/>
          <w:i w:val="0"/>
          <w:caps w:val="0"/>
          <w:color w:val="000000"/>
          <w:spacing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jc w:val="both"/>
        <w:textAlignment w:val="auto"/>
        <w:rPr>
          <w:rFonts w:hint="eastAsia" w:ascii="仿宋_GB2312" w:hAnsi="仿宋_GB2312" w:eastAsia="仿宋_GB2312" w:cs="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rFonts w:hint="eastAsia" w:ascii="宋体" w:hAnsi="宋体" w:eastAsia="宋体" w:cs="宋体"/>
          <w:i w:val="0"/>
          <w:caps w:val="0"/>
          <w:color w:val="000000"/>
          <w:spacing w:val="0"/>
          <w:sz w:val="24"/>
          <w:szCs w:val="24"/>
        </w:rPr>
      </w:pPr>
    </w:p>
    <w:p/>
    <w:sectPr>
      <w:pgSz w:w="11906" w:h="16838"/>
      <w:pgMar w:top="2098" w:right="1587"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B3E13"/>
    <w:rsid w:val="1ABF70F8"/>
    <w:rsid w:val="288C0272"/>
    <w:rsid w:val="2A0B3E13"/>
    <w:rsid w:val="3371535B"/>
    <w:rsid w:val="53B2087F"/>
    <w:rsid w:val="5B613BF5"/>
    <w:rsid w:val="5EE77B7F"/>
    <w:rsid w:val="6A4E1B0F"/>
    <w:rsid w:val="725B5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742</Words>
  <Characters>758</Characters>
  <Lines>0</Lines>
  <Paragraphs>0</Paragraphs>
  <TotalTime>20</TotalTime>
  <ScaleCrop>false</ScaleCrop>
  <LinksUpToDate>false</LinksUpToDate>
  <CharactersWithSpaces>955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2020-01-19T01:31:00Z</dcterms:created>
  <dc:creator>东海鼠</dc:creator>
  <cp:lastModifiedBy>东海鼠</cp:lastModifiedBy>
  <dcterms:modified xsi:type="dcterms:W3CDTF">2020-01-19T02:44:10Z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