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8079E">
      <w:pPr>
        <w:widowControl/>
        <w:spacing w:line="432" w:lineRule="atLeast"/>
        <w:jc w:val="center"/>
        <w:rPr>
          <w:rFonts w:ascii="文星简小标宋" w:hAnsi="宋体" w:eastAsia="文星简小标宋" w:cs="宋体"/>
          <w:bCs/>
          <w:color w:val="000000"/>
          <w:kern w:val="0"/>
          <w:sz w:val="44"/>
          <w:szCs w:val="44"/>
        </w:rPr>
      </w:pPr>
      <w:r>
        <w:rPr>
          <w:rFonts w:hint="eastAsia" w:ascii="文星简小标宋" w:hAnsi="宋体" w:eastAsia="文星简小标宋" w:cs="宋体"/>
          <w:bCs/>
          <w:color w:val="000000"/>
          <w:kern w:val="0"/>
          <w:sz w:val="44"/>
          <w:szCs w:val="44"/>
        </w:rPr>
        <w:t>海宁市卫生健康局2020年信息公开工作</w:t>
      </w:r>
    </w:p>
    <w:p w14:paraId="13BE7286">
      <w:pPr>
        <w:widowControl/>
        <w:spacing w:line="432" w:lineRule="atLeast"/>
        <w:jc w:val="center"/>
        <w:rPr>
          <w:rFonts w:ascii="文星简小标宋" w:hAnsi="宋体" w:eastAsia="文星简小标宋" w:cs="宋体"/>
          <w:color w:val="000000"/>
          <w:kern w:val="0"/>
          <w:sz w:val="44"/>
          <w:szCs w:val="44"/>
        </w:rPr>
      </w:pPr>
      <w:r>
        <w:rPr>
          <w:rFonts w:hint="eastAsia" w:ascii="文星简小标宋" w:hAnsi="宋体" w:eastAsia="文星简小标宋" w:cs="宋体"/>
          <w:bCs/>
          <w:color w:val="000000"/>
          <w:kern w:val="0"/>
          <w:sz w:val="44"/>
          <w:szCs w:val="44"/>
        </w:rPr>
        <w:t>年度报告</w:t>
      </w:r>
    </w:p>
    <w:p w14:paraId="6C1657E2">
      <w:pPr>
        <w:spacing w:line="600" w:lineRule="exact"/>
        <w:ind w:firstLine="640" w:firstLineChars="200"/>
        <w:rPr>
          <w:rFonts w:ascii="仿宋_GB2312" w:hAnsi="宋体" w:eastAsia="仿宋_GB2312"/>
          <w:color w:val="000000"/>
          <w:sz w:val="32"/>
          <w:szCs w:val="32"/>
        </w:rPr>
      </w:pPr>
    </w:p>
    <w:p w14:paraId="3A4979D7">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2020年，海宁市卫生健康局认真贯彻落实上级政务信息公开相关要求，严格遵守《中华人民共和国政府信息公开条例》，根据实际调整信息公开栏目，及时公开医疗卫生服务领域的重大决策、行政执法、行政管理、医疗服务、政策结果等信息，切实保障群众知情权、参与权、表达权和监督权，提高工作透明度，规范法治单位建设。现将本年度工作落实情况自查报告如下：</w:t>
      </w:r>
    </w:p>
    <w:p w14:paraId="65653BBF">
      <w:pPr>
        <w:widowControl/>
        <w:adjustRightInd w:val="0"/>
        <w:snapToGrid w:val="0"/>
        <w:spacing w:line="560" w:lineRule="exact"/>
        <w:ind w:firstLine="480"/>
        <w:rPr>
          <w:rFonts w:ascii="黑体" w:hAnsi="黑体" w:eastAsia="黑体" w:cs="宋体"/>
          <w:color w:val="000000"/>
          <w:kern w:val="0"/>
          <w:sz w:val="32"/>
          <w:szCs w:val="32"/>
        </w:rPr>
      </w:pPr>
      <w:r>
        <w:rPr>
          <w:rFonts w:hint="eastAsia" w:ascii="黑体" w:hAnsi="黑体" w:eastAsia="黑体" w:cs="宋体"/>
          <w:bCs/>
          <w:color w:val="000000"/>
          <w:kern w:val="0"/>
          <w:sz w:val="32"/>
          <w:szCs w:val="32"/>
        </w:rPr>
        <w:t>一、总体情况</w:t>
      </w:r>
    </w:p>
    <w:p w14:paraId="5148A947">
      <w:pPr>
        <w:widowControl/>
        <w:adjustRightInd w:val="0"/>
        <w:snapToGrid w:val="0"/>
        <w:spacing w:after="240" w:line="560" w:lineRule="exact"/>
        <w:ind w:firstLine="482"/>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2020年通过海宁市政务信息公开网等各种载体向社会主动公开各类政府信</w:t>
      </w:r>
      <w:r>
        <w:rPr>
          <w:rFonts w:hint="eastAsia" w:ascii="仿宋_GB2312" w:hAnsi="宋体" w:eastAsia="仿宋_GB2312"/>
          <w:color w:val="000000"/>
          <w:sz w:val="32"/>
          <w:szCs w:val="32"/>
        </w:rPr>
        <w:t>息758条，</w:t>
      </w:r>
      <w:r>
        <w:rPr>
          <w:rFonts w:hint="eastAsia" w:ascii="仿宋_GB2312" w:hAnsi="宋体" w:eastAsia="仿宋_GB2312" w:cs="宋体"/>
          <w:bCs/>
          <w:color w:val="000000"/>
          <w:kern w:val="0"/>
          <w:sz w:val="32"/>
          <w:szCs w:val="32"/>
        </w:rPr>
        <w:t>收到个人申请公开文件</w:t>
      </w:r>
      <w:r>
        <w:rPr>
          <w:rFonts w:hint="eastAsia" w:ascii="仿宋_GB2312" w:hAnsi="宋体" w:eastAsia="仿宋_GB2312" w:cs="宋体"/>
          <w:bCs/>
          <w:color w:val="000000" w:themeColor="text1"/>
          <w:kern w:val="0"/>
          <w:sz w:val="32"/>
          <w:szCs w:val="32"/>
        </w:rPr>
        <w:t>2件</w:t>
      </w:r>
      <w:r>
        <w:rPr>
          <w:rFonts w:hint="eastAsia" w:ascii="仿宋_GB2312" w:hAnsi="宋体" w:eastAsia="仿宋_GB2312" w:cs="宋体"/>
          <w:bCs/>
          <w:color w:val="000000"/>
          <w:kern w:val="0"/>
          <w:sz w:val="32"/>
          <w:szCs w:val="32"/>
        </w:rPr>
        <w:t>。</w:t>
      </w:r>
    </w:p>
    <w:p w14:paraId="2EBB86B8">
      <w:pPr>
        <w:pStyle w:val="4"/>
        <w:adjustRightInd w:val="0"/>
        <w:snapToGrid w:val="0"/>
        <w:spacing w:line="560" w:lineRule="exact"/>
        <w:ind w:firstLine="420"/>
        <w:rPr>
          <w:rFonts w:ascii="仿宋_GB2312" w:eastAsia="仿宋_GB2312"/>
          <w:bCs/>
          <w:color w:val="000000"/>
          <w:sz w:val="32"/>
          <w:szCs w:val="32"/>
        </w:rPr>
      </w:pPr>
      <w:r>
        <w:rPr>
          <w:rFonts w:hint="eastAsia" w:ascii="楷体_GB2312" w:eastAsia="楷体_GB2312"/>
          <w:bCs/>
          <w:color w:val="000000"/>
          <w:sz w:val="32"/>
          <w:szCs w:val="32"/>
        </w:rPr>
        <w:t>（一）加大公开深度和广度。</w:t>
      </w:r>
      <w:r>
        <w:rPr>
          <w:rFonts w:hint="eastAsia" w:ascii="仿宋_GB2312" w:eastAsia="仿宋_GB2312"/>
          <w:bCs/>
          <w:color w:val="000000"/>
          <w:sz w:val="32"/>
          <w:szCs w:val="32"/>
        </w:rPr>
        <w:t>加强重大政策公开力度，认真贯彻相关条例及上级要求，对卫生健康领域的重要政策出台、重点工作推进、重大事件发生时做到及时公开与回应。如今年通过海宁市政务信息公开平台公开了《海宁市卫生健康局小型工程建设项目招标采购管理办法》《海宁市70周岁以上老年人免费接种流感疫苗项目实施方案》等80条覆盖全人群、全方位的健康政策文件。落实资金管理公开，对部门预决算、绩效考核补助资金、专项资金管理等内容进行公开，按要求公开2019年部门决算及2020年部门预算情况，接受群众监督。根据职能调整后，及时对行政执法、行政调解权利义务清单进行公示，并通过听证座谈、咨询协商等多种形式，广泛听取公众意见，维护法制公平公正，今年未有当事人申请听证会。深化行政执法公开深度，全面推行行政执法公示制度。2020年依法在浙江省政务服务网上公开联办事项1项、行政许可权力59项、行政处罚权力368项、行政强制权力20项、行政征收权力1项、行政给付权力6项、行政裁决权力1项、行政确认权力5项、行政奖励权力6项、行政检查26项、其他行政权力9项、公共服务12项。全年在海宁市政务信息公开网以及浙江省政务服务网实时公开行政处罚案件以及双随机检查结果，包括行政执法职责、执法依据、执法标准、执法程序、监督途径等，公开行政处罚案件 457起，公开双随机检查结果</w:t>
      </w:r>
      <w:r>
        <w:rPr>
          <w:rFonts w:hint="eastAsia" w:ascii="仿宋_GB2312" w:eastAsia="仿宋_GB2312"/>
          <w:bCs/>
          <w:sz w:val="32"/>
          <w:szCs w:val="32"/>
        </w:rPr>
        <w:t>7次</w:t>
      </w:r>
      <w:r>
        <w:rPr>
          <w:rFonts w:hint="eastAsia" w:ascii="仿宋_GB2312" w:eastAsia="仿宋_GB2312"/>
          <w:bCs/>
          <w:color w:val="000000"/>
          <w:sz w:val="32"/>
          <w:szCs w:val="32"/>
        </w:rPr>
        <w:t>。</w:t>
      </w:r>
    </w:p>
    <w:p w14:paraId="336F0F1F">
      <w:pPr>
        <w:widowControl/>
        <w:adjustRightInd w:val="0"/>
        <w:snapToGrid w:val="0"/>
        <w:spacing w:after="240" w:line="560" w:lineRule="exact"/>
        <w:ind w:firstLine="640" w:firstLineChars="200"/>
        <w:rPr>
          <w:rFonts w:ascii="仿宋_GB2312" w:hAnsi="宋体" w:eastAsia="仿宋_GB2312" w:cs="宋体"/>
          <w:bCs/>
          <w:color w:val="000000"/>
          <w:kern w:val="0"/>
          <w:sz w:val="32"/>
          <w:szCs w:val="32"/>
        </w:rPr>
      </w:pPr>
      <w:r>
        <w:rPr>
          <w:rFonts w:hint="eastAsia" w:ascii="楷体_GB2312" w:hAnsi="宋体" w:eastAsia="楷体_GB2312" w:cs="宋体"/>
          <w:bCs/>
          <w:color w:val="000000"/>
          <w:kern w:val="0"/>
          <w:sz w:val="32"/>
          <w:szCs w:val="32"/>
        </w:rPr>
        <w:t>（二）深化重点领域信息公开。</w:t>
      </w:r>
      <w:r>
        <w:rPr>
          <w:rFonts w:hint="eastAsia" w:ascii="仿宋_GB2312" w:hAnsi="宋体" w:eastAsia="仿宋_GB2312" w:cs="宋体"/>
          <w:bCs/>
          <w:color w:val="000000"/>
          <w:kern w:val="0"/>
          <w:sz w:val="32"/>
          <w:szCs w:val="32"/>
        </w:rPr>
        <w:t>1.做好突发事件和特殊人群政策公开力度。针对突发事件，及时做好信息公开，保证信息准确性。结合疫情防控，依法及时做好疫情防控常态化下政策、措施以及传染病防治等信息公开，为打赢疫情防控阻击战提供坚强保障。今年公开相关政策、措施等24件。对于计划生育特殊家庭的补助关怀政策以及相关资金使用做到及时公开。如《2020年度海宁市计划生育特殊困难家庭政策执行情况》。2.强化民生热点信息公开力度。对于群众关心的医疗卫生热点、难点问题，特别是服务态度、服务质量和医疗费用等，加大公开力度。通过海宁政务信息公开平台加大医疗服务、疫苗监管、疫情防控政策措施等信息公开力度，并将水质监测、水龙头监测、阳光用药、医疗服务收费等民生关注热点作为主要信息公开，切实保障民生权利；并通过“健康海宁”公众号、医疗机构微信公众号等便捷快速方式强化医疗便民惠民政策举措发布。对于重大建设项目、用药目录清单等信息及时公开，健全建设项目审批和实施信息公开工作机制。全面公开水质监测结果2次，公开用户水孔头监测结果4次。</w:t>
      </w:r>
    </w:p>
    <w:p w14:paraId="1FB76570">
      <w:pPr>
        <w:widowControl/>
        <w:adjustRightInd w:val="0"/>
        <w:snapToGrid w:val="0"/>
        <w:spacing w:after="240" w:line="560" w:lineRule="exact"/>
        <w:ind w:firstLine="640" w:firstLineChars="200"/>
        <w:rPr>
          <w:rFonts w:ascii="仿宋_GB2312" w:hAnsi="宋体" w:eastAsia="仿宋_GB2312" w:cs="宋体"/>
          <w:bCs/>
          <w:color w:val="000000"/>
          <w:kern w:val="0"/>
          <w:sz w:val="32"/>
          <w:szCs w:val="32"/>
        </w:rPr>
      </w:pPr>
      <w:r>
        <w:rPr>
          <w:rFonts w:hint="eastAsia" w:ascii="楷体_GB2312" w:hAnsi="宋体" w:eastAsia="楷体_GB2312" w:cs="宋体"/>
          <w:bCs/>
          <w:color w:val="000000"/>
          <w:kern w:val="0"/>
          <w:sz w:val="32"/>
          <w:szCs w:val="32"/>
        </w:rPr>
        <w:t>（三）深化政民互动。</w:t>
      </w:r>
      <w:r>
        <w:rPr>
          <w:rFonts w:hint="eastAsia" w:ascii="仿宋_GB2312" w:hAnsi="宋体" w:eastAsia="仿宋_GB2312" w:cs="宋体"/>
          <w:bCs/>
          <w:color w:val="000000"/>
          <w:kern w:val="0"/>
          <w:sz w:val="32"/>
          <w:szCs w:val="32"/>
        </w:rPr>
        <w:t>运用网站、新媒体等互联网模式及时回应群众热点。如群众关注较多的疫情防控、家庭医生签约、心理健康体系建设等卫生健康热点、难点做到第一时间回应，今年通过海宁市政务信息公开平台公开民生热点27条；持续做好人大代表建议和政协提案办理结果公开工作，共公开人大代表建议和政协提案26条；在海宁市政务信息公开平台公开本单位信访接待室电话，落实专人专线负责接待群众信访，做到群众投诉、举报等信访答复100%。2020年全省统一政务咨询投诉举报平台共收到相关信访件345件，做到及时受理，及时反馈，答复率100%，切实提高群众满意度。</w:t>
      </w:r>
    </w:p>
    <w:p w14:paraId="1B9667FC">
      <w:pPr>
        <w:widowControl/>
        <w:adjustRightInd w:val="0"/>
        <w:snapToGrid w:val="0"/>
        <w:spacing w:after="240" w:line="560" w:lineRule="exact"/>
        <w:ind w:firstLine="482"/>
        <w:rPr>
          <w:rFonts w:ascii="仿宋_GB2312" w:hAnsi="宋体" w:eastAsia="仿宋_GB2312" w:cs="宋体"/>
          <w:bCs/>
          <w:kern w:val="0"/>
          <w:sz w:val="32"/>
          <w:szCs w:val="32"/>
        </w:rPr>
      </w:pPr>
      <w:r>
        <w:rPr>
          <w:rFonts w:hint="eastAsia" w:ascii="楷体_GB2312" w:hAnsi="宋体" w:eastAsia="楷体_GB2312" w:cs="宋体"/>
          <w:bCs/>
          <w:color w:val="000000"/>
          <w:kern w:val="0"/>
          <w:sz w:val="32"/>
          <w:szCs w:val="32"/>
        </w:rPr>
        <w:t>（四）加强政务公开平台建设。1.</w:t>
      </w:r>
      <w:r>
        <w:rPr>
          <w:rFonts w:hint="eastAsia" w:ascii="仿宋_GB2312" w:hAnsi="宋体" w:eastAsia="仿宋_GB2312" w:cs="宋体"/>
          <w:bCs/>
          <w:color w:val="000000"/>
          <w:kern w:val="0"/>
          <w:sz w:val="32"/>
          <w:szCs w:val="32"/>
        </w:rPr>
        <w:t>强化“最多跑一次”卫生改革信息公开。围绕“最多跑一次”改革新举措，通过政务信息公开平台的政务活动栏目以及微信公众号、海宁日报等媒体及时公开。全年共公开互联网+医疗、“云胶片”等“最多跑一次”事项14项。做好“出生一件事”、“生育登记”等网上办理工作，切实做到数据多跑路、群众少跑路，全年共办理生育登记3945件，“出生一件事”联办372件。2.强化新媒体健康发展。在微博、微信等新媒体上做好信息发布、政策解读和办事服务工作，规范制度发布流程和审核机，保障新媒体健康良好发展。在“健康海宁”微信公众号以及“海宁卫生”微博</w:t>
      </w:r>
      <w:r>
        <w:rPr>
          <w:rFonts w:hint="eastAsia" w:ascii="仿宋_GB2312" w:hAnsi="宋体" w:eastAsia="仿宋_GB2312" w:cs="宋体"/>
          <w:bCs/>
          <w:kern w:val="0"/>
          <w:sz w:val="32"/>
          <w:szCs w:val="32"/>
        </w:rPr>
        <w:t>发布文章312篇，截止目前“健康海宁”微信公众号关注人数33546人，比2019年增加32%。</w:t>
      </w:r>
    </w:p>
    <w:p w14:paraId="60CF6C39">
      <w:pPr>
        <w:widowControl/>
        <w:adjustRightInd w:val="0"/>
        <w:snapToGrid w:val="0"/>
        <w:spacing w:after="240" w:line="560" w:lineRule="exact"/>
        <w:ind w:firstLine="482"/>
        <w:rPr>
          <w:rFonts w:ascii="仿宋_GB2312" w:hAnsi="宋体" w:eastAsia="仿宋_GB2312" w:cs="宋体"/>
          <w:bCs/>
          <w:color w:val="000000"/>
          <w:kern w:val="0"/>
          <w:sz w:val="32"/>
          <w:szCs w:val="32"/>
        </w:rPr>
      </w:pPr>
      <w:r>
        <w:rPr>
          <w:rFonts w:hint="eastAsia" w:ascii="楷体_GB2312" w:hAnsi="宋体" w:eastAsia="楷体_GB2312" w:cs="宋体"/>
          <w:bCs/>
          <w:color w:val="000000"/>
          <w:kern w:val="0"/>
          <w:sz w:val="32"/>
          <w:szCs w:val="32"/>
        </w:rPr>
        <w:t>（五）加强组织领导和监督保障。</w:t>
      </w:r>
      <w:r>
        <w:rPr>
          <w:rFonts w:hint="eastAsia" w:ascii="仿宋_GB2312" w:hAnsi="宋体" w:eastAsia="仿宋_GB2312" w:cs="宋体"/>
          <w:bCs/>
          <w:color w:val="000000"/>
          <w:kern w:val="0"/>
          <w:sz w:val="32"/>
          <w:szCs w:val="32"/>
        </w:rPr>
        <w:t>1.组织领导力再强化。根据领导职能调整，及时调整信息公开工作领导小组第一责任人，形成主要领导亲自抓、分管领导具体抓的责任机制，由局办公室具体负责政务信息公开的组织、指导、协调以及督查。配备政府信息公开工作兼职工作人员2名，负责海宁市门户网站、微信公众号、微博等信息平台的新闻、行政审批以及行政处罚信息发布。2.公开流程再规范。严格落实网络意识形态</w:t>
      </w:r>
      <w:r>
        <w:rPr>
          <w:rFonts w:hint="eastAsia" w:ascii="仿宋_GB2312" w:hAnsi="宋体" w:eastAsia="仿宋_GB2312" w:cs="宋体"/>
          <w:bCs/>
          <w:color w:val="000000"/>
          <w:kern w:val="0"/>
          <w:sz w:val="32"/>
          <w:szCs w:val="32"/>
          <w:lang w:eastAsia="zh-CN"/>
        </w:rPr>
        <w:t>工作</w:t>
      </w:r>
      <w:bookmarkStart w:id="0" w:name="_GoBack"/>
      <w:bookmarkEnd w:id="0"/>
      <w:r>
        <w:rPr>
          <w:rFonts w:hint="eastAsia" w:ascii="仿宋_GB2312" w:hAnsi="宋体" w:eastAsia="仿宋_GB2312" w:cs="宋体"/>
          <w:bCs/>
          <w:color w:val="000000"/>
          <w:kern w:val="0"/>
          <w:sz w:val="32"/>
          <w:szCs w:val="32"/>
        </w:rPr>
        <w:t>责任制，强化政府信息公开审核制，切实把好政治关，做到不出现低级错误、政治错误；明确信息发布审核流程，各类信息发布前均由专人审核，再由办公室负责人复审，最后由分管领导审核后发布。3.制度水平再提升。全面贯彻落实新修订的《中华人民共和国政府信息公开条例》，结合疫情防控要求，及时调整公开采访制度，印发《海宁市卫生健康系统接受新闻媒体采访制度》，全面落实全市医疗卫生机构新闻媒体采访制度，明确接受嘉兴及以上媒体采访均需报局办审核，同时全市医疗卫生机构各单位确定1名新闻发言人，由机构负责人或分管领导负责，并组织全市医疗卫生机构负责人以及办公室主任开展新闻发言人培训，确保信息公开规范。</w:t>
      </w:r>
    </w:p>
    <w:p w14:paraId="65DB5E8F">
      <w:pPr>
        <w:widowControl/>
        <w:adjustRightInd w:val="0"/>
        <w:snapToGrid w:val="0"/>
        <w:spacing w:after="240" w:line="560" w:lineRule="exact"/>
        <w:ind w:firstLine="48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二、主动公开政府信息情况</w:t>
      </w:r>
    </w:p>
    <w:p w14:paraId="56AE5D95">
      <w:pPr>
        <w:pStyle w:val="4"/>
        <w:shd w:val="clear" w:color="auto" w:fill="FFFFFF"/>
        <w:adjustRightInd w:val="0"/>
        <w:snapToGrid w:val="0"/>
        <w:spacing w:line="560" w:lineRule="exact"/>
        <w:ind w:firstLine="480"/>
        <w:rPr>
          <w:rFonts w:ascii="仿宋_GB2312" w:hAnsi="仿宋" w:eastAsia="仿宋_GB2312" w:cs="仿宋"/>
          <w:bCs/>
          <w:color w:val="000000" w:themeColor="text1"/>
          <w:sz w:val="32"/>
          <w:szCs w:val="32"/>
        </w:rPr>
      </w:pPr>
      <w:r>
        <w:rPr>
          <w:rFonts w:hint="eastAsia" w:ascii="楷体_GB2312" w:hAnsi="仿宋" w:eastAsia="楷体_GB2312" w:cs="仿宋"/>
          <w:bCs/>
          <w:color w:val="000000" w:themeColor="text1"/>
          <w:sz w:val="32"/>
          <w:szCs w:val="32"/>
        </w:rPr>
        <w:t>（一）行政法规、规章和规范性文件。</w:t>
      </w:r>
      <w:r>
        <w:rPr>
          <w:rFonts w:hint="eastAsia" w:ascii="仿宋_GB2312" w:hAnsi="仿宋" w:eastAsia="仿宋_GB2312" w:cs="仿宋"/>
          <w:bCs/>
          <w:color w:val="000000" w:themeColor="text1"/>
          <w:sz w:val="32"/>
          <w:szCs w:val="32"/>
        </w:rPr>
        <w:t>全年发布规范性文件1件，《小型工程建设项目招标采购管理办法》。</w:t>
      </w:r>
    </w:p>
    <w:p w14:paraId="461F4721">
      <w:pPr>
        <w:pStyle w:val="4"/>
        <w:shd w:val="clear" w:color="auto" w:fill="FFFFFF"/>
        <w:adjustRightInd w:val="0"/>
        <w:snapToGrid w:val="0"/>
        <w:spacing w:before="0" w:beforeAutospacing="0" w:after="0" w:afterAutospacing="0" w:line="560" w:lineRule="exact"/>
        <w:ind w:firstLine="480"/>
        <w:jc w:val="both"/>
        <w:rPr>
          <w:rFonts w:ascii="仿宋" w:hAnsi="仿宋" w:eastAsia="仿宋" w:cs="仿宋"/>
          <w:bCs/>
          <w:color w:val="000000" w:themeColor="text1"/>
          <w:sz w:val="32"/>
          <w:szCs w:val="32"/>
        </w:rPr>
      </w:pPr>
      <w:r>
        <w:rPr>
          <w:rFonts w:hint="eastAsia" w:ascii="楷体_GB2312" w:hAnsi="仿宋" w:eastAsia="楷体_GB2312" w:cs="仿宋"/>
          <w:bCs/>
          <w:color w:val="000000" w:themeColor="text1"/>
          <w:sz w:val="32"/>
          <w:szCs w:val="32"/>
        </w:rPr>
        <w:t>（二）办理行政许可和其他对外管理服务事项的依据、条件、程序以及办理结果。</w:t>
      </w:r>
      <w:r>
        <w:rPr>
          <w:rFonts w:hint="eastAsia" w:ascii="仿宋_GB2312" w:hAnsi="仿宋" w:eastAsia="仿宋_GB2312" w:cs="仿宋"/>
          <w:bCs/>
          <w:color w:val="000000" w:themeColor="text1"/>
          <w:sz w:val="32"/>
          <w:szCs w:val="32"/>
        </w:rPr>
        <w:t>通过海宁市政务信息公开平台公布对外管理服务事项的依据文件1件，为海宁市卫生健康局市场准入负面清单，通过海宁政务信息公开平台公布行政许可32件。</w:t>
      </w:r>
    </w:p>
    <w:p w14:paraId="55E60357">
      <w:pPr>
        <w:pStyle w:val="4"/>
        <w:shd w:val="clear" w:color="auto" w:fill="FFFFFF"/>
        <w:adjustRightInd w:val="0"/>
        <w:snapToGrid w:val="0"/>
        <w:spacing w:before="0" w:beforeAutospacing="0" w:after="0" w:afterAutospacing="0" w:line="560" w:lineRule="exact"/>
        <w:ind w:firstLine="480"/>
        <w:jc w:val="both"/>
        <w:rPr>
          <w:rFonts w:ascii="仿宋_GB2312" w:hAnsi="仿宋" w:eastAsia="仿宋_GB2312" w:cs="仿宋"/>
          <w:bCs/>
          <w:color w:val="000000" w:themeColor="text1"/>
          <w:sz w:val="32"/>
          <w:szCs w:val="32"/>
        </w:rPr>
      </w:pPr>
      <w:r>
        <w:rPr>
          <w:rFonts w:hint="eastAsia" w:ascii="楷体" w:hAnsi="楷体" w:eastAsia="楷体" w:cs="楷体"/>
          <w:bCs/>
          <w:color w:val="000000" w:themeColor="text1"/>
          <w:sz w:val="32"/>
          <w:szCs w:val="32"/>
        </w:rPr>
        <w:t>（三）实施行政处罚、行政强制的依据、条件、程序以及本行政机关认为具有一定社会影响的行政处罚决定。</w:t>
      </w:r>
      <w:r>
        <w:rPr>
          <w:rFonts w:hint="eastAsia" w:ascii="仿宋_GB2312" w:hAnsi="仿宋" w:eastAsia="仿宋_GB2312" w:cs="仿宋"/>
          <w:bCs/>
          <w:color w:val="000000" w:themeColor="text1"/>
          <w:sz w:val="32"/>
          <w:szCs w:val="32"/>
        </w:rPr>
        <w:t>全年通过海宁市政务信息公开平台以及浙江政务服务网公开的行政处罚共457件。</w:t>
      </w:r>
    </w:p>
    <w:p w14:paraId="643767A2">
      <w:pPr>
        <w:pStyle w:val="4"/>
        <w:shd w:val="clear" w:color="auto" w:fill="FFFFFF"/>
        <w:adjustRightInd w:val="0"/>
        <w:snapToGrid w:val="0"/>
        <w:spacing w:before="0" w:beforeAutospacing="0" w:after="0" w:afterAutospacing="0" w:line="560" w:lineRule="exact"/>
        <w:ind w:firstLine="480"/>
        <w:jc w:val="both"/>
        <w:rPr>
          <w:rFonts w:ascii="仿宋" w:hAnsi="仿宋" w:eastAsia="仿宋" w:cs="仿宋"/>
          <w:bCs/>
          <w:color w:val="000000" w:themeColor="text1"/>
          <w:sz w:val="32"/>
          <w:szCs w:val="32"/>
        </w:rPr>
      </w:pPr>
      <w:r>
        <w:rPr>
          <w:rFonts w:hint="eastAsia" w:ascii="楷体" w:hAnsi="楷体" w:eastAsia="楷体" w:cs="楷体"/>
          <w:bCs/>
          <w:color w:val="000000" w:themeColor="text1"/>
          <w:sz w:val="32"/>
          <w:szCs w:val="32"/>
        </w:rPr>
        <w:t>（四）行政事业性收费项目及其依据、标准。</w:t>
      </w:r>
      <w:r>
        <w:rPr>
          <w:rFonts w:hint="eastAsia" w:ascii="仿宋_GB2312" w:hAnsi="楷体" w:eastAsia="仿宋_GB2312" w:cs="楷体"/>
          <w:bCs/>
          <w:color w:val="000000" w:themeColor="text1"/>
          <w:sz w:val="32"/>
          <w:szCs w:val="32"/>
        </w:rPr>
        <w:t>通过海宁市政务信息公开平台公开行政事业收费项目依据标准0件。</w:t>
      </w:r>
      <w:r>
        <w:rPr>
          <w:rFonts w:ascii="仿宋" w:hAnsi="仿宋" w:eastAsia="仿宋" w:cs="仿宋"/>
          <w:bCs/>
          <w:color w:val="000000" w:themeColor="text1"/>
          <w:sz w:val="32"/>
          <w:szCs w:val="32"/>
        </w:rPr>
        <w:t xml:space="preserve"> </w:t>
      </w:r>
    </w:p>
    <w:p w14:paraId="6A5D7A87">
      <w:pPr>
        <w:pStyle w:val="4"/>
        <w:shd w:val="clear" w:color="auto" w:fill="FFFFFF"/>
        <w:adjustRightInd w:val="0"/>
        <w:snapToGrid w:val="0"/>
        <w:spacing w:before="0" w:beforeAutospacing="0" w:after="0" w:afterAutospacing="0" w:line="560" w:lineRule="exact"/>
        <w:ind w:firstLine="480"/>
        <w:jc w:val="both"/>
        <w:rPr>
          <w:rFonts w:ascii="仿宋_GB2312" w:hAnsi="仿宋" w:eastAsia="仿宋_GB2312" w:cs="仿宋"/>
          <w:bCs/>
          <w:color w:val="000000" w:themeColor="text1"/>
          <w:sz w:val="32"/>
          <w:szCs w:val="32"/>
        </w:rPr>
      </w:pPr>
      <w:r>
        <w:rPr>
          <w:rFonts w:hint="eastAsia" w:ascii="楷体_GB2312" w:hAnsi="仿宋" w:eastAsia="楷体_GB2312" w:cs="仿宋"/>
          <w:bCs/>
          <w:color w:val="000000" w:themeColor="text1"/>
          <w:sz w:val="32"/>
          <w:szCs w:val="32"/>
        </w:rPr>
        <w:t>（五）政府集中采购项目的目录、标准及实施情况。</w:t>
      </w:r>
      <w:r>
        <w:rPr>
          <w:rFonts w:hint="eastAsia" w:ascii="仿宋_GB2312" w:hAnsi="仿宋" w:eastAsia="仿宋_GB2312" w:cs="仿宋"/>
          <w:bCs/>
          <w:color w:val="000000" w:themeColor="text1"/>
          <w:sz w:val="32"/>
          <w:szCs w:val="32"/>
        </w:rPr>
        <w:t>通过海宁市政务信息公开平台公开政采购项目的目录、标准及实施情况0件。</w:t>
      </w:r>
    </w:p>
    <w:p w14:paraId="6551C059">
      <w:pPr>
        <w:pStyle w:val="4"/>
        <w:shd w:val="clear" w:color="auto" w:fill="FFFFFF"/>
        <w:adjustRightInd w:val="0"/>
        <w:snapToGrid w:val="0"/>
        <w:spacing w:before="0" w:beforeAutospacing="0" w:after="0" w:afterAutospacing="0" w:line="560" w:lineRule="exact"/>
        <w:ind w:firstLine="480"/>
        <w:jc w:val="both"/>
        <w:rPr>
          <w:rFonts w:ascii="仿宋_GB2312" w:hAnsi="仿宋" w:eastAsia="仿宋_GB2312" w:cs="仿宋"/>
          <w:bCs/>
          <w:color w:val="000000" w:themeColor="text1"/>
          <w:sz w:val="32"/>
          <w:szCs w:val="32"/>
        </w:rPr>
      </w:pPr>
    </w:p>
    <w:p w14:paraId="6262C814">
      <w:pPr>
        <w:pStyle w:val="4"/>
        <w:shd w:val="clear" w:color="auto" w:fill="FFFFFF"/>
        <w:adjustRightInd w:val="0"/>
        <w:snapToGrid w:val="0"/>
        <w:spacing w:before="0" w:beforeAutospacing="0" w:after="0" w:afterAutospacing="0" w:line="560" w:lineRule="exact"/>
        <w:ind w:firstLine="480"/>
        <w:jc w:val="both"/>
        <w:rPr>
          <w:rFonts w:ascii="仿宋_GB2312" w:hAnsi="仿宋" w:eastAsia="仿宋_GB2312" w:cs="仿宋"/>
          <w:bCs/>
          <w:color w:val="000000" w:themeColor="text1"/>
          <w:sz w:val="32"/>
          <w:szCs w:val="32"/>
        </w:rPr>
      </w:pP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14:paraId="1BC01A20">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79B19B7">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14:paraId="18CD8FEA">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729321">
            <w:pPr>
              <w:widowControl/>
              <w:jc w:val="center"/>
              <w:rPr>
                <w:rFonts w:ascii="宋体" w:hAnsi="宋体" w:cs="宋体"/>
                <w:color w:val="000000"/>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C25107A">
            <w:pPr>
              <w:widowControl/>
              <w:jc w:val="center"/>
              <w:rPr>
                <w:rFonts w:ascii="宋体" w:hAnsi="宋体" w:cs="宋体"/>
                <w:color w:val="000000"/>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color w:val="000000"/>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593B85">
            <w:pPr>
              <w:widowControl/>
              <w:jc w:val="center"/>
              <w:rPr>
                <w:rFonts w:ascii="宋体" w:hAnsi="宋体" w:cs="宋体"/>
                <w:color w:val="000000"/>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color w:val="000000"/>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38FE6CF">
            <w:pPr>
              <w:widowControl/>
              <w:jc w:val="center"/>
              <w:rPr>
                <w:rFonts w:ascii="宋体" w:hAnsi="宋体" w:cs="宋体"/>
                <w:color w:val="000000"/>
                <w:kern w:val="0"/>
                <w:sz w:val="24"/>
              </w:rPr>
            </w:pPr>
            <w:r>
              <w:rPr>
                <w:rFonts w:hint="eastAsia" w:ascii="宋体" w:hAnsi="宋体" w:cs="宋体"/>
                <w:color w:val="000000"/>
                <w:kern w:val="0"/>
                <w:sz w:val="20"/>
                <w:szCs w:val="20"/>
              </w:rPr>
              <w:t>对外公开总数量</w:t>
            </w:r>
          </w:p>
        </w:tc>
      </w:tr>
      <w:tr w14:paraId="6F0E262D">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6446C05">
            <w:pPr>
              <w:widowControl/>
              <w:jc w:val="left"/>
              <w:rPr>
                <w:rFonts w:ascii="宋体" w:hAnsi="宋体" w:cs="宋体"/>
                <w:color w:val="000000"/>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78A5D0">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9B06E4B">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9CE937A">
            <w:pPr>
              <w:widowControl/>
              <w:jc w:val="center"/>
              <w:rPr>
                <w:rFonts w:ascii="宋体" w:hAnsi="宋体" w:cs="宋体"/>
                <w:color w:val="000000"/>
                <w:kern w:val="0"/>
                <w:sz w:val="24"/>
              </w:rPr>
            </w:pPr>
            <w:r>
              <w:rPr>
                <w:rFonts w:hint="eastAsia" w:ascii="宋体" w:hAnsi="宋体" w:cs="宋体"/>
                <w:color w:val="000000"/>
                <w:kern w:val="0"/>
                <w:sz w:val="20"/>
                <w:szCs w:val="20"/>
              </w:rPr>
              <w:t>0</w:t>
            </w:r>
          </w:p>
        </w:tc>
      </w:tr>
      <w:tr w14:paraId="262E143C">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5F75D6">
            <w:pPr>
              <w:widowControl/>
              <w:jc w:val="left"/>
              <w:rPr>
                <w:rFonts w:ascii="宋体" w:hAnsi="宋体" w:cs="宋体"/>
                <w:color w:val="000000"/>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8C863EE">
            <w:pPr>
              <w:widowControl/>
              <w:jc w:val="center"/>
              <w:rPr>
                <w:rFonts w:ascii="宋体" w:hAnsi="宋体" w:cs="宋体"/>
                <w:color w:val="000000"/>
                <w:kern w:val="0"/>
                <w:sz w:val="24"/>
              </w:rPr>
            </w:pPr>
            <w:r>
              <w:rPr>
                <w:rFonts w:hint="eastAsia" w:ascii="宋体" w:hAnsi="宋体" w:cs="宋体"/>
                <w:color w:val="000000"/>
                <w:kern w:val="0"/>
                <w:sz w:val="20"/>
                <w:szCs w:val="20"/>
              </w:rPr>
              <w:t>1</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040A619">
            <w:pPr>
              <w:widowControl/>
              <w:jc w:val="center"/>
              <w:rPr>
                <w:rFonts w:ascii="宋体" w:hAnsi="宋体" w:cs="宋体"/>
                <w:color w:val="000000"/>
                <w:kern w:val="0"/>
                <w:sz w:val="24"/>
              </w:rPr>
            </w:pPr>
            <w:r>
              <w:rPr>
                <w:rFonts w:hint="eastAsia" w:ascii="宋体" w:hAnsi="宋体" w:cs="宋体"/>
                <w:color w:val="000000"/>
                <w:kern w:val="0"/>
                <w:sz w:val="20"/>
                <w:szCs w:val="20"/>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EB4E5D">
            <w:pPr>
              <w:widowControl/>
              <w:jc w:val="center"/>
              <w:rPr>
                <w:rFonts w:ascii="宋体" w:hAnsi="宋体" w:cs="宋体"/>
                <w:color w:val="000000"/>
                <w:kern w:val="0"/>
                <w:sz w:val="24"/>
              </w:rPr>
            </w:pPr>
            <w:r>
              <w:rPr>
                <w:rFonts w:hint="eastAsia" w:ascii="宋体" w:hAnsi="宋体" w:cs="宋体"/>
                <w:color w:val="000000"/>
                <w:kern w:val="0"/>
                <w:sz w:val="20"/>
                <w:szCs w:val="20"/>
              </w:rPr>
              <w:t>1</w:t>
            </w:r>
          </w:p>
        </w:tc>
      </w:tr>
      <w:tr w14:paraId="1ABA8B58">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BB613AE">
            <w:pPr>
              <w:widowControl/>
              <w:jc w:val="center"/>
              <w:rPr>
                <w:rFonts w:ascii="宋体" w:hAnsi="宋体" w:cs="宋体"/>
                <w:color w:val="000000"/>
                <w:kern w:val="0"/>
                <w:sz w:val="24"/>
              </w:rPr>
            </w:pPr>
            <w:r>
              <w:rPr>
                <w:rFonts w:hint="eastAsia" w:ascii="宋体" w:hAnsi="宋体" w:cs="宋体"/>
                <w:color w:val="000000"/>
                <w:kern w:val="0"/>
                <w:sz w:val="20"/>
                <w:szCs w:val="20"/>
              </w:rPr>
              <w:t>第二十条第（五）项</w:t>
            </w:r>
          </w:p>
        </w:tc>
      </w:tr>
      <w:tr w14:paraId="410FBBDF">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476D67C">
            <w:pPr>
              <w:widowControl/>
              <w:jc w:val="center"/>
              <w:rPr>
                <w:rFonts w:ascii="宋体" w:hAnsi="宋体" w:cs="宋体"/>
                <w:color w:val="000000"/>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741881B">
            <w:pPr>
              <w:widowControl/>
              <w:jc w:val="center"/>
              <w:rPr>
                <w:rFonts w:ascii="宋体" w:hAnsi="宋体" w:cs="宋体"/>
                <w:color w:val="000000"/>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E4A6E19">
            <w:pPr>
              <w:widowControl/>
              <w:jc w:val="center"/>
              <w:rPr>
                <w:rFonts w:ascii="宋体" w:hAnsi="宋体" w:cs="宋体"/>
                <w:color w:val="000000"/>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DF5C064">
            <w:pPr>
              <w:widowControl/>
              <w:jc w:val="center"/>
              <w:rPr>
                <w:rFonts w:ascii="宋体" w:hAnsi="宋体" w:cs="宋体"/>
                <w:color w:val="000000"/>
                <w:kern w:val="0"/>
                <w:sz w:val="24"/>
              </w:rPr>
            </w:pPr>
            <w:r>
              <w:rPr>
                <w:rFonts w:hint="eastAsia" w:ascii="宋体" w:hAnsi="宋体" w:cs="宋体"/>
                <w:color w:val="000000"/>
                <w:kern w:val="0"/>
                <w:sz w:val="20"/>
                <w:szCs w:val="20"/>
              </w:rPr>
              <w:t>处理决定数量</w:t>
            </w:r>
          </w:p>
        </w:tc>
      </w:tr>
      <w:tr w14:paraId="02EA6943">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vAlign w:val="center"/>
          </w:tcPr>
          <w:p w14:paraId="5643B371">
            <w:pPr>
              <w:widowControl/>
              <w:jc w:val="left"/>
              <w:rPr>
                <w:rFonts w:ascii="宋体" w:hAnsi="宋体" w:cs="宋体"/>
                <w:color w:val="000000"/>
                <w:kern w:val="0"/>
                <w:sz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vAlign w:val="center"/>
          </w:tcPr>
          <w:p w14:paraId="3BA25BBB">
            <w:pPr>
              <w:widowControl/>
              <w:jc w:val="center"/>
              <w:rPr>
                <w:rFonts w:ascii="宋体" w:hAnsi="宋体" w:cs="宋体"/>
                <w:color w:val="000000"/>
                <w:kern w:val="0"/>
                <w:sz w:val="24"/>
              </w:rPr>
            </w:pPr>
            <w:r>
              <w:rPr>
                <w:rFonts w:hint="eastAsia" w:ascii="宋体" w:hAnsi="宋体" w:cs="宋体"/>
                <w:color w:val="000000"/>
                <w:kern w:val="0"/>
                <w:sz w:val="20"/>
                <w:szCs w:val="20"/>
              </w:rPr>
              <w:t>39</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8764CF">
            <w:pPr>
              <w:widowControl/>
              <w:jc w:val="center"/>
              <w:rPr>
                <w:rFonts w:ascii="宋体" w:hAnsi="宋体" w:cs="宋体"/>
                <w:color w:val="000000"/>
                <w:kern w:val="0"/>
                <w:sz w:val="24"/>
              </w:rPr>
            </w:pPr>
            <w:r>
              <w:rPr>
                <w:rFonts w:hint="eastAsia" w:ascii="宋体" w:hAnsi="宋体" w:cs="宋体"/>
                <w:color w:val="000000"/>
                <w:kern w:val="0"/>
                <w:sz w:val="20"/>
                <w:szCs w:val="20"/>
              </w:rPr>
              <w:t>-7</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F4913E9">
            <w:pPr>
              <w:widowControl/>
              <w:jc w:val="center"/>
              <w:rPr>
                <w:rFonts w:ascii="宋体" w:hAnsi="宋体" w:cs="宋体"/>
                <w:color w:val="000000"/>
                <w:kern w:val="0"/>
                <w:sz w:val="24"/>
              </w:rPr>
            </w:pPr>
            <w:r>
              <w:rPr>
                <w:rFonts w:hint="eastAsia" w:ascii="宋体" w:hAnsi="宋体" w:cs="宋体"/>
                <w:color w:val="000000"/>
                <w:kern w:val="0"/>
                <w:sz w:val="20"/>
                <w:szCs w:val="20"/>
              </w:rPr>
              <w:t>32</w:t>
            </w:r>
          </w:p>
        </w:tc>
      </w:tr>
      <w:tr w14:paraId="096540B9">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vAlign w:val="center"/>
          </w:tcPr>
          <w:p w14:paraId="75818553">
            <w:pPr>
              <w:widowControl/>
              <w:jc w:val="left"/>
              <w:rPr>
                <w:rFonts w:ascii="宋体" w:hAnsi="宋体" w:cs="宋体"/>
                <w:color w:val="000000"/>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vAlign w:val="center"/>
          </w:tcPr>
          <w:p w14:paraId="154561A1">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3F7652F">
            <w:pPr>
              <w:widowControl/>
              <w:jc w:val="center"/>
              <w:rPr>
                <w:rFonts w:ascii="宋体" w:hAnsi="宋体" w:cs="宋体"/>
                <w:color w:val="000000"/>
                <w:kern w:val="0"/>
                <w:sz w:val="24"/>
              </w:rPr>
            </w:pPr>
            <w:r>
              <w:rPr>
                <w:rFonts w:hint="eastAsia" w:ascii="宋体" w:hAnsi="宋体" w:cs="宋体"/>
                <w:color w:val="000000"/>
                <w:kern w:val="0"/>
                <w:sz w:val="20"/>
                <w:szCs w:val="20"/>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1CF55E">
            <w:pPr>
              <w:widowControl/>
              <w:jc w:val="center"/>
              <w:rPr>
                <w:rFonts w:ascii="宋体" w:hAnsi="宋体" w:cs="宋体"/>
                <w:color w:val="000000"/>
                <w:kern w:val="0"/>
                <w:sz w:val="24"/>
              </w:rPr>
            </w:pPr>
            <w:r>
              <w:rPr>
                <w:rFonts w:hint="eastAsia" w:ascii="宋体" w:hAnsi="宋体" w:cs="宋体"/>
                <w:color w:val="000000"/>
                <w:kern w:val="0"/>
                <w:sz w:val="20"/>
                <w:szCs w:val="20"/>
              </w:rPr>
              <w:t>1</w:t>
            </w:r>
          </w:p>
        </w:tc>
      </w:tr>
      <w:tr w14:paraId="066CE0DC">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16BB046">
            <w:pPr>
              <w:widowControl/>
              <w:jc w:val="center"/>
              <w:rPr>
                <w:rFonts w:ascii="宋体" w:hAnsi="宋体" w:cs="宋体"/>
                <w:color w:val="000000"/>
                <w:kern w:val="0"/>
                <w:sz w:val="24"/>
              </w:rPr>
            </w:pPr>
            <w:r>
              <w:rPr>
                <w:rFonts w:hint="eastAsia" w:ascii="宋体" w:hAnsi="宋体" w:cs="宋体"/>
                <w:color w:val="000000"/>
                <w:kern w:val="0"/>
                <w:sz w:val="20"/>
                <w:szCs w:val="20"/>
              </w:rPr>
              <w:t>第二十条第（六）项</w:t>
            </w:r>
          </w:p>
        </w:tc>
      </w:tr>
      <w:tr w14:paraId="3272D47E">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D0F1A6F">
            <w:pPr>
              <w:widowControl/>
              <w:jc w:val="center"/>
              <w:rPr>
                <w:rFonts w:ascii="宋体" w:hAnsi="宋体" w:cs="宋体"/>
                <w:color w:val="000000"/>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45C5BA5">
            <w:pPr>
              <w:widowControl/>
              <w:jc w:val="center"/>
              <w:rPr>
                <w:rFonts w:ascii="宋体" w:hAnsi="宋体" w:cs="宋体"/>
                <w:color w:val="000000"/>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6E3ED41">
            <w:pPr>
              <w:widowControl/>
              <w:jc w:val="center"/>
              <w:rPr>
                <w:rFonts w:ascii="宋体" w:hAnsi="宋体" w:cs="宋体"/>
                <w:color w:val="000000"/>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CB3CE5">
            <w:pPr>
              <w:widowControl/>
              <w:jc w:val="center"/>
              <w:rPr>
                <w:rFonts w:ascii="宋体" w:hAnsi="宋体" w:cs="宋体"/>
                <w:color w:val="000000"/>
                <w:kern w:val="0"/>
                <w:sz w:val="24"/>
              </w:rPr>
            </w:pPr>
            <w:r>
              <w:rPr>
                <w:rFonts w:hint="eastAsia" w:ascii="宋体" w:hAnsi="宋体" w:cs="宋体"/>
                <w:color w:val="000000"/>
                <w:kern w:val="0"/>
                <w:sz w:val="20"/>
                <w:szCs w:val="20"/>
              </w:rPr>
              <w:t>处理决定数量</w:t>
            </w:r>
          </w:p>
        </w:tc>
      </w:tr>
      <w:tr w14:paraId="66DDD9CD">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vAlign w:val="center"/>
          </w:tcPr>
          <w:p w14:paraId="0F991D6B">
            <w:pPr>
              <w:widowControl/>
              <w:jc w:val="left"/>
              <w:rPr>
                <w:rFonts w:ascii="宋体" w:hAnsi="宋体" w:cs="宋体"/>
                <w:color w:val="000000"/>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vAlign w:val="center"/>
          </w:tcPr>
          <w:p w14:paraId="46C63107">
            <w:pPr>
              <w:widowControl/>
              <w:jc w:val="center"/>
              <w:rPr>
                <w:rFonts w:ascii="宋体" w:hAnsi="宋体" w:cs="宋体"/>
                <w:color w:val="000000"/>
                <w:kern w:val="0"/>
                <w:sz w:val="24"/>
              </w:rPr>
            </w:pPr>
            <w:r>
              <w:rPr>
                <w:rFonts w:hint="eastAsia" w:ascii="宋体" w:hAnsi="宋体" w:cs="宋体"/>
                <w:color w:val="000000"/>
                <w:kern w:val="0"/>
                <w:sz w:val="20"/>
                <w:szCs w:val="20"/>
              </w:rPr>
              <w:t>167</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E8F65F">
            <w:pPr>
              <w:widowControl/>
              <w:jc w:val="center"/>
              <w:rPr>
                <w:rFonts w:ascii="宋体" w:hAnsi="宋体" w:cs="宋体"/>
                <w:color w:val="000000"/>
                <w:kern w:val="0"/>
                <w:sz w:val="24"/>
              </w:rPr>
            </w:pPr>
            <w:r>
              <w:rPr>
                <w:rFonts w:hint="eastAsia" w:ascii="宋体" w:hAnsi="宋体" w:cs="宋体"/>
                <w:color w:val="000000"/>
                <w:kern w:val="0"/>
                <w:sz w:val="20"/>
                <w:szCs w:val="20"/>
              </w:rPr>
              <w:t>290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E0CCC40">
            <w:pPr>
              <w:widowControl/>
              <w:jc w:val="center"/>
              <w:rPr>
                <w:rFonts w:ascii="宋体" w:hAnsi="宋体" w:cs="宋体"/>
                <w:color w:val="000000"/>
                <w:kern w:val="0"/>
                <w:sz w:val="24"/>
              </w:rPr>
            </w:pPr>
            <w:r>
              <w:rPr>
                <w:rFonts w:hint="eastAsia" w:ascii="宋体" w:hAnsi="宋体" w:cs="宋体"/>
                <w:color w:val="000000"/>
                <w:kern w:val="0"/>
                <w:sz w:val="20"/>
                <w:szCs w:val="20"/>
              </w:rPr>
              <w:t>467</w:t>
            </w:r>
          </w:p>
        </w:tc>
      </w:tr>
      <w:tr w14:paraId="55B6BBBF">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vAlign w:val="center"/>
          </w:tcPr>
          <w:p w14:paraId="4A675AB7">
            <w:pPr>
              <w:widowControl/>
              <w:jc w:val="left"/>
              <w:rPr>
                <w:rFonts w:ascii="宋体" w:hAnsi="宋体" w:cs="宋体"/>
                <w:color w:val="000000"/>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vAlign w:val="center"/>
          </w:tcPr>
          <w:p w14:paraId="47F2B098">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4F037D">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6C9F21E">
            <w:pPr>
              <w:widowControl/>
              <w:jc w:val="center"/>
              <w:rPr>
                <w:rFonts w:ascii="宋体" w:hAnsi="宋体" w:cs="宋体"/>
                <w:color w:val="000000"/>
                <w:kern w:val="0"/>
                <w:sz w:val="24"/>
              </w:rPr>
            </w:pPr>
            <w:r>
              <w:rPr>
                <w:rFonts w:hint="eastAsia" w:ascii="宋体" w:hAnsi="宋体" w:cs="宋体"/>
                <w:color w:val="000000"/>
                <w:kern w:val="0"/>
                <w:sz w:val="20"/>
                <w:szCs w:val="20"/>
              </w:rPr>
              <w:t>0</w:t>
            </w:r>
          </w:p>
        </w:tc>
      </w:tr>
      <w:tr w14:paraId="4C9DE07E">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F6FE3CB">
            <w:pPr>
              <w:widowControl/>
              <w:jc w:val="center"/>
              <w:rPr>
                <w:rFonts w:ascii="宋体" w:hAnsi="宋体" w:cs="宋体"/>
                <w:color w:val="000000"/>
                <w:kern w:val="0"/>
                <w:sz w:val="24"/>
              </w:rPr>
            </w:pPr>
            <w:r>
              <w:rPr>
                <w:rFonts w:hint="eastAsia" w:ascii="宋体" w:hAnsi="宋体" w:cs="宋体"/>
                <w:color w:val="000000"/>
                <w:kern w:val="0"/>
                <w:sz w:val="20"/>
                <w:szCs w:val="20"/>
              </w:rPr>
              <w:t>第二十条第（八）项</w:t>
            </w:r>
          </w:p>
        </w:tc>
      </w:tr>
      <w:tr w14:paraId="024CB0B7">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B50D1AB">
            <w:pPr>
              <w:widowControl/>
              <w:jc w:val="center"/>
              <w:rPr>
                <w:rFonts w:ascii="宋体" w:hAnsi="宋体" w:cs="宋体"/>
                <w:color w:val="000000"/>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63A0B48">
            <w:pPr>
              <w:widowControl/>
              <w:jc w:val="left"/>
              <w:rPr>
                <w:rFonts w:ascii="宋体" w:hAnsi="宋体" w:cs="宋体"/>
                <w:color w:val="000000"/>
                <w:kern w:val="0"/>
                <w:sz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5F3321F9">
            <w:pPr>
              <w:widowControl/>
              <w:jc w:val="center"/>
              <w:rPr>
                <w:rFonts w:ascii="宋体" w:hAnsi="宋体" w:cs="宋体"/>
                <w:color w:val="000000"/>
                <w:kern w:val="0"/>
                <w:sz w:val="24"/>
              </w:rPr>
            </w:pPr>
            <w:r>
              <w:rPr>
                <w:rFonts w:hint="eastAsia" w:ascii="宋体" w:hAnsi="宋体" w:cs="宋体"/>
                <w:color w:val="000000"/>
                <w:kern w:val="0"/>
                <w:sz w:val="20"/>
                <w:szCs w:val="20"/>
              </w:rPr>
              <w:t>本年增/减</w:t>
            </w:r>
          </w:p>
        </w:tc>
      </w:tr>
      <w:tr w14:paraId="7B0DA5B3">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331EB4A">
            <w:pPr>
              <w:widowControl/>
              <w:jc w:val="left"/>
              <w:rPr>
                <w:rFonts w:ascii="宋体" w:hAnsi="宋体" w:cs="宋体"/>
                <w:color w:val="000000"/>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69C3FD5">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1A5725A6">
            <w:pPr>
              <w:widowControl/>
              <w:jc w:val="center"/>
              <w:rPr>
                <w:rFonts w:ascii="宋体" w:hAnsi="宋体" w:cs="宋体"/>
                <w:color w:val="000000"/>
                <w:kern w:val="0"/>
                <w:sz w:val="24"/>
              </w:rPr>
            </w:pPr>
            <w:r>
              <w:rPr>
                <w:rFonts w:hint="eastAsia" w:ascii="宋体" w:hAnsi="宋体" w:cs="宋体"/>
                <w:color w:val="000000"/>
                <w:kern w:val="0"/>
                <w:sz w:val="20"/>
                <w:szCs w:val="20"/>
              </w:rPr>
              <w:t> 0</w:t>
            </w:r>
          </w:p>
        </w:tc>
      </w:tr>
      <w:tr w14:paraId="7F94307C">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4A24437">
            <w:pPr>
              <w:widowControl/>
              <w:jc w:val="center"/>
              <w:rPr>
                <w:rFonts w:ascii="宋体" w:hAnsi="宋体" w:cs="宋体"/>
                <w:color w:val="000000"/>
                <w:kern w:val="0"/>
                <w:sz w:val="24"/>
              </w:rPr>
            </w:pPr>
            <w:r>
              <w:rPr>
                <w:rFonts w:hint="eastAsia" w:ascii="宋体" w:hAnsi="宋体" w:cs="宋体"/>
                <w:color w:val="000000"/>
                <w:kern w:val="0"/>
                <w:sz w:val="20"/>
                <w:szCs w:val="20"/>
              </w:rPr>
              <w:t>第二十条第（九）项</w:t>
            </w:r>
          </w:p>
        </w:tc>
      </w:tr>
      <w:tr w14:paraId="7C9EA148">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54981FE">
            <w:pPr>
              <w:widowControl/>
              <w:jc w:val="center"/>
              <w:rPr>
                <w:rFonts w:ascii="宋体" w:hAnsi="宋体" w:cs="宋体"/>
                <w:color w:val="000000"/>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DEC506E">
            <w:pPr>
              <w:widowControl/>
              <w:jc w:val="center"/>
              <w:rPr>
                <w:rFonts w:ascii="宋体" w:hAnsi="宋体" w:cs="宋体"/>
                <w:color w:val="000000"/>
                <w:kern w:val="0"/>
                <w:sz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6BD08085">
            <w:pPr>
              <w:widowControl/>
              <w:jc w:val="center"/>
              <w:rPr>
                <w:rFonts w:ascii="宋体" w:hAnsi="宋体" w:cs="宋体"/>
                <w:color w:val="000000"/>
                <w:kern w:val="0"/>
                <w:sz w:val="24"/>
              </w:rPr>
            </w:pPr>
            <w:r>
              <w:rPr>
                <w:rFonts w:hint="eastAsia" w:ascii="宋体" w:hAnsi="宋体" w:cs="宋体"/>
                <w:color w:val="000000"/>
                <w:kern w:val="0"/>
                <w:sz w:val="20"/>
                <w:szCs w:val="20"/>
              </w:rPr>
              <w:t>采购总金额</w:t>
            </w:r>
          </w:p>
        </w:tc>
      </w:tr>
      <w:tr w14:paraId="2E4FD8B6">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DA41E26">
            <w:pPr>
              <w:widowControl/>
              <w:jc w:val="left"/>
              <w:rPr>
                <w:rFonts w:ascii="宋体" w:hAnsi="宋体" w:cs="宋体"/>
                <w:color w:val="000000"/>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1F1FD27">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4EDE55FB">
            <w:pPr>
              <w:widowControl/>
              <w:jc w:val="center"/>
              <w:rPr>
                <w:rFonts w:ascii="宋体" w:hAnsi="宋体" w:cs="宋体"/>
                <w:color w:val="000000"/>
                <w:kern w:val="0"/>
                <w:sz w:val="24"/>
              </w:rPr>
            </w:pPr>
            <w:r>
              <w:rPr>
                <w:rFonts w:hint="eastAsia" w:ascii="宋体" w:hAnsi="宋体" w:cs="宋体"/>
                <w:color w:val="000000"/>
                <w:kern w:val="0"/>
                <w:sz w:val="24"/>
              </w:rPr>
              <w:t>0</w:t>
            </w:r>
          </w:p>
        </w:tc>
      </w:tr>
    </w:tbl>
    <w:p w14:paraId="0EED4705">
      <w:pPr>
        <w:widowControl/>
        <w:spacing w:after="240" w:line="432" w:lineRule="atLeast"/>
        <w:ind w:firstLine="480"/>
        <w:rPr>
          <w:rFonts w:ascii="黑体" w:hAnsi="黑体" w:eastAsia="黑体" w:cs="宋体"/>
          <w:bCs/>
          <w:color w:val="000000"/>
          <w:kern w:val="0"/>
          <w:sz w:val="32"/>
          <w:szCs w:val="32"/>
        </w:rPr>
      </w:pPr>
    </w:p>
    <w:p w14:paraId="53230907">
      <w:pPr>
        <w:widowControl/>
        <w:spacing w:after="240" w:line="432" w:lineRule="atLeast"/>
        <w:ind w:firstLine="48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三、收到和处理政府信息公开申请情况</w:t>
      </w:r>
    </w:p>
    <w:p w14:paraId="71E79E82">
      <w:pPr>
        <w:widowControl/>
        <w:adjustRightInd w:val="0"/>
        <w:snapToGrid w:val="0"/>
        <w:spacing w:after="240" w:line="560" w:lineRule="exact"/>
        <w:ind w:firstLine="482"/>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严格执行依申请公开制度，畅通申请公开渠道，将局政策法规与综合监督科设为政府信息依申请公开受理点，群众对所关心的卫生健康热点、难点问题和有关政策，可以申请要求公开有关信息。在海宁市政务公开平台公布联系电话、公开范围、受理机构、申请流程和监督办法，方便群众申请。2020年全年收到2条政府信息公开申请，其中1条为咨询医保问题，不属于本局职能范围，告知当事人咨询渠道。</w:t>
      </w:r>
    </w:p>
    <w:tbl>
      <w:tblPr>
        <w:tblStyle w:val="5"/>
        <w:tblW w:w="9071" w:type="dxa"/>
        <w:jc w:val="center"/>
        <w:tblLayout w:type="autofit"/>
        <w:tblCellMar>
          <w:top w:w="0" w:type="dxa"/>
          <w:left w:w="0" w:type="dxa"/>
          <w:bottom w:w="0" w:type="dxa"/>
          <w:right w:w="0" w:type="dxa"/>
        </w:tblCellMar>
      </w:tblPr>
      <w:tblGrid>
        <w:gridCol w:w="494"/>
        <w:gridCol w:w="855"/>
        <w:gridCol w:w="2130"/>
        <w:gridCol w:w="825"/>
        <w:gridCol w:w="765"/>
        <w:gridCol w:w="765"/>
        <w:gridCol w:w="825"/>
        <w:gridCol w:w="990"/>
        <w:gridCol w:w="720"/>
        <w:gridCol w:w="702"/>
      </w:tblGrid>
      <w:tr w14:paraId="0766DA95">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FABDB2">
            <w:pPr>
              <w:widowControl/>
              <w:jc w:val="center"/>
              <w:rPr>
                <w:rFonts w:ascii="宋体" w:hAnsi="宋体" w:cs="宋体"/>
                <w:color w:val="000000"/>
                <w:kern w:val="0"/>
                <w:sz w:val="24"/>
              </w:rPr>
            </w:pPr>
            <w:r>
              <w:rPr>
                <w:rFonts w:hint="eastAsia" w:ascii="宋体" w:hAnsi="宋体" w:cs="宋体"/>
                <w:color w:val="000000"/>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BBCCFF">
            <w:pPr>
              <w:widowControl/>
              <w:jc w:val="center"/>
              <w:rPr>
                <w:rFonts w:ascii="宋体" w:hAnsi="宋体" w:cs="宋体"/>
                <w:color w:val="000000"/>
                <w:kern w:val="0"/>
                <w:sz w:val="24"/>
              </w:rPr>
            </w:pPr>
            <w:r>
              <w:rPr>
                <w:rFonts w:hint="eastAsia" w:ascii="宋体" w:hAnsi="宋体" w:cs="宋体"/>
                <w:color w:val="000000"/>
                <w:kern w:val="0"/>
                <w:sz w:val="20"/>
                <w:szCs w:val="20"/>
              </w:rPr>
              <w:t>申请人情况</w:t>
            </w:r>
          </w:p>
        </w:tc>
      </w:tr>
      <w:tr w14:paraId="05ACA499">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5B26616F">
            <w:pPr>
              <w:widowControl/>
              <w:jc w:val="left"/>
              <w:rPr>
                <w:rFonts w:ascii="宋体" w:hAnsi="宋体" w:cs="宋体"/>
                <w:color w:val="000000"/>
                <w:kern w:val="0"/>
                <w:sz w:val="24"/>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919A941">
            <w:pPr>
              <w:widowControl/>
              <w:jc w:val="center"/>
              <w:rPr>
                <w:rFonts w:ascii="宋体" w:hAnsi="宋体" w:cs="宋体"/>
                <w:color w:val="000000"/>
                <w:kern w:val="0"/>
                <w:sz w:val="24"/>
              </w:rPr>
            </w:pPr>
            <w:r>
              <w:rPr>
                <w:rFonts w:hint="eastAsia" w:ascii="宋体" w:hAnsi="宋体" w:cs="宋体"/>
                <w:color w:val="000000"/>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0EE1DB">
            <w:pPr>
              <w:widowControl/>
              <w:jc w:val="center"/>
              <w:rPr>
                <w:rFonts w:ascii="宋体" w:hAnsi="宋体" w:cs="宋体"/>
                <w:color w:val="000000"/>
                <w:kern w:val="0"/>
                <w:sz w:val="24"/>
              </w:rPr>
            </w:pPr>
            <w:r>
              <w:rPr>
                <w:rFonts w:hint="eastAsia" w:ascii="宋体" w:hAnsi="宋体" w:cs="宋体"/>
                <w:color w:val="000000"/>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96F9D0">
            <w:pPr>
              <w:widowControl/>
              <w:jc w:val="center"/>
              <w:rPr>
                <w:rFonts w:ascii="宋体" w:hAnsi="宋体" w:cs="宋体"/>
                <w:color w:val="000000"/>
                <w:kern w:val="0"/>
                <w:sz w:val="24"/>
              </w:rPr>
            </w:pPr>
            <w:r>
              <w:rPr>
                <w:rFonts w:hint="eastAsia" w:ascii="宋体" w:hAnsi="宋体" w:cs="宋体"/>
                <w:color w:val="000000"/>
                <w:kern w:val="0"/>
                <w:sz w:val="20"/>
                <w:szCs w:val="20"/>
              </w:rPr>
              <w:t>总计</w:t>
            </w:r>
          </w:p>
        </w:tc>
      </w:tr>
      <w:tr w14:paraId="44A66387">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5AAE4D80">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1104C30C">
            <w:pPr>
              <w:widowControl/>
              <w:jc w:val="left"/>
              <w:rPr>
                <w:rFonts w:ascii="宋体" w:hAnsi="宋体" w:cs="宋体"/>
                <w:color w:val="000000"/>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412588">
            <w:pPr>
              <w:widowControl/>
              <w:jc w:val="center"/>
              <w:rPr>
                <w:rFonts w:ascii="宋体" w:hAnsi="宋体" w:cs="宋体"/>
                <w:color w:val="000000"/>
                <w:kern w:val="0"/>
                <w:sz w:val="24"/>
              </w:rPr>
            </w:pPr>
            <w:r>
              <w:rPr>
                <w:rFonts w:hint="eastAsia" w:ascii="宋体" w:hAnsi="宋体" w:cs="宋体"/>
                <w:color w:val="000000"/>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2D527E">
            <w:pPr>
              <w:widowControl/>
              <w:jc w:val="center"/>
              <w:rPr>
                <w:rFonts w:ascii="宋体" w:hAnsi="宋体" w:cs="宋体"/>
                <w:color w:val="000000"/>
                <w:kern w:val="0"/>
                <w:sz w:val="24"/>
              </w:rPr>
            </w:pPr>
            <w:r>
              <w:rPr>
                <w:rFonts w:hint="eastAsia" w:ascii="宋体" w:hAnsi="宋体" w:cs="宋体"/>
                <w:color w:val="000000"/>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5B53E4">
            <w:pPr>
              <w:widowControl/>
              <w:jc w:val="center"/>
              <w:rPr>
                <w:rFonts w:ascii="宋体" w:hAnsi="宋体" w:cs="宋体"/>
                <w:color w:val="000000"/>
                <w:kern w:val="0"/>
                <w:sz w:val="24"/>
              </w:rPr>
            </w:pPr>
            <w:r>
              <w:rPr>
                <w:rFonts w:hint="eastAsia" w:ascii="宋体" w:hAnsi="宋体" w:cs="宋体"/>
                <w:color w:val="000000"/>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84964A">
            <w:pPr>
              <w:widowControl/>
              <w:jc w:val="center"/>
              <w:rPr>
                <w:rFonts w:ascii="宋体" w:hAnsi="宋体" w:cs="宋体"/>
                <w:color w:val="000000"/>
                <w:kern w:val="0"/>
                <w:sz w:val="24"/>
              </w:rPr>
            </w:pPr>
            <w:r>
              <w:rPr>
                <w:rFonts w:hint="eastAsia" w:ascii="宋体" w:hAnsi="宋体" w:cs="宋体"/>
                <w:color w:val="000000"/>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C63F00">
            <w:pPr>
              <w:widowControl/>
              <w:jc w:val="center"/>
              <w:rPr>
                <w:rFonts w:ascii="宋体" w:hAnsi="宋体" w:cs="宋体"/>
                <w:color w:val="000000"/>
                <w:kern w:val="0"/>
                <w:sz w:val="24"/>
              </w:rPr>
            </w:pPr>
            <w:r>
              <w:rPr>
                <w:rFonts w:hint="eastAsia" w:ascii="宋体" w:hAnsi="宋体" w:cs="宋体"/>
                <w:color w:val="000000"/>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0C78AFFE">
            <w:pPr>
              <w:widowControl/>
              <w:jc w:val="left"/>
              <w:rPr>
                <w:rFonts w:ascii="宋体" w:hAnsi="宋体" w:cs="宋体"/>
                <w:color w:val="000000"/>
                <w:kern w:val="0"/>
                <w:sz w:val="24"/>
              </w:rPr>
            </w:pPr>
          </w:p>
        </w:tc>
      </w:tr>
      <w:tr w14:paraId="5FAE5ADC">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14:paraId="7ED36F4B">
            <w:pPr>
              <w:widowControl/>
              <w:jc w:val="left"/>
              <w:rPr>
                <w:rFonts w:ascii="宋体" w:hAnsi="宋体" w:cs="宋体"/>
                <w:color w:val="000000"/>
                <w:kern w:val="0"/>
                <w:sz w:val="24"/>
              </w:rPr>
            </w:pPr>
            <w:r>
              <w:rPr>
                <w:rFonts w:hint="eastAsia" w:ascii="宋体" w:hAnsi="宋体" w:cs="宋体"/>
                <w:color w:val="000000"/>
                <w:kern w:val="0"/>
                <w:sz w:val="20"/>
                <w:szCs w:val="20"/>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69448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FFF98">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CA195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FA96D90">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700F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E1CBC0">
            <w:pPr>
              <w:widowControl/>
              <w:jc w:val="center"/>
              <w:rPr>
                <w:rFonts w:ascii="宋体" w:hAnsi="宋体" w:cs="宋体"/>
                <w:color w:val="000000"/>
                <w:kern w:val="0"/>
                <w:sz w:val="24"/>
              </w:rPr>
            </w:pPr>
            <w:r>
              <w:rPr>
                <w:rFonts w:hint="eastAsia" w:ascii="Calibri" w:hAnsi="Calibri" w:cs="宋体"/>
                <w:color w:val="000000"/>
                <w:kern w:val="0"/>
                <w:sz w:val="20"/>
                <w:szCs w:val="20"/>
              </w:rPr>
              <w:t>1</w:t>
            </w: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6EA9E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rPr>
              <w:t>2</w:t>
            </w:r>
          </w:p>
        </w:tc>
      </w:tr>
      <w:tr w14:paraId="77AC69EF">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14:paraId="12A1421A">
            <w:pPr>
              <w:widowControl/>
              <w:jc w:val="left"/>
              <w:rPr>
                <w:rFonts w:ascii="宋体" w:hAnsi="宋体" w:cs="宋体"/>
                <w:color w:val="000000"/>
                <w:kern w:val="0"/>
                <w:sz w:val="24"/>
              </w:rPr>
            </w:pPr>
            <w:r>
              <w:rPr>
                <w:rFonts w:hint="eastAsia" w:ascii="宋体" w:hAnsi="宋体" w:cs="宋体"/>
                <w:color w:val="000000"/>
                <w:kern w:val="0"/>
                <w:sz w:val="20"/>
                <w:szCs w:val="20"/>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E68DBB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FEFB9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29373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E64A8D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15AEB8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6B1BB">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DF82DB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rPr>
              <w:t>0</w:t>
            </w:r>
          </w:p>
        </w:tc>
      </w:tr>
      <w:tr w14:paraId="0AC96EB0">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vAlign w:val="center"/>
          </w:tcPr>
          <w:p w14:paraId="554B6C70">
            <w:pPr>
              <w:widowControl/>
              <w:jc w:val="center"/>
              <w:rPr>
                <w:rFonts w:ascii="宋体" w:hAnsi="宋体" w:cs="宋体"/>
                <w:color w:val="000000"/>
                <w:kern w:val="0"/>
                <w:sz w:val="24"/>
              </w:rPr>
            </w:pPr>
            <w:r>
              <w:rPr>
                <w:rFonts w:hint="eastAsia" w:ascii="宋体" w:hAnsi="宋体" w:cs="宋体"/>
                <w:color w:val="000000"/>
                <w:kern w:val="0"/>
                <w:sz w:val="20"/>
                <w:szCs w:val="20"/>
              </w:rPr>
              <w:t>三、本年度办理结果</w:t>
            </w:r>
          </w:p>
        </w:tc>
        <w:tc>
          <w:tcPr>
            <w:tcW w:w="2985" w:type="dxa"/>
            <w:gridSpan w:val="2"/>
            <w:tcBorders>
              <w:top w:val="nil"/>
              <w:left w:val="nil"/>
              <w:bottom w:val="single" w:color="auto" w:sz="8" w:space="0"/>
              <w:right w:val="single" w:color="auto" w:sz="8" w:space="0"/>
            </w:tcBorders>
            <w:vAlign w:val="center"/>
          </w:tcPr>
          <w:p w14:paraId="62FE0962">
            <w:pPr>
              <w:widowControl/>
              <w:jc w:val="left"/>
              <w:rPr>
                <w:rFonts w:ascii="宋体" w:hAnsi="宋体" w:cs="宋体"/>
                <w:color w:val="000000"/>
                <w:kern w:val="0"/>
                <w:sz w:val="24"/>
              </w:rPr>
            </w:pPr>
            <w:r>
              <w:rPr>
                <w:rFonts w:hint="eastAsia" w:ascii="楷体" w:hAnsi="楷体" w:eastAsia="楷体" w:cs="宋体"/>
                <w:color w:val="000000"/>
                <w:kern w:val="0"/>
                <w:sz w:val="20"/>
                <w:szCs w:val="20"/>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9F69D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DBEE7B">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5FDBD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4A415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CA695A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7D0C05">
            <w:pPr>
              <w:widowControl/>
              <w:jc w:val="center"/>
              <w:rPr>
                <w:rFonts w:ascii="宋体" w:hAnsi="宋体" w:cs="宋体"/>
                <w:color w:val="000000"/>
                <w:kern w:val="0"/>
                <w:sz w:val="24"/>
              </w:rPr>
            </w:pPr>
            <w:r>
              <w:rPr>
                <w:rFonts w:hint="eastAsia" w:ascii="Calibri" w:hAnsi="Calibri" w:cs="宋体"/>
                <w:color w:val="000000"/>
                <w:kern w:val="0"/>
                <w:sz w:val="20"/>
                <w:szCs w:val="20"/>
              </w:rPr>
              <w:t>1</w:t>
            </w:r>
            <w:r>
              <w:rPr>
                <w:rFonts w:ascii="Calibri" w:hAnsi="Calibri" w:cs="宋体"/>
                <w:color w:val="000000"/>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1762E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rPr>
              <w:t>1</w:t>
            </w:r>
          </w:p>
        </w:tc>
      </w:tr>
      <w:tr w14:paraId="2F187EF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57B3EB6">
            <w:pPr>
              <w:widowControl/>
              <w:jc w:val="left"/>
              <w:rPr>
                <w:rFonts w:ascii="宋体" w:hAnsi="宋体" w:cs="宋体"/>
                <w:color w:val="000000"/>
                <w:kern w:val="0"/>
                <w:sz w:val="24"/>
              </w:rPr>
            </w:pPr>
          </w:p>
        </w:tc>
        <w:tc>
          <w:tcPr>
            <w:tcW w:w="2985" w:type="dxa"/>
            <w:gridSpan w:val="2"/>
            <w:tcBorders>
              <w:top w:val="nil"/>
              <w:left w:val="nil"/>
              <w:bottom w:val="single" w:color="auto" w:sz="8" w:space="0"/>
              <w:right w:val="single" w:color="auto" w:sz="8" w:space="0"/>
            </w:tcBorders>
            <w:vAlign w:val="center"/>
          </w:tcPr>
          <w:p w14:paraId="335F7DB3">
            <w:pPr>
              <w:widowControl/>
              <w:jc w:val="left"/>
              <w:rPr>
                <w:rFonts w:ascii="宋体" w:hAnsi="宋体" w:cs="宋体"/>
                <w:color w:val="000000"/>
                <w:kern w:val="0"/>
                <w:sz w:val="24"/>
              </w:rPr>
            </w:pPr>
            <w:r>
              <w:rPr>
                <w:rFonts w:hint="eastAsia" w:ascii="楷体" w:hAnsi="楷体" w:eastAsia="楷体" w:cs="宋体"/>
                <w:color w:val="000000"/>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F0DFA3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A4ACC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A5A2B9">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04294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45C960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AE8B6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A88E681">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2EC5137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F390294">
            <w:pPr>
              <w:widowControl/>
              <w:jc w:val="left"/>
              <w:rPr>
                <w:rFonts w:ascii="宋体" w:hAnsi="宋体" w:cs="宋体"/>
                <w:color w:val="000000"/>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B217763">
            <w:pPr>
              <w:widowControl/>
              <w:jc w:val="left"/>
              <w:rPr>
                <w:rFonts w:ascii="宋体" w:hAnsi="宋体" w:cs="宋体"/>
                <w:color w:val="000000"/>
                <w:kern w:val="0"/>
                <w:sz w:val="24"/>
              </w:rPr>
            </w:pPr>
            <w:r>
              <w:rPr>
                <w:rFonts w:hint="eastAsia" w:ascii="楷体" w:hAnsi="楷体" w:eastAsia="楷体" w:cs="宋体"/>
                <w:color w:val="000000"/>
                <w:kern w:val="0"/>
                <w:sz w:val="20"/>
                <w:szCs w:val="20"/>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1F8E1C56">
            <w:pPr>
              <w:widowControl/>
              <w:jc w:val="left"/>
              <w:rPr>
                <w:rFonts w:ascii="宋体" w:hAnsi="宋体" w:cs="宋体"/>
                <w:color w:val="000000"/>
                <w:kern w:val="0"/>
                <w:sz w:val="24"/>
              </w:rPr>
            </w:pPr>
            <w:r>
              <w:rPr>
                <w:rFonts w:hint="eastAsia" w:ascii="楷体" w:hAnsi="楷体" w:eastAsia="楷体" w:cs="宋体"/>
                <w:color w:val="000000"/>
                <w:kern w:val="0"/>
                <w:sz w:val="20"/>
                <w:szCs w:val="20"/>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5665B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E37ED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CF243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82144B">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A3EE7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F09EFE0">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F87FBF">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2FCE47A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12C3196">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589B0D5D">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19EBE0A5">
            <w:pPr>
              <w:widowControl/>
              <w:jc w:val="left"/>
              <w:rPr>
                <w:rFonts w:ascii="宋体" w:hAnsi="宋体" w:cs="宋体"/>
                <w:color w:val="000000"/>
                <w:kern w:val="0"/>
                <w:sz w:val="24"/>
              </w:rPr>
            </w:pPr>
            <w:r>
              <w:rPr>
                <w:rFonts w:hint="eastAsia" w:ascii="楷体" w:hAnsi="楷体" w:eastAsia="楷体" w:cs="宋体"/>
                <w:color w:val="000000"/>
                <w:kern w:val="0"/>
                <w:sz w:val="20"/>
                <w:szCs w:val="20"/>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49DDA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857291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C228A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6667D3">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2AAF7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57E427">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6ADB4804">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1EA71A2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D2DFCF2">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4C916ECB">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5FB75A">
            <w:pPr>
              <w:widowControl/>
              <w:jc w:val="left"/>
              <w:rPr>
                <w:rFonts w:ascii="宋体" w:hAnsi="宋体" w:cs="宋体"/>
                <w:color w:val="000000"/>
                <w:kern w:val="0"/>
                <w:sz w:val="24"/>
              </w:rPr>
            </w:pPr>
            <w:r>
              <w:rPr>
                <w:rFonts w:hint="eastAsia" w:ascii="楷体" w:hAnsi="楷体" w:eastAsia="楷体" w:cs="宋体"/>
                <w:color w:val="000000"/>
                <w:kern w:val="0"/>
                <w:sz w:val="20"/>
                <w:szCs w:val="20"/>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73FBC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FA1C53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0358A0">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2008445">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9B4227">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14113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5CD386E">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47DB56D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2793F50">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45E8C69C">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E86CB5">
            <w:pPr>
              <w:widowControl/>
              <w:jc w:val="left"/>
              <w:rPr>
                <w:rFonts w:ascii="宋体" w:hAnsi="宋体" w:cs="宋体"/>
                <w:color w:val="000000"/>
                <w:kern w:val="0"/>
                <w:sz w:val="24"/>
              </w:rPr>
            </w:pPr>
            <w:r>
              <w:rPr>
                <w:rFonts w:hint="eastAsia" w:ascii="楷体" w:hAnsi="楷体" w:eastAsia="楷体" w:cs="宋体"/>
                <w:color w:val="000000"/>
                <w:kern w:val="0"/>
                <w:sz w:val="20"/>
                <w:szCs w:val="20"/>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93D69">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21A40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7D9B98">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387E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2E32FD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FB65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DCEE0FD">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64F8F0F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8F0ADA9">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038FE10D">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43093B">
            <w:pPr>
              <w:widowControl/>
              <w:jc w:val="left"/>
              <w:rPr>
                <w:rFonts w:ascii="宋体" w:hAnsi="宋体" w:cs="宋体"/>
                <w:color w:val="000000"/>
                <w:kern w:val="0"/>
                <w:sz w:val="24"/>
              </w:rPr>
            </w:pPr>
            <w:r>
              <w:rPr>
                <w:rFonts w:hint="eastAsia" w:ascii="楷体" w:hAnsi="楷体" w:eastAsia="楷体" w:cs="宋体"/>
                <w:color w:val="000000"/>
                <w:kern w:val="0"/>
                <w:sz w:val="20"/>
                <w:szCs w:val="20"/>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6876B3">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A7C34D">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E42A0BB">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3DE470">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CE1FA3">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49C80">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2831E43">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38C637D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DE7B561">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4A8D8415">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CB47AA">
            <w:pPr>
              <w:widowControl/>
              <w:jc w:val="left"/>
              <w:rPr>
                <w:rFonts w:ascii="宋体" w:hAnsi="宋体" w:cs="宋体"/>
                <w:color w:val="000000"/>
                <w:kern w:val="0"/>
                <w:sz w:val="24"/>
              </w:rPr>
            </w:pPr>
            <w:r>
              <w:rPr>
                <w:rFonts w:hint="eastAsia" w:ascii="楷体" w:hAnsi="楷体" w:eastAsia="楷体" w:cs="宋体"/>
                <w:color w:val="000000"/>
                <w:kern w:val="0"/>
                <w:sz w:val="20"/>
                <w:szCs w:val="20"/>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412CC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A2AB4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6F3D0">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537E49">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7ACFD4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CC467F8">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C7922C0">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368CFFA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5DA9DF7">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4F871B1E">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42DE75DB">
            <w:pPr>
              <w:widowControl/>
              <w:jc w:val="left"/>
              <w:rPr>
                <w:rFonts w:ascii="宋体" w:hAnsi="宋体" w:cs="宋体"/>
                <w:color w:val="000000"/>
                <w:kern w:val="0"/>
                <w:sz w:val="24"/>
              </w:rPr>
            </w:pPr>
            <w:r>
              <w:rPr>
                <w:rFonts w:hint="eastAsia" w:ascii="楷体" w:hAnsi="楷体" w:eastAsia="楷体" w:cs="宋体"/>
                <w:color w:val="000000"/>
                <w:kern w:val="0"/>
                <w:sz w:val="20"/>
                <w:szCs w:val="20"/>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10C0E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03C868">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C6CD19">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F4899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4CDB5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5B38A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0A4131B">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35C2E4F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84A42EC">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0D0B65B0">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5EC8A9">
            <w:pPr>
              <w:widowControl/>
              <w:jc w:val="left"/>
              <w:rPr>
                <w:rFonts w:ascii="宋体" w:hAnsi="宋体" w:cs="宋体"/>
                <w:color w:val="000000"/>
                <w:kern w:val="0"/>
                <w:sz w:val="24"/>
              </w:rPr>
            </w:pPr>
            <w:r>
              <w:rPr>
                <w:rFonts w:hint="eastAsia" w:ascii="楷体" w:hAnsi="楷体" w:eastAsia="楷体" w:cs="宋体"/>
                <w:color w:val="000000"/>
                <w:kern w:val="0"/>
                <w:sz w:val="20"/>
                <w:szCs w:val="20"/>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6FE02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5BAF89">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59B84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796DB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28BD9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C8B315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A98F7A0">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0415F25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BABBD76">
            <w:pPr>
              <w:widowControl/>
              <w:jc w:val="left"/>
              <w:rPr>
                <w:rFonts w:ascii="宋体" w:hAnsi="宋体" w:cs="宋体"/>
                <w:color w:val="000000"/>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D39C9E9">
            <w:pPr>
              <w:widowControl/>
              <w:jc w:val="left"/>
              <w:rPr>
                <w:rFonts w:ascii="宋体" w:hAnsi="宋体" w:cs="宋体"/>
                <w:color w:val="000000"/>
                <w:kern w:val="0"/>
                <w:sz w:val="24"/>
              </w:rPr>
            </w:pPr>
            <w:r>
              <w:rPr>
                <w:rFonts w:hint="eastAsia" w:ascii="楷体" w:hAnsi="楷体" w:eastAsia="楷体" w:cs="宋体"/>
                <w:color w:val="000000"/>
                <w:kern w:val="0"/>
                <w:sz w:val="20"/>
                <w:szCs w:val="20"/>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480AB2E0">
            <w:pPr>
              <w:widowControl/>
              <w:jc w:val="left"/>
              <w:rPr>
                <w:rFonts w:ascii="宋体" w:hAnsi="宋体" w:cs="宋体"/>
                <w:color w:val="000000"/>
                <w:kern w:val="0"/>
                <w:sz w:val="24"/>
              </w:rPr>
            </w:pPr>
            <w:r>
              <w:rPr>
                <w:rFonts w:hint="eastAsia" w:ascii="楷体" w:hAnsi="楷体" w:eastAsia="楷体" w:cs="宋体"/>
                <w:color w:val="000000"/>
                <w:kern w:val="0"/>
                <w:sz w:val="20"/>
                <w:szCs w:val="20"/>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FB0171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28EC53">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6CA97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04EA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3CA1E3">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4A167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5234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rPr>
              <w:t>1</w:t>
            </w:r>
          </w:p>
        </w:tc>
      </w:tr>
      <w:tr w14:paraId="0EA8DBD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48697CE">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3A124E2B">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28CBC34B">
            <w:pPr>
              <w:widowControl/>
              <w:jc w:val="left"/>
              <w:rPr>
                <w:rFonts w:ascii="宋体" w:hAnsi="宋体" w:cs="宋体"/>
                <w:color w:val="000000"/>
                <w:kern w:val="0"/>
                <w:sz w:val="24"/>
              </w:rPr>
            </w:pPr>
            <w:r>
              <w:rPr>
                <w:rFonts w:hint="eastAsia" w:ascii="楷体" w:hAnsi="楷体" w:eastAsia="楷体" w:cs="宋体"/>
                <w:color w:val="000000"/>
                <w:kern w:val="0"/>
                <w:sz w:val="20"/>
                <w:szCs w:val="20"/>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ED91CB">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5743FB">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ECFD3D">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7A79ED">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73B29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824C055">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9D31629">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7BD710C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D6CC49F">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4D5685CA">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42F786B0">
            <w:pPr>
              <w:widowControl/>
              <w:jc w:val="left"/>
              <w:rPr>
                <w:rFonts w:ascii="宋体" w:hAnsi="宋体" w:cs="宋体"/>
                <w:color w:val="000000"/>
                <w:kern w:val="0"/>
                <w:sz w:val="24"/>
              </w:rPr>
            </w:pPr>
            <w:r>
              <w:rPr>
                <w:rFonts w:hint="eastAsia" w:ascii="楷体" w:hAnsi="楷体" w:eastAsia="楷体" w:cs="宋体"/>
                <w:color w:val="000000"/>
                <w:kern w:val="0"/>
                <w:sz w:val="20"/>
                <w:szCs w:val="20"/>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3F2F1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15FE69">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FE67A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180C20">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089963">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E2905D">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C6DACEA">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30D6F45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4506FCD">
            <w:pPr>
              <w:widowControl/>
              <w:jc w:val="left"/>
              <w:rPr>
                <w:rFonts w:ascii="宋体" w:hAnsi="宋体" w:cs="宋体"/>
                <w:color w:val="000000"/>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7866B41">
            <w:pPr>
              <w:widowControl/>
              <w:jc w:val="left"/>
              <w:rPr>
                <w:rFonts w:ascii="宋体" w:hAnsi="宋体" w:cs="宋体"/>
                <w:color w:val="000000"/>
                <w:kern w:val="0"/>
                <w:sz w:val="24"/>
              </w:rPr>
            </w:pPr>
            <w:r>
              <w:rPr>
                <w:rFonts w:hint="eastAsia" w:ascii="楷体" w:hAnsi="楷体" w:eastAsia="楷体" w:cs="宋体"/>
                <w:color w:val="000000"/>
                <w:kern w:val="0"/>
                <w:sz w:val="20"/>
                <w:szCs w:val="20"/>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234BD8">
            <w:pPr>
              <w:widowControl/>
              <w:jc w:val="left"/>
              <w:rPr>
                <w:rFonts w:ascii="宋体" w:hAnsi="宋体" w:cs="宋体"/>
                <w:color w:val="000000"/>
                <w:kern w:val="0"/>
                <w:sz w:val="24"/>
              </w:rPr>
            </w:pPr>
            <w:r>
              <w:rPr>
                <w:rFonts w:hint="eastAsia" w:ascii="楷体" w:hAnsi="楷体" w:eastAsia="楷体" w:cs="宋体"/>
                <w:color w:val="000000"/>
                <w:kern w:val="0"/>
                <w:sz w:val="20"/>
                <w:szCs w:val="20"/>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C9C7A5">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ADC91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7A8A4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3D46F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AB90FA8">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564500">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65F14FD2">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5ABA3ED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4C18008">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306A0159">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3209A2">
            <w:pPr>
              <w:widowControl/>
              <w:jc w:val="left"/>
              <w:rPr>
                <w:rFonts w:ascii="宋体" w:hAnsi="宋体" w:cs="宋体"/>
                <w:color w:val="000000"/>
                <w:kern w:val="0"/>
                <w:sz w:val="24"/>
              </w:rPr>
            </w:pPr>
            <w:r>
              <w:rPr>
                <w:rFonts w:hint="eastAsia" w:ascii="楷体" w:hAnsi="楷体" w:eastAsia="楷体" w:cs="宋体"/>
                <w:color w:val="000000"/>
                <w:kern w:val="0"/>
                <w:sz w:val="20"/>
                <w:szCs w:val="20"/>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B6921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8F7B1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21537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F67B5B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26BBB3">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60A6C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AB7DD">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6BE5B35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B8995D0">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0B9853D2">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D469C8">
            <w:pPr>
              <w:widowControl/>
              <w:jc w:val="left"/>
              <w:rPr>
                <w:rFonts w:ascii="宋体" w:hAnsi="宋体" w:cs="宋体"/>
                <w:color w:val="000000"/>
                <w:kern w:val="0"/>
                <w:sz w:val="24"/>
              </w:rPr>
            </w:pPr>
            <w:r>
              <w:rPr>
                <w:rFonts w:hint="eastAsia" w:ascii="楷体" w:hAnsi="楷体" w:eastAsia="楷体" w:cs="宋体"/>
                <w:color w:val="000000"/>
                <w:kern w:val="0"/>
                <w:sz w:val="20"/>
                <w:szCs w:val="20"/>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E746A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EFEE0D">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B1CBC7">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75EBC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2D1A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9CD56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7043C6C9">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5D9F6CE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08731A5">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67307B6C">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ED0C71">
            <w:pPr>
              <w:widowControl/>
              <w:jc w:val="left"/>
              <w:rPr>
                <w:rFonts w:ascii="宋体" w:hAnsi="宋体" w:cs="宋体"/>
                <w:color w:val="000000"/>
                <w:kern w:val="0"/>
                <w:sz w:val="24"/>
              </w:rPr>
            </w:pPr>
            <w:r>
              <w:rPr>
                <w:rFonts w:hint="eastAsia" w:ascii="楷体" w:hAnsi="楷体" w:eastAsia="楷体" w:cs="宋体"/>
                <w:color w:val="000000"/>
                <w:kern w:val="0"/>
                <w:sz w:val="20"/>
                <w:szCs w:val="20"/>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4FDD7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B1A9E6">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5BAA0B">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46004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092F9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929D27">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21925">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25A162A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0386401">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6488EFB5">
            <w:pPr>
              <w:widowControl/>
              <w:jc w:val="left"/>
              <w:rPr>
                <w:rFonts w:ascii="宋体" w:hAnsi="宋体" w:cs="宋体"/>
                <w:color w:val="000000"/>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BFE383">
            <w:pPr>
              <w:widowControl/>
              <w:jc w:val="left"/>
              <w:rPr>
                <w:rFonts w:ascii="宋体" w:hAnsi="宋体" w:cs="宋体"/>
                <w:color w:val="000000"/>
                <w:kern w:val="0"/>
                <w:sz w:val="24"/>
              </w:rPr>
            </w:pPr>
            <w:r>
              <w:rPr>
                <w:rFonts w:hint="eastAsia" w:ascii="楷体" w:hAnsi="楷体" w:eastAsia="楷体" w:cs="宋体"/>
                <w:color w:val="000000"/>
                <w:kern w:val="0"/>
                <w:sz w:val="20"/>
                <w:szCs w:val="20"/>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D01BE">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E2A1E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47C478">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D660D8">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048303">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877A3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1D3663">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749C802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684B1B3">
            <w:pPr>
              <w:widowControl/>
              <w:jc w:val="left"/>
              <w:rPr>
                <w:rFonts w:ascii="宋体" w:hAnsi="宋体" w:cs="宋体"/>
                <w:color w:val="000000"/>
                <w:kern w:val="0"/>
                <w:sz w:val="24"/>
              </w:rPr>
            </w:pPr>
          </w:p>
        </w:tc>
        <w:tc>
          <w:tcPr>
            <w:tcW w:w="2985" w:type="dxa"/>
            <w:gridSpan w:val="2"/>
            <w:tcBorders>
              <w:top w:val="nil"/>
              <w:left w:val="nil"/>
              <w:bottom w:val="single" w:color="auto" w:sz="8" w:space="0"/>
              <w:right w:val="single" w:color="auto" w:sz="8" w:space="0"/>
            </w:tcBorders>
            <w:vAlign w:val="center"/>
          </w:tcPr>
          <w:p w14:paraId="7B1B2633">
            <w:pPr>
              <w:widowControl/>
              <w:jc w:val="left"/>
              <w:rPr>
                <w:rFonts w:ascii="宋体" w:hAnsi="宋体" w:cs="宋体"/>
                <w:color w:val="000000"/>
                <w:kern w:val="0"/>
                <w:sz w:val="24"/>
              </w:rPr>
            </w:pPr>
            <w:r>
              <w:rPr>
                <w:rFonts w:hint="eastAsia" w:ascii="楷体" w:hAnsi="楷体" w:eastAsia="楷体" w:cs="宋体"/>
                <w:color w:val="000000"/>
                <w:kern w:val="0"/>
                <w:sz w:val="20"/>
                <w:szCs w:val="20"/>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B96E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D15151">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FDF2F7">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408E6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31A8F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4CD927">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44B7C18D">
            <w:pPr>
              <w:widowControl/>
              <w:jc w:val="center"/>
              <w:rPr>
                <w:rFonts w:ascii="宋体" w:hAnsi="宋体" w:cs="宋体"/>
                <w:color w:val="000000"/>
                <w:kern w:val="0"/>
                <w:sz w:val="24"/>
              </w:rPr>
            </w:pPr>
            <w:r>
              <w:rPr>
                <w:rFonts w:ascii="Calibri" w:hAnsi="Calibri" w:cs="宋体"/>
                <w:color w:val="000000"/>
                <w:kern w:val="0"/>
                <w:sz w:val="20"/>
                <w:szCs w:val="20"/>
              </w:rPr>
              <w:t> </w:t>
            </w:r>
          </w:p>
        </w:tc>
      </w:tr>
      <w:tr w14:paraId="75E0062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5FC7278">
            <w:pPr>
              <w:widowControl/>
              <w:jc w:val="left"/>
              <w:rPr>
                <w:rFonts w:ascii="宋体" w:hAnsi="宋体" w:cs="宋体"/>
                <w:color w:val="000000"/>
                <w:kern w:val="0"/>
                <w:sz w:val="24"/>
              </w:rPr>
            </w:pPr>
          </w:p>
        </w:tc>
        <w:tc>
          <w:tcPr>
            <w:tcW w:w="2985" w:type="dxa"/>
            <w:gridSpan w:val="2"/>
            <w:tcBorders>
              <w:top w:val="nil"/>
              <w:left w:val="nil"/>
              <w:bottom w:val="single" w:color="auto" w:sz="8" w:space="0"/>
              <w:right w:val="single" w:color="auto" w:sz="8" w:space="0"/>
            </w:tcBorders>
            <w:vAlign w:val="center"/>
          </w:tcPr>
          <w:p w14:paraId="07C2DF8C">
            <w:pPr>
              <w:widowControl/>
              <w:jc w:val="left"/>
              <w:rPr>
                <w:rFonts w:ascii="宋体" w:hAnsi="宋体" w:cs="宋体"/>
                <w:color w:val="000000"/>
                <w:kern w:val="0"/>
                <w:sz w:val="24"/>
              </w:rPr>
            </w:pPr>
            <w:r>
              <w:rPr>
                <w:rFonts w:hint="eastAsia" w:ascii="楷体" w:hAnsi="楷体" w:eastAsia="楷体" w:cs="宋体"/>
                <w:color w:val="000000"/>
                <w:kern w:val="0"/>
                <w:sz w:val="20"/>
                <w:szCs w:val="20"/>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A54A8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BAE328">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A8EED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58060F">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6891ED7">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69EE51A">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DAE31E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rPr>
              <w:t>2</w:t>
            </w:r>
          </w:p>
        </w:tc>
      </w:tr>
      <w:tr w14:paraId="5A525D12">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14:paraId="692933D6">
            <w:pPr>
              <w:widowControl/>
              <w:jc w:val="left"/>
              <w:rPr>
                <w:rFonts w:ascii="宋体" w:hAnsi="宋体" w:cs="宋体"/>
                <w:color w:val="000000"/>
                <w:kern w:val="0"/>
                <w:sz w:val="24"/>
              </w:rPr>
            </w:pPr>
            <w:r>
              <w:rPr>
                <w:rFonts w:hint="eastAsia" w:ascii="宋体" w:hAnsi="宋体" w:cs="宋体"/>
                <w:color w:val="000000"/>
                <w:kern w:val="0"/>
                <w:sz w:val="20"/>
                <w:szCs w:val="20"/>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C38A8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6BB26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55BD3C">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B538B4">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9E8B79">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FEDC22">
            <w:pPr>
              <w:widowControl/>
              <w:jc w:val="center"/>
              <w:rPr>
                <w:rFonts w:ascii="宋体" w:hAnsi="宋体" w:cs="宋体"/>
                <w:color w:val="000000"/>
                <w:kern w:val="0"/>
                <w:sz w:val="24"/>
              </w:rPr>
            </w:pPr>
            <w:r>
              <w:rPr>
                <w:rFonts w:ascii="Calibri" w:hAnsi="Calibri" w:cs="宋体"/>
                <w:color w:val="000000"/>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78AA150">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0</w:t>
            </w:r>
          </w:p>
        </w:tc>
      </w:tr>
    </w:tbl>
    <w:p w14:paraId="67622407">
      <w:pPr>
        <w:widowControl/>
        <w:spacing w:line="432" w:lineRule="atLeast"/>
        <w:ind w:firstLine="723" w:firstLineChars="300"/>
        <w:rPr>
          <w:rFonts w:ascii="宋体" w:hAnsi="宋体" w:cs="宋体"/>
          <w:b/>
          <w:bCs/>
          <w:color w:val="000000"/>
          <w:kern w:val="0"/>
          <w:sz w:val="24"/>
        </w:rPr>
      </w:pPr>
    </w:p>
    <w:p w14:paraId="0CFDAE93">
      <w:pPr>
        <w:widowControl/>
        <w:spacing w:line="432" w:lineRule="atLeas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四、政府信息公开行政复议、行政诉讼情况</w:t>
      </w:r>
    </w:p>
    <w:p w14:paraId="3C878A26">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2020年全年，本局未因不公开、公开不全等引发信访、诉讼等情况。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CD72600">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8BDA9A">
            <w:pPr>
              <w:widowControl/>
              <w:jc w:val="center"/>
              <w:rPr>
                <w:rFonts w:ascii="宋体" w:hAnsi="宋体" w:cs="宋体"/>
                <w:color w:val="000000"/>
                <w:kern w:val="0"/>
                <w:sz w:val="24"/>
              </w:rPr>
            </w:pPr>
            <w:r>
              <w:rPr>
                <w:rFonts w:hint="eastAsia" w:ascii="宋体" w:hAnsi="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CC91E5">
            <w:pPr>
              <w:widowControl/>
              <w:jc w:val="center"/>
              <w:rPr>
                <w:rFonts w:ascii="宋体" w:hAnsi="宋体" w:cs="宋体"/>
                <w:color w:val="000000"/>
                <w:kern w:val="0"/>
                <w:sz w:val="24"/>
              </w:rPr>
            </w:pPr>
            <w:r>
              <w:rPr>
                <w:rFonts w:hint="eastAsia" w:ascii="宋体" w:hAnsi="宋体" w:cs="宋体"/>
                <w:color w:val="000000"/>
                <w:kern w:val="0"/>
                <w:sz w:val="20"/>
                <w:szCs w:val="20"/>
              </w:rPr>
              <w:t>行政诉讼</w:t>
            </w:r>
          </w:p>
        </w:tc>
      </w:tr>
      <w:tr w14:paraId="7DFB8457">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AA2280">
            <w:pPr>
              <w:widowControl/>
              <w:jc w:val="center"/>
              <w:rPr>
                <w:rFonts w:ascii="宋体" w:hAnsi="宋体" w:cs="宋体"/>
                <w:color w:val="000000"/>
                <w:kern w:val="0"/>
                <w:sz w:val="24"/>
              </w:rPr>
            </w:pPr>
            <w:r>
              <w:rPr>
                <w:rFonts w:hint="eastAsia" w:ascii="宋体" w:hAnsi="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0FA9186">
            <w:pPr>
              <w:widowControl/>
              <w:jc w:val="center"/>
              <w:rPr>
                <w:rFonts w:ascii="宋体" w:hAnsi="宋体" w:cs="宋体"/>
                <w:color w:val="000000"/>
                <w:kern w:val="0"/>
                <w:sz w:val="24"/>
              </w:rPr>
            </w:pPr>
            <w:r>
              <w:rPr>
                <w:rFonts w:hint="eastAsia" w:ascii="宋体" w:hAnsi="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AD592C">
            <w:pPr>
              <w:widowControl/>
              <w:jc w:val="center"/>
              <w:rPr>
                <w:rFonts w:ascii="宋体" w:hAnsi="宋体" w:cs="宋体"/>
                <w:color w:val="000000"/>
                <w:kern w:val="0"/>
                <w:sz w:val="24"/>
              </w:rPr>
            </w:pPr>
            <w:r>
              <w:rPr>
                <w:rFonts w:hint="eastAsia" w:ascii="宋体" w:hAnsi="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5059D8">
            <w:pPr>
              <w:widowControl/>
              <w:jc w:val="center"/>
              <w:rPr>
                <w:rFonts w:ascii="宋体" w:hAnsi="宋体" w:cs="宋体"/>
                <w:color w:val="000000"/>
                <w:kern w:val="0"/>
                <w:sz w:val="24"/>
              </w:rPr>
            </w:pPr>
            <w:r>
              <w:rPr>
                <w:rFonts w:hint="eastAsia" w:ascii="宋体" w:hAnsi="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4B7241">
            <w:pPr>
              <w:widowControl/>
              <w:jc w:val="center"/>
              <w:rPr>
                <w:rFonts w:ascii="宋体" w:hAnsi="宋体" w:cs="宋体"/>
                <w:color w:val="000000"/>
                <w:kern w:val="0"/>
                <w:sz w:val="24"/>
              </w:rPr>
            </w:pPr>
            <w:r>
              <w:rPr>
                <w:rFonts w:hint="eastAsia" w:ascii="宋体" w:hAnsi="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694959">
            <w:pPr>
              <w:widowControl/>
              <w:jc w:val="center"/>
              <w:rPr>
                <w:rFonts w:ascii="宋体" w:hAnsi="宋体" w:cs="宋体"/>
                <w:color w:val="000000"/>
                <w:kern w:val="0"/>
                <w:sz w:val="24"/>
              </w:rPr>
            </w:pPr>
            <w:r>
              <w:rPr>
                <w:rFonts w:hint="eastAsia" w:ascii="宋体" w:hAnsi="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3A6D4E">
            <w:pPr>
              <w:widowControl/>
              <w:jc w:val="center"/>
              <w:rPr>
                <w:rFonts w:ascii="宋体" w:hAnsi="宋体" w:cs="宋体"/>
                <w:color w:val="000000"/>
                <w:kern w:val="0"/>
                <w:sz w:val="24"/>
              </w:rPr>
            </w:pPr>
            <w:r>
              <w:rPr>
                <w:rFonts w:hint="eastAsia" w:ascii="宋体" w:hAnsi="宋体" w:cs="宋体"/>
                <w:color w:val="000000"/>
                <w:kern w:val="0"/>
                <w:sz w:val="20"/>
                <w:szCs w:val="20"/>
              </w:rPr>
              <w:t>复议后起诉</w:t>
            </w:r>
          </w:p>
        </w:tc>
      </w:tr>
      <w:tr w14:paraId="38A04A8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514F9E3">
            <w:pPr>
              <w:widowControl/>
              <w:jc w:val="left"/>
              <w:rPr>
                <w:rFonts w:ascii="宋体" w:hAnsi="宋体" w:cs="宋体"/>
                <w:color w:val="000000"/>
                <w:kern w:val="0"/>
                <w:sz w:val="24"/>
              </w:rPr>
            </w:pPr>
          </w:p>
        </w:tc>
        <w:tc>
          <w:tcPr>
            <w:tcW w:w="0" w:type="auto"/>
            <w:vMerge w:val="continue"/>
            <w:tcBorders>
              <w:top w:val="nil"/>
              <w:left w:val="nil"/>
              <w:bottom w:val="single" w:color="auto" w:sz="8" w:space="0"/>
              <w:right w:val="single" w:color="auto" w:sz="8" w:space="0"/>
            </w:tcBorders>
            <w:vAlign w:val="center"/>
          </w:tcPr>
          <w:p w14:paraId="592E1532">
            <w:pPr>
              <w:widowControl/>
              <w:jc w:val="left"/>
              <w:rPr>
                <w:rFonts w:ascii="宋体" w:hAnsi="宋体" w:cs="宋体"/>
                <w:color w:val="000000"/>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14:paraId="4409E65C">
            <w:pPr>
              <w:widowControl/>
              <w:jc w:val="left"/>
              <w:rPr>
                <w:rFonts w:ascii="宋体" w:hAnsi="宋体" w:cs="宋体"/>
                <w:color w:val="000000"/>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14:paraId="084DF95B">
            <w:pPr>
              <w:widowControl/>
              <w:jc w:val="left"/>
              <w:rPr>
                <w:rFonts w:ascii="宋体" w:hAnsi="宋体" w:cs="宋体"/>
                <w:color w:val="000000"/>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14:paraId="44DA2872">
            <w:pPr>
              <w:widowControl/>
              <w:jc w:val="left"/>
              <w:rPr>
                <w:rFonts w:ascii="宋体" w:hAnsi="宋体" w:cs="宋体"/>
                <w:color w:val="000000"/>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03534C">
            <w:pPr>
              <w:widowControl/>
              <w:jc w:val="center"/>
              <w:rPr>
                <w:rFonts w:ascii="宋体" w:hAnsi="宋体" w:cs="宋体"/>
                <w:color w:val="000000"/>
                <w:kern w:val="0"/>
                <w:sz w:val="24"/>
              </w:rPr>
            </w:pPr>
            <w:r>
              <w:rPr>
                <w:rFonts w:hint="eastAsia" w:ascii="宋体" w:hAnsi="宋体" w:cs="宋体"/>
                <w:color w:val="000000"/>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E5EFA3">
            <w:pPr>
              <w:widowControl/>
              <w:jc w:val="center"/>
              <w:rPr>
                <w:rFonts w:ascii="宋体" w:hAnsi="宋体" w:cs="宋体"/>
                <w:color w:val="000000"/>
                <w:kern w:val="0"/>
                <w:sz w:val="24"/>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DA5641">
            <w:pPr>
              <w:widowControl/>
              <w:jc w:val="center"/>
              <w:rPr>
                <w:rFonts w:ascii="宋体" w:hAnsi="宋体" w:cs="宋体"/>
                <w:color w:val="000000"/>
                <w:kern w:val="0"/>
                <w:sz w:val="24"/>
              </w:rPr>
            </w:pPr>
            <w:r>
              <w:rPr>
                <w:rFonts w:hint="eastAsia" w:ascii="宋体" w:hAnsi="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E587EF">
            <w:pPr>
              <w:widowControl/>
              <w:jc w:val="center"/>
              <w:rPr>
                <w:rFonts w:ascii="宋体" w:hAnsi="宋体" w:cs="宋体"/>
                <w:color w:val="000000"/>
                <w:kern w:val="0"/>
                <w:sz w:val="24"/>
              </w:rPr>
            </w:pPr>
            <w:r>
              <w:rPr>
                <w:rFonts w:hint="eastAsia" w:ascii="宋体" w:hAnsi="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6D174E">
            <w:pPr>
              <w:widowControl/>
              <w:jc w:val="center"/>
              <w:rPr>
                <w:rFonts w:ascii="宋体" w:hAnsi="宋体" w:cs="宋体"/>
                <w:color w:val="000000"/>
                <w:kern w:val="0"/>
                <w:sz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D398F3">
            <w:pPr>
              <w:widowControl/>
              <w:jc w:val="center"/>
              <w:rPr>
                <w:rFonts w:ascii="宋体" w:hAnsi="宋体" w:cs="宋体"/>
                <w:color w:val="000000"/>
                <w:kern w:val="0"/>
                <w:sz w:val="24"/>
              </w:rPr>
            </w:pPr>
            <w:r>
              <w:rPr>
                <w:rFonts w:hint="eastAsia" w:ascii="宋体" w:hAnsi="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394A6F">
            <w:pPr>
              <w:widowControl/>
              <w:jc w:val="center"/>
              <w:rPr>
                <w:rFonts w:ascii="宋体" w:hAnsi="宋体" w:cs="宋体"/>
                <w:color w:val="000000"/>
                <w:kern w:val="0"/>
                <w:sz w:val="24"/>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1B6839">
            <w:pPr>
              <w:widowControl/>
              <w:jc w:val="center"/>
              <w:rPr>
                <w:rFonts w:ascii="宋体" w:hAnsi="宋体" w:cs="宋体"/>
                <w:color w:val="000000"/>
                <w:kern w:val="0"/>
                <w:sz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1B0D11">
            <w:pPr>
              <w:widowControl/>
              <w:jc w:val="center"/>
              <w:rPr>
                <w:rFonts w:ascii="宋体" w:hAnsi="宋体" w:cs="宋体"/>
                <w:color w:val="000000"/>
                <w:kern w:val="0"/>
                <w:sz w:val="24"/>
              </w:rPr>
            </w:pPr>
            <w:r>
              <w:rPr>
                <w:rFonts w:hint="eastAsia" w:ascii="宋体" w:hAnsi="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CD8ACA">
            <w:pPr>
              <w:widowControl/>
              <w:jc w:val="center"/>
              <w:rPr>
                <w:rFonts w:ascii="宋体" w:hAnsi="宋体" w:cs="宋体"/>
                <w:color w:val="000000"/>
                <w:kern w:val="0"/>
                <w:sz w:val="24"/>
              </w:rPr>
            </w:pPr>
            <w:r>
              <w:rPr>
                <w:rFonts w:hint="eastAsia" w:ascii="宋体" w:hAnsi="宋体" w:cs="宋体"/>
                <w:color w:val="000000"/>
                <w:kern w:val="0"/>
                <w:sz w:val="20"/>
                <w:szCs w:val="20"/>
              </w:rPr>
              <w:t>总计</w:t>
            </w:r>
          </w:p>
        </w:tc>
      </w:tr>
      <w:tr w14:paraId="18E9A312">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E8432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11029B">
            <w:pPr>
              <w:widowControl/>
              <w:jc w:val="center"/>
              <w:rPr>
                <w:rFonts w:ascii="宋体" w:hAnsi="宋体" w:cs="宋体"/>
                <w:color w:val="000000"/>
                <w:kern w:val="0"/>
                <w:sz w:val="24"/>
              </w:rPr>
            </w:pPr>
            <w:r>
              <w:rPr>
                <w:rFonts w:hint="eastAsia" w:ascii="Calibri" w:hAnsi="Calibri" w:cs="宋体"/>
                <w:color w:val="000000"/>
                <w:kern w:val="0"/>
                <w:sz w:val="20"/>
                <w:szCs w:val="20"/>
              </w:rPr>
              <w:t>0</w:t>
            </w:r>
            <w:r>
              <w:rPr>
                <w:rFonts w:ascii="Calibri" w:hAnsi="Calibri" w:cs="宋体"/>
                <w:color w:val="000000"/>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A9C36">
            <w:pPr>
              <w:widowControl/>
              <w:jc w:val="center"/>
              <w:rPr>
                <w:rFonts w:ascii="宋体" w:hAnsi="宋体" w:cs="宋体"/>
                <w:color w:val="000000"/>
                <w:kern w:val="0"/>
                <w:sz w:val="24"/>
              </w:rPr>
            </w:pPr>
            <w:r>
              <w:rPr>
                <w:rFonts w:hint="eastAsia" w:ascii="Calibri" w:hAnsi="Calibri" w:cs="宋体"/>
                <w:color w:val="000000"/>
                <w:kern w:val="0"/>
                <w:sz w:val="20"/>
                <w:szCs w:val="20"/>
              </w:rPr>
              <w:t>0</w:t>
            </w:r>
            <w:r>
              <w:rPr>
                <w:rFonts w:ascii="Calibri" w:hAnsi="Calibri" w:cs="宋体"/>
                <w:color w:val="000000"/>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E6C5CCF">
            <w:pPr>
              <w:widowControl/>
              <w:jc w:val="center"/>
              <w:rPr>
                <w:rFonts w:ascii="宋体" w:hAnsi="宋体" w:cs="宋体"/>
                <w:color w:val="000000"/>
                <w:kern w:val="0"/>
                <w:sz w:val="24"/>
              </w:rPr>
            </w:pPr>
            <w:r>
              <w:rPr>
                <w:rFonts w:hint="eastAsia" w:ascii="Calibri" w:hAnsi="Calibri" w:cs="宋体"/>
                <w:color w:val="000000"/>
                <w:kern w:val="0"/>
                <w:sz w:val="20"/>
                <w:szCs w:val="20"/>
              </w:rPr>
              <w:t>0</w:t>
            </w:r>
            <w:r>
              <w:rPr>
                <w:rFonts w:ascii="Calibri" w:hAnsi="Calibri" w:cs="宋体"/>
                <w:color w:val="000000"/>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114D821B">
            <w:pPr>
              <w:widowControl/>
              <w:jc w:val="center"/>
              <w:rPr>
                <w:rFonts w:ascii="宋体" w:hAnsi="宋体" w:cs="宋体"/>
                <w:color w:val="000000"/>
                <w:kern w:val="0"/>
                <w:sz w:val="24"/>
              </w:rPr>
            </w:pPr>
            <w:r>
              <w:rPr>
                <w:rFonts w:hint="eastAsia" w:ascii="Calibri" w:hAnsi="Calibri" w:cs="宋体"/>
                <w:color w:val="000000"/>
                <w:kern w:val="0"/>
                <w:sz w:val="20"/>
                <w:szCs w:val="20"/>
              </w:rPr>
              <w:t>0</w:t>
            </w:r>
            <w:r>
              <w:rPr>
                <w:rFonts w:ascii="Calibri" w:hAnsi="Calibri" w:cs="宋体"/>
                <w:color w:val="000000"/>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7DE7BC">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DB5148">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089C81">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13F8E7">
            <w:pPr>
              <w:widowControl/>
              <w:jc w:val="center"/>
              <w:rPr>
                <w:rFonts w:ascii="宋体" w:hAnsi="宋体" w:cs="宋体"/>
                <w:color w:val="000000"/>
                <w:kern w:val="0"/>
                <w:sz w:val="24"/>
              </w:rPr>
            </w:pPr>
            <w:r>
              <w:rPr>
                <w:rFonts w:hint="eastAsia" w:ascii="宋体" w:hAnsi="宋体" w:cs="宋体"/>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D22C83">
            <w:pPr>
              <w:widowControl/>
              <w:jc w:val="center"/>
              <w:rPr>
                <w:rFonts w:ascii="宋体" w:hAnsi="宋体" w:cs="宋体"/>
                <w:color w:val="000000"/>
                <w:kern w:val="0"/>
                <w:sz w:val="24"/>
              </w:rPr>
            </w:pPr>
            <w:r>
              <w:rPr>
                <w:rFonts w:hint="eastAsia" w:ascii="宋体" w:hAnsi="宋体" w:cs="宋体"/>
                <w:color w:val="000000"/>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70091F">
            <w:pPr>
              <w:widowControl/>
              <w:jc w:val="center"/>
              <w:rPr>
                <w:rFonts w:ascii="宋体" w:hAnsi="宋体" w:cs="宋体"/>
                <w:color w:val="000000"/>
                <w:kern w:val="0"/>
                <w:sz w:val="24"/>
              </w:rPr>
            </w:pPr>
            <w:r>
              <w:rPr>
                <w:rFonts w:hint="eastAsia" w:ascii="宋体" w:hAnsi="宋体" w:cs="宋体"/>
                <w:color w:val="000000"/>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BF6830">
            <w:pPr>
              <w:widowControl/>
              <w:jc w:val="center"/>
              <w:rPr>
                <w:rFonts w:ascii="宋体" w:hAnsi="宋体" w:cs="宋体"/>
                <w:color w:val="000000"/>
                <w:kern w:val="0"/>
                <w:sz w:val="24"/>
              </w:rPr>
            </w:pPr>
            <w:r>
              <w:rPr>
                <w:rFonts w:hint="eastAsia" w:ascii="宋体" w:hAnsi="宋体" w:cs="宋体"/>
                <w:color w:val="000000"/>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15CCE1">
            <w:pPr>
              <w:widowControl/>
              <w:jc w:val="center"/>
              <w:rPr>
                <w:rFonts w:ascii="宋体" w:hAnsi="宋体" w:cs="宋体"/>
                <w:color w:val="000000"/>
                <w:kern w:val="0"/>
                <w:sz w:val="24"/>
              </w:rPr>
            </w:pPr>
            <w:r>
              <w:rPr>
                <w:rFonts w:hint="eastAsia" w:ascii="宋体" w:hAnsi="宋体" w:cs="宋体"/>
                <w:color w:val="000000"/>
                <w:kern w:val="0"/>
                <w:sz w:val="20"/>
                <w:szCs w:val="20"/>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21F05D">
            <w:pPr>
              <w:widowControl/>
              <w:jc w:val="center"/>
              <w:rPr>
                <w:rFonts w:ascii="宋体" w:hAnsi="宋体" w:cs="宋体"/>
                <w:color w:val="000000"/>
                <w:kern w:val="0"/>
                <w:sz w:val="24"/>
              </w:rPr>
            </w:pPr>
            <w:r>
              <w:rPr>
                <w:rFonts w:hint="eastAsia" w:ascii="宋体" w:hAnsi="宋体" w:cs="宋体"/>
                <w:color w:val="000000"/>
                <w:kern w:val="0"/>
                <w:sz w:val="20"/>
                <w:szCs w:val="20"/>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2CD40F">
            <w:pPr>
              <w:widowControl/>
              <w:ind w:firstLine="120" w:firstLineChars="50"/>
              <w:jc w:val="left"/>
              <w:rPr>
                <w:rFonts w:ascii="宋体" w:hAnsi="宋体" w:cs="宋体"/>
                <w:color w:val="000000"/>
                <w:kern w:val="0"/>
                <w:sz w:val="24"/>
              </w:rPr>
            </w:pPr>
            <w:r>
              <w:rPr>
                <w:rFonts w:hint="eastAsia" w:ascii="宋体" w:hAnsi="宋体" w:cs="宋体"/>
                <w:color w:val="000000"/>
                <w:kern w:val="0"/>
                <w:sz w:val="24"/>
              </w:rPr>
              <w:t>0</w:t>
            </w:r>
          </w:p>
        </w:tc>
      </w:tr>
    </w:tbl>
    <w:p w14:paraId="1104FB48">
      <w:pPr>
        <w:widowControl/>
        <w:spacing w:line="432" w:lineRule="atLeast"/>
        <w:ind w:firstLine="640" w:firstLineChars="200"/>
        <w:rPr>
          <w:rFonts w:ascii="黑体" w:hAnsi="黑体" w:eastAsia="黑体" w:cs="宋体"/>
          <w:bCs/>
          <w:color w:val="000000"/>
          <w:kern w:val="0"/>
          <w:sz w:val="32"/>
          <w:szCs w:val="32"/>
        </w:rPr>
      </w:pPr>
    </w:p>
    <w:p w14:paraId="01B98F45">
      <w:pPr>
        <w:widowControl/>
        <w:spacing w:line="432" w:lineRule="atLeast"/>
        <w:ind w:firstLine="640" w:firstLineChars="200"/>
        <w:rPr>
          <w:rFonts w:ascii="黑体" w:hAnsi="黑体" w:eastAsia="黑体" w:cs="宋体"/>
          <w:color w:val="000000"/>
          <w:kern w:val="0"/>
          <w:sz w:val="32"/>
          <w:szCs w:val="32"/>
        </w:rPr>
      </w:pPr>
      <w:r>
        <w:rPr>
          <w:rFonts w:hint="eastAsia" w:ascii="黑体" w:hAnsi="黑体" w:eastAsia="黑体" w:cs="宋体"/>
          <w:bCs/>
          <w:color w:val="000000"/>
          <w:kern w:val="0"/>
          <w:sz w:val="32"/>
          <w:szCs w:val="32"/>
        </w:rPr>
        <w:t>五、存在的主要问题及改进情况</w:t>
      </w:r>
    </w:p>
    <w:p w14:paraId="37F92804">
      <w:pPr>
        <w:widowControl/>
        <w:shd w:val="clear" w:color="auto" w:fill="FFFFFF"/>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目前，本局的政府信息公开工作不断规范化和制度化，在进步的同时也不断在改进。随着群众对卫生健康需求的日益增长，我市政务信息平台建设还需紧跟步伐，</w:t>
      </w:r>
      <w:r>
        <w:rPr>
          <w:rFonts w:ascii="仿宋_GB2312" w:hAnsi="宋体" w:eastAsia="仿宋_GB2312" w:cs="宋体"/>
          <w:color w:val="000000"/>
          <w:kern w:val="0"/>
          <w:sz w:val="32"/>
          <w:szCs w:val="32"/>
        </w:rPr>
        <w:t>网上办事服务功能需要进一步完善，与</w:t>
      </w:r>
      <w:r>
        <w:rPr>
          <w:rFonts w:hint="eastAsia" w:ascii="仿宋_GB2312" w:hAnsi="宋体" w:eastAsia="仿宋_GB2312" w:cs="宋体"/>
          <w:color w:val="000000"/>
          <w:kern w:val="0"/>
          <w:sz w:val="32"/>
          <w:szCs w:val="32"/>
        </w:rPr>
        <w:t>群众</w:t>
      </w:r>
      <w:r>
        <w:rPr>
          <w:rFonts w:ascii="仿宋_GB2312" w:hAnsi="宋体" w:eastAsia="仿宋_GB2312" w:cs="宋体"/>
          <w:color w:val="000000"/>
          <w:kern w:val="0"/>
          <w:sz w:val="32"/>
          <w:szCs w:val="32"/>
        </w:rPr>
        <w:t>的信息互动</w:t>
      </w:r>
      <w:r>
        <w:rPr>
          <w:rFonts w:hint="eastAsia" w:ascii="仿宋_GB2312" w:hAnsi="宋体" w:eastAsia="仿宋_GB2312" w:cs="宋体"/>
          <w:color w:val="000000"/>
          <w:kern w:val="0"/>
          <w:sz w:val="32"/>
          <w:szCs w:val="32"/>
        </w:rPr>
        <w:t>性</w:t>
      </w:r>
      <w:r>
        <w:rPr>
          <w:rFonts w:ascii="仿宋_GB2312" w:hAnsi="宋体" w:eastAsia="仿宋_GB2312" w:cs="宋体"/>
          <w:color w:val="000000"/>
          <w:kern w:val="0"/>
          <w:sz w:val="32"/>
          <w:szCs w:val="32"/>
        </w:rPr>
        <w:t>需要进一步</w:t>
      </w:r>
      <w:r>
        <w:rPr>
          <w:rFonts w:hint="eastAsia" w:ascii="仿宋_GB2312" w:hAnsi="宋体" w:eastAsia="仿宋_GB2312" w:cs="宋体"/>
          <w:color w:val="000000"/>
          <w:kern w:val="0"/>
          <w:sz w:val="32"/>
          <w:szCs w:val="32"/>
        </w:rPr>
        <w:t>提升，如“健康海宁”的“最多跑一次”改革项目还欠缺。我</w:t>
      </w:r>
      <w:r>
        <w:rPr>
          <w:rFonts w:hint="eastAsia" w:ascii="仿宋_GB2312" w:hAnsi="宋体" w:eastAsia="仿宋_GB2312"/>
          <w:color w:val="000000"/>
          <w:sz w:val="32"/>
          <w:szCs w:val="32"/>
        </w:rPr>
        <w:t>局将积极探索平台，从2021年起将“健康海宁”微信公众号迁移至“海宁市卫健局”微信公众号，不断拓展健康服务，同时各市级医院不断拓展网络平台的“最多跑一次”服务功能。</w:t>
      </w:r>
    </w:p>
    <w:p w14:paraId="24B9D785">
      <w:pPr>
        <w:adjustRightInd w:val="0"/>
        <w:snapToGrid w:val="0"/>
        <w:spacing w:line="560" w:lineRule="exact"/>
      </w:pP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60816"/>
      <w:docPartObj>
        <w:docPartGallery w:val="AutoText"/>
      </w:docPartObj>
    </w:sdtPr>
    <w:sdtContent>
      <w:p w14:paraId="1DE4A113">
        <w:pPr>
          <w:pStyle w:val="2"/>
          <w:ind w:right="27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1C25ED0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60829"/>
      <w:docPartObj>
        <w:docPartGallery w:val="AutoText"/>
      </w:docPartObj>
    </w:sdtPr>
    <w:sdtContent>
      <w:p w14:paraId="7889AFF2">
        <w:pPr>
          <w:pStyle w:val="2"/>
          <w:ind w:firstLine="360" w:firstLineChars="200"/>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2 -</w:t>
        </w:r>
        <w:r>
          <w:rPr>
            <w:rFonts w:asciiTheme="minorEastAsia" w:hAnsiTheme="minorEastAsia" w:eastAsiaTheme="minorEastAsia"/>
            <w:sz w:val="32"/>
            <w:szCs w:val="32"/>
          </w:rPr>
          <w:fldChar w:fldCharType="end"/>
        </w:r>
      </w:p>
    </w:sdtContent>
  </w:sdt>
  <w:p w14:paraId="0DCD5E9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0F6B"/>
    <w:rsid w:val="00004E78"/>
    <w:rsid w:val="00014588"/>
    <w:rsid w:val="00035673"/>
    <w:rsid w:val="00047778"/>
    <w:rsid w:val="00053F25"/>
    <w:rsid w:val="00057270"/>
    <w:rsid w:val="00067D51"/>
    <w:rsid w:val="00097F6C"/>
    <w:rsid w:val="000B1B00"/>
    <w:rsid w:val="000C0E0F"/>
    <w:rsid w:val="000D7AFA"/>
    <w:rsid w:val="000F0D63"/>
    <w:rsid w:val="00125A50"/>
    <w:rsid w:val="001273CC"/>
    <w:rsid w:val="001305E4"/>
    <w:rsid w:val="001376F0"/>
    <w:rsid w:val="00144C6D"/>
    <w:rsid w:val="001516FD"/>
    <w:rsid w:val="00160D24"/>
    <w:rsid w:val="00186724"/>
    <w:rsid w:val="001960A8"/>
    <w:rsid w:val="001A35CD"/>
    <w:rsid w:val="001E06D0"/>
    <w:rsid w:val="001F2FCE"/>
    <w:rsid w:val="001F687C"/>
    <w:rsid w:val="001F7B74"/>
    <w:rsid w:val="00216B6D"/>
    <w:rsid w:val="00237498"/>
    <w:rsid w:val="0025627D"/>
    <w:rsid w:val="002711F9"/>
    <w:rsid w:val="00274EAD"/>
    <w:rsid w:val="002B1815"/>
    <w:rsid w:val="002C5129"/>
    <w:rsid w:val="002C774F"/>
    <w:rsid w:val="002D3204"/>
    <w:rsid w:val="002E00A1"/>
    <w:rsid w:val="002E06F6"/>
    <w:rsid w:val="002F2D14"/>
    <w:rsid w:val="00304E3F"/>
    <w:rsid w:val="003052F8"/>
    <w:rsid w:val="00311596"/>
    <w:rsid w:val="0032124D"/>
    <w:rsid w:val="00322033"/>
    <w:rsid w:val="00322CF2"/>
    <w:rsid w:val="00323C11"/>
    <w:rsid w:val="003244DE"/>
    <w:rsid w:val="00357171"/>
    <w:rsid w:val="00362173"/>
    <w:rsid w:val="00366AFB"/>
    <w:rsid w:val="003759FB"/>
    <w:rsid w:val="00386CCC"/>
    <w:rsid w:val="00392445"/>
    <w:rsid w:val="003962CA"/>
    <w:rsid w:val="003A7F45"/>
    <w:rsid w:val="003B39CC"/>
    <w:rsid w:val="003C0025"/>
    <w:rsid w:val="003D136A"/>
    <w:rsid w:val="003F0D14"/>
    <w:rsid w:val="003F1F4A"/>
    <w:rsid w:val="004441B1"/>
    <w:rsid w:val="00452FAF"/>
    <w:rsid w:val="004554FA"/>
    <w:rsid w:val="004556C8"/>
    <w:rsid w:val="00460925"/>
    <w:rsid w:val="004624B7"/>
    <w:rsid w:val="00483831"/>
    <w:rsid w:val="00483AC7"/>
    <w:rsid w:val="00485242"/>
    <w:rsid w:val="00493B5E"/>
    <w:rsid w:val="00494B87"/>
    <w:rsid w:val="004B357E"/>
    <w:rsid w:val="004B45CE"/>
    <w:rsid w:val="004B4AC1"/>
    <w:rsid w:val="004C2A32"/>
    <w:rsid w:val="004E7667"/>
    <w:rsid w:val="004F7C76"/>
    <w:rsid w:val="00500F6B"/>
    <w:rsid w:val="00510295"/>
    <w:rsid w:val="00512291"/>
    <w:rsid w:val="005259E1"/>
    <w:rsid w:val="0053454E"/>
    <w:rsid w:val="00535BFD"/>
    <w:rsid w:val="00545493"/>
    <w:rsid w:val="00552E94"/>
    <w:rsid w:val="0056331A"/>
    <w:rsid w:val="00572A30"/>
    <w:rsid w:val="00576499"/>
    <w:rsid w:val="00584E0A"/>
    <w:rsid w:val="005B360B"/>
    <w:rsid w:val="005C4B09"/>
    <w:rsid w:val="005D0E59"/>
    <w:rsid w:val="005F4A20"/>
    <w:rsid w:val="006041B2"/>
    <w:rsid w:val="006055F9"/>
    <w:rsid w:val="00606CAF"/>
    <w:rsid w:val="00627656"/>
    <w:rsid w:val="006363C1"/>
    <w:rsid w:val="00657203"/>
    <w:rsid w:val="006801F4"/>
    <w:rsid w:val="006A5035"/>
    <w:rsid w:val="006B32B5"/>
    <w:rsid w:val="006B79B1"/>
    <w:rsid w:val="006C0808"/>
    <w:rsid w:val="006E1C55"/>
    <w:rsid w:val="006E7F62"/>
    <w:rsid w:val="006F3700"/>
    <w:rsid w:val="00707965"/>
    <w:rsid w:val="00712006"/>
    <w:rsid w:val="00716D62"/>
    <w:rsid w:val="00726A58"/>
    <w:rsid w:val="00742FD4"/>
    <w:rsid w:val="00767957"/>
    <w:rsid w:val="00773160"/>
    <w:rsid w:val="00776D83"/>
    <w:rsid w:val="00793841"/>
    <w:rsid w:val="007A5B0B"/>
    <w:rsid w:val="007B20CA"/>
    <w:rsid w:val="007B2EEB"/>
    <w:rsid w:val="007C599E"/>
    <w:rsid w:val="007C62E4"/>
    <w:rsid w:val="007E7FB1"/>
    <w:rsid w:val="007F5844"/>
    <w:rsid w:val="0080204C"/>
    <w:rsid w:val="00812BF6"/>
    <w:rsid w:val="00815188"/>
    <w:rsid w:val="00821A0A"/>
    <w:rsid w:val="00826FBF"/>
    <w:rsid w:val="00831C03"/>
    <w:rsid w:val="0084091A"/>
    <w:rsid w:val="00846ED3"/>
    <w:rsid w:val="00863AC6"/>
    <w:rsid w:val="00873F27"/>
    <w:rsid w:val="008A5EA9"/>
    <w:rsid w:val="008B3BE5"/>
    <w:rsid w:val="008D4963"/>
    <w:rsid w:val="008E1867"/>
    <w:rsid w:val="009315FE"/>
    <w:rsid w:val="00936D9C"/>
    <w:rsid w:val="00940847"/>
    <w:rsid w:val="00954E4A"/>
    <w:rsid w:val="009719C8"/>
    <w:rsid w:val="009728EA"/>
    <w:rsid w:val="009815BC"/>
    <w:rsid w:val="009873EC"/>
    <w:rsid w:val="00987AD2"/>
    <w:rsid w:val="00987DFC"/>
    <w:rsid w:val="00990ED5"/>
    <w:rsid w:val="009C77E6"/>
    <w:rsid w:val="009D73AB"/>
    <w:rsid w:val="009E1B6B"/>
    <w:rsid w:val="009E1E4B"/>
    <w:rsid w:val="009E3FB7"/>
    <w:rsid w:val="009F10EA"/>
    <w:rsid w:val="00A017C3"/>
    <w:rsid w:val="00A10A11"/>
    <w:rsid w:val="00A2037F"/>
    <w:rsid w:val="00A22D3D"/>
    <w:rsid w:val="00A25286"/>
    <w:rsid w:val="00A3371B"/>
    <w:rsid w:val="00A34BD8"/>
    <w:rsid w:val="00A41155"/>
    <w:rsid w:val="00A45403"/>
    <w:rsid w:val="00A50921"/>
    <w:rsid w:val="00A540B5"/>
    <w:rsid w:val="00A8106C"/>
    <w:rsid w:val="00AB2BCB"/>
    <w:rsid w:val="00AB2DB9"/>
    <w:rsid w:val="00AF0DE8"/>
    <w:rsid w:val="00B040B5"/>
    <w:rsid w:val="00B11669"/>
    <w:rsid w:val="00B123FE"/>
    <w:rsid w:val="00B23B57"/>
    <w:rsid w:val="00B24ED5"/>
    <w:rsid w:val="00B32F00"/>
    <w:rsid w:val="00B43146"/>
    <w:rsid w:val="00B510D9"/>
    <w:rsid w:val="00B71EAC"/>
    <w:rsid w:val="00B91D33"/>
    <w:rsid w:val="00B9779E"/>
    <w:rsid w:val="00BF4054"/>
    <w:rsid w:val="00C07C1A"/>
    <w:rsid w:val="00C07DE0"/>
    <w:rsid w:val="00C34F3D"/>
    <w:rsid w:val="00C36D2C"/>
    <w:rsid w:val="00C611B3"/>
    <w:rsid w:val="00C63E6E"/>
    <w:rsid w:val="00C67F78"/>
    <w:rsid w:val="00C7594B"/>
    <w:rsid w:val="00C773E8"/>
    <w:rsid w:val="00C82498"/>
    <w:rsid w:val="00C959B5"/>
    <w:rsid w:val="00CA4045"/>
    <w:rsid w:val="00CC114B"/>
    <w:rsid w:val="00CC1E38"/>
    <w:rsid w:val="00CE5355"/>
    <w:rsid w:val="00CE6BBC"/>
    <w:rsid w:val="00CF129C"/>
    <w:rsid w:val="00D2268A"/>
    <w:rsid w:val="00D262E7"/>
    <w:rsid w:val="00D31466"/>
    <w:rsid w:val="00D34DF9"/>
    <w:rsid w:val="00D3785D"/>
    <w:rsid w:val="00D45D78"/>
    <w:rsid w:val="00D834F1"/>
    <w:rsid w:val="00D850E7"/>
    <w:rsid w:val="00DB6578"/>
    <w:rsid w:val="00DC4C0E"/>
    <w:rsid w:val="00DC5933"/>
    <w:rsid w:val="00DD137B"/>
    <w:rsid w:val="00DD4051"/>
    <w:rsid w:val="00DF45FE"/>
    <w:rsid w:val="00E10360"/>
    <w:rsid w:val="00E13A28"/>
    <w:rsid w:val="00E14890"/>
    <w:rsid w:val="00E15B6D"/>
    <w:rsid w:val="00E53BD0"/>
    <w:rsid w:val="00E6120D"/>
    <w:rsid w:val="00E6302A"/>
    <w:rsid w:val="00E77EDB"/>
    <w:rsid w:val="00E82188"/>
    <w:rsid w:val="00E8394B"/>
    <w:rsid w:val="00E86412"/>
    <w:rsid w:val="00EC096A"/>
    <w:rsid w:val="00ED2646"/>
    <w:rsid w:val="00EE75C9"/>
    <w:rsid w:val="00EF6109"/>
    <w:rsid w:val="00F01888"/>
    <w:rsid w:val="00F0732D"/>
    <w:rsid w:val="00F124BA"/>
    <w:rsid w:val="00F16C76"/>
    <w:rsid w:val="00F5616E"/>
    <w:rsid w:val="00F64949"/>
    <w:rsid w:val="00F700F0"/>
    <w:rsid w:val="00F8267C"/>
    <w:rsid w:val="00F82D17"/>
    <w:rsid w:val="00F856F4"/>
    <w:rsid w:val="00F86B75"/>
    <w:rsid w:val="00F91D68"/>
    <w:rsid w:val="00F95D88"/>
    <w:rsid w:val="00FB519B"/>
    <w:rsid w:val="00FF49D9"/>
    <w:rsid w:val="06131A4B"/>
    <w:rsid w:val="08BA0944"/>
    <w:rsid w:val="0F6C7E16"/>
    <w:rsid w:val="178C7197"/>
    <w:rsid w:val="3612763A"/>
    <w:rsid w:val="47604935"/>
    <w:rsid w:val="5B474808"/>
    <w:rsid w:val="64925C1A"/>
    <w:rsid w:val="68D94581"/>
    <w:rsid w:val="76405ABA"/>
    <w:rsid w:val="77E9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FollowedHyperlink"/>
    <w:basedOn w:val="6"/>
    <w:semiHidden/>
    <w:unhideWhenUsed/>
    <w:qFormat/>
    <w:uiPriority w:val="99"/>
    <w:rPr>
      <w:color w:val="333333"/>
      <w:sz w:val="18"/>
      <w:szCs w:val="18"/>
      <w:u w:val="none"/>
    </w:rPr>
  </w:style>
  <w:style w:type="character" w:styleId="9">
    <w:name w:val="Hyperlink"/>
    <w:basedOn w:val="6"/>
    <w:semiHidden/>
    <w:unhideWhenUsed/>
    <w:qFormat/>
    <w:uiPriority w:val="99"/>
    <w:rPr>
      <w:color w:val="333333"/>
      <w:sz w:val="18"/>
      <w:szCs w:val="18"/>
      <w:u w:val="none"/>
    </w:rPr>
  </w:style>
  <w:style w:type="character" w:customStyle="1" w:styleId="10">
    <w:name w:val="页脚 Char"/>
    <w:basedOn w:val="6"/>
    <w:link w:val="2"/>
    <w:qFormat/>
    <w:uiPriority w:val="99"/>
    <w:rPr>
      <w:rFonts w:ascii="Times New Roman" w:hAnsi="Times New Roman" w:eastAsia="宋体" w:cs="Times New Roman"/>
      <w:sz w:val="18"/>
      <w:szCs w:val="18"/>
    </w:rPr>
  </w:style>
  <w:style w:type="character" w:customStyle="1" w:styleId="11">
    <w:name w:val="页眉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3082</Words>
  <Characters>3168</Characters>
  <Lines>31</Lines>
  <Paragraphs>8</Paragraphs>
  <TotalTime>262</TotalTime>
  <ScaleCrop>false</ScaleCrop>
  <LinksUpToDate>false</LinksUpToDate>
  <CharactersWithSpaces>3171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2021-01-05T00:54:00Z</dcterms:created>
  <dc:creator>铁月刚</dc:creator>
  <cp:lastModifiedBy>夏日苏打</cp:lastModifiedBy>
  <cp:lastPrinted>2021-01-06T02:51:00Z</cp:lastPrinted>
  <dcterms:modified xsi:type="dcterms:W3CDTF">2025-04-25T03:25:53Z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eyJoZGlkIjoiZDU3NWM5M2JkNTUzZTRmOTMyM2Q0NjM1MzhiY2I2MTciLCJ1c2VySWQiOiIxMDE4NDk4NDk0In0=</vt:lpwstr>
  </property>
  <property fmtid="{D5CDD505-2E9C-101B-9397-08002B2CF9AE}" pid="4" name="ICV">
    <vt:lpwstr>4F4234F6B7AD48C0B4F552C8D1263493_12</vt:lpwstr>
  </property>
</Properties>
</file>