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96"/>
        </w:tabs>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浙江省城市公共汽车客运定价成本</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华文中宋" w:eastAsia="方正小标宋简体"/>
          <w:sz w:val="44"/>
          <w:szCs w:val="44"/>
        </w:rPr>
      </w:pPr>
      <w:r>
        <w:rPr>
          <w:rFonts w:hint="eastAsia" w:ascii="方正小标宋简体" w:hAnsi="华文中宋" w:eastAsia="方正小标宋简体"/>
          <w:sz w:val="44"/>
          <w:szCs w:val="44"/>
        </w:rPr>
        <w:t>监审办法</w:t>
      </w:r>
    </w:p>
    <w:bookmarkEnd w:id="0"/>
    <w:p>
      <w:pPr>
        <w:keepNext w:val="0"/>
        <w:keepLines w:val="0"/>
        <w:pageBreakBefore w:val="0"/>
        <w:widowControl w:val="0"/>
        <w:tabs>
          <w:tab w:val="left" w:pos="6096"/>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eastAsia="黑体"/>
          <w:sz w:val="32"/>
          <w:szCs w:val="32"/>
        </w:rPr>
      </w:pPr>
    </w:p>
    <w:p>
      <w:pPr>
        <w:keepNext w:val="0"/>
        <w:keepLines w:val="0"/>
        <w:pageBreakBefore w:val="0"/>
        <w:tabs>
          <w:tab w:val="left" w:pos="6096"/>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Calibri" w:hAnsi="Calibri"/>
          <w:sz w:val="24"/>
          <w:szCs w:val="24"/>
        </w:rPr>
      </w:pPr>
      <w:r>
        <w:rPr>
          <w:rFonts w:eastAsia="黑体"/>
          <w:sz w:val="32"/>
          <w:szCs w:val="32"/>
        </w:rPr>
        <w:t>第</w:t>
      </w:r>
      <w:r>
        <w:rPr>
          <w:rFonts w:hint="eastAsia" w:eastAsia="黑体"/>
          <w:sz w:val="32"/>
          <w:szCs w:val="32"/>
        </w:rPr>
        <w:t xml:space="preserve">一条  </w:t>
      </w:r>
      <w:r>
        <w:rPr>
          <w:rFonts w:eastAsia="仿宋_GB2312"/>
          <w:bCs/>
          <w:sz w:val="32"/>
          <w:szCs w:val="32"/>
        </w:rPr>
        <w:t>为规范我省城市公共汽车</w:t>
      </w:r>
      <w:r>
        <w:rPr>
          <w:rFonts w:hint="eastAsia" w:eastAsia="仿宋_GB2312"/>
          <w:bCs/>
          <w:sz w:val="32"/>
          <w:szCs w:val="32"/>
        </w:rPr>
        <w:t>客</w:t>
      </w:r>
      <w:r>
        <w:rPr>
          <w:rFonts w:eastAsia="仿宋_GB2312"/>
          <w:bCs/>
          <w:sz w:val="32"/>
          <w:szCs w:val="32"/>
        </w:rPr>
        <w:t>运定价成本监审行为，</w:t>
      </w:r>
      <w:r>
        <w:rPr>
          <w:rFonts w:eastAsia="仿宋_GB2312"/>
          <w:sz w:val="32"/>
          <w:szCs w:val="32"/>
        </w:rPr>
        <w:t>提高政府价格决策的科学性，</w:t>
      </w:r>
      <w:r>
        <w:rPr>
          <w:rFonts w:eastAsia="仿宋_GB2312"/>
          <w:bCs/>
          <w:sz w:val="32"/>
          <w:szCs w:val="32"/>
        </w:rPr>
        <w:t>根据《中华人民共和国价格法》、</w:t>
      </w:r>
      <w:r>
        <w:rPr>
          <w:rFonts w:hint="eastAsia" w:eastAsia="仿宋_GB2312"/>
          <w:bCs/>
          <w:sz w:val="32"/>
          <w:szCs w:val="32"/>
        </w:rPr>
        <w:t>《</w:t>
      </w:r>
      <w:r>
        <w:rPr>
          <w:rFonts w:eastAsia="仿宋_GB2312"/>
          <w:bCs/>
          <w:sz w:val="32"/>
          <w:szCs w:val="32"/>
        </w:rPr>
        <w:t>政府制定价格成本监审办法》</w:t>
      </w:r>
      <w:r>
        <w:rPr>
          <w:rFonts w:hint="eastAsia" w:eastAsia="仿宋_GB2312"/>
          <w:bCs/>
          <w:sz w:val="32"/>
          <w:szCs w:val="32"/>
        </w:rPr>
        <w:t>和《浙江省价格条例》</w:t>
      </w:r>
      <w:r>
        <w:rPr>
          <w:rFonts w:eastAsia="仿宋_GB2312"/>
          <w:bCs/>
          <w:sz w:val="32"/>
          <w:szCs w:val="32"/>
        </w:rPr>
        <w:t>等有关</w:t>
      </w:r>
      <w:r>
        <w:rPr>
          <w:rFonts w:hint="eastAsia" w:eastAsia="仿宋_GB2312"/>
          <w:bCs/>
          <w:sz w:val="32"/>
          <w:szCs w:val="32"/>
        </w:rPr>
        <w:t>法律法规规定</w:t>
      </w:r>
      <w:r>
        <w:rPr>
          <w:rFonts w:eastAsia="仿宋_GB2312"/>
          <w:bCs/>
          <w:sz w:val="32"/>
          <w:szCs w:val="32"/>
        </w:rPr>
        <w:t>，制定本办法。</w:t>
      </w:r>
    </w:p>
    <w:p>
      <w:pPr>
        <w:keepNext w:val="0"/>
        <w:keepLines w:val="0"/>
        <w:pageBreakBefore w:val="0"/>
        <w:tabs>
          <w:tab w:val="left" w:pos="6096"/>
        </w:tabs>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eastAsia="黑体"/>
          <w:sz w:val="32"/>
          <w:szCs w:val="32"/>
        </w:rPr>
        <w:t>第二条</w:t>
      </w:r>
      <w:r>
        <w:rPr>
          <w:rFonts w:hint="eastAsia" w:eastAsia="黑体"/>
          <w:sz w:val="32"/>
          <w:szCs w:val="32"/>
        </w:rPr>
        <w:t xml:space="preserve">  </w:t>
      </w:r>
      <w:r>
        <w:rPr>
          <w:rFonts w:hint="eastAsia" w:eastAsia="仿宋_GB2312"/>
          <w:bCs/>
          <w:sz w:val="32"/>
          <w:szCs w:val="32"/>
        </w:rPr>
        <w:t>本办法适用于本省行政区域内，政府价格主管部门实施</w:t>
      </w:r>
      <w:r>
        <w:rPr>
          <w:rFonts w:eastAsia="仿宋_GB2312"/>
          <w:bCs/>
          <w:sz w:val="32"/>
          <w:szCs w:val="32"/>
        </w:rPr>
        <w:t>城市公共汽车客运</w:t>
      </w:r>
      <w:r>
        <w:rPr>
          <w:rFonts w:hint="eastAsia" w:eastAsia="仿宋_GB2312"/>
          <w:bCs/>
          <w:sz w:val="32"/>
          <w:szCs w:val="32"/>
        </w:rPr>
        <w:t>定价成本监审的行为。</w:t>
      </w:r>
    </w:p>
    <w:p>
      <w:pPr>
        <w:keepNext w:val="0"/>
        <w:keepLines w:val="0"/>
        <w:pageBreakBefore w:val="0"/>
        <w:tabs>
          <w:tab w:val="left" w:pos="6096"/>
        </w:tabs>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eastAsia="黑体"/>
          <w:sz w:val="32"/>
          <w:szCs w:val="32"/>
        </w:rPr>
        <w:t>第</w:t>
      </w:r>
      <w:r>
        <w:rPr>
          <w:rFonts w:hint="eastAsia" w:eastAsia="黑体"/>
          <w:sz w:val="32"/>
          <w:szCs w:val="32"/>
        </w:rPr>
        <w:t>三</w:t>
      </w:r>
      <w:r>
        <w:rPr>
          <w:rFonts w:eastAsia="黑体"/>
          <w:sz w:val="32"/>
          <w:szCs w:val="32"/>
        </w:rPr>
        <w:t>条</w:t>
      </w:r>
      <w:r>
        <w:rPr>
          <w:rFonts w:hint="eastAsia" w:eastAsia="黑体"/>
          <w:sz w:val="32"/>
          <w:szCs w:val="32"/>
        </w:rPr>
        <w:t xml:space="preserve">  </w:t>
      </w:r>
      <w:r>
        <w:rPr>
          <w:rFonts w:hint="eastAsia" w:eastAsia="仿宋_GB2312"/>
          <w:bCs/>
          <w:sz w:val="32"/>
          <w:szCs w:val="32"/>
        </w:rPr>
        <w:t>本办法所称</w:t>
      </w:r>
      <w:r>
        <w:rPr>
          <w:rFonts w:eastAsia="仿宋_GB2312"/>
          <w:bCs/>
          <w:sz w:val="32"/>
          <w:szCs w:val="32"/>
        </w:rPr>
        <w:t>城市公共汽车</w:t>
      </w:r>
      <w:r>
        <w:rPr>
          <w:rFonts w:hint="eastAsia" w:eastAsia="仿宋_GB2312"/>
          <w:bCs/>
          <w:sz w:val="32"/>
          <w:szCs w:val="32"/>
        </w:rPr>
        <w:t>客运，是指</w:t>
      </w:r>
      <w:r>
        <w:rPr>
          <w:rFonts w:eastAsia="仿宋_GB2312"/>
          <w:bCs/>
          <w:sz w:val="32"/>
          <w:szCs w:val="32"/>
        </w:rPr>
        <w:t>以公共汽</w:t>
      </w:r>
      <w:r>
        <w:rPr>
          <w:rFonts w:hint="eastAsia" w:eastAsia="仿宋_GB2312"/>
          <w:bCs/>
          <w:sz w:val="32"/>
          <w:szCs w:val="32"/>
        </w:rPr>
        <w:t>、电</w:t>
      </w:r>
      <w:r>
        <w:rPr>
          <w:rFonts w:eastAsia="仿宋_GB2312"/>
          <w:bCs/>
          <w:sz w:val="32"/>
          <w:szCs w:val="32"/>
        </w:rPr>
        <w:t>车</w:t>
      </w:r>
      <w:r>
        <w:rPr>
          <w:rFonts w:hint="eastAsia" w:eastAsia="仿宋_GB2312"/>
          <w:bCs/>
          <w:sz w:val="32"/>
          <w:szCs w:val="32"/>
          <w:lang w:eastAsia="zh-CN"/>
        </w:rPr>
        <w:t>等</w:t>
      </w:r>
      <w:r>
        <w:rPr>
          <w:rFonts w:eastAsia="仿宋_GB2312"/>
          <w:bCs/>
          <w:sz w:val="32"/>
          <w:szCs w:val="32"/>
        </w:rPr>
        <w:t>为载体，</w:t>
      </w:r>
      <w:r>
        <w:rPr>
          <w:rFonts w:hint="eastAsia" w:eastAsia="仿宋_GB2312"/>
          <w:bCs/>
          <w:sz w:val="32"/>
          <w:szCs w:val="32"/>
        </w:rPr>
        <w:t>在城市中按照规定的线路、站点和时间乘运的，为公众提供运送服务的一种公共交通方式。</w:t>
      </w:r>
    </w:p>
    <w:p>
      <w:pPr>
        <w:keepNext w:val="0"/>
        <w:keepLines w:val="0"/>
        <w:pageBreakBefore w:val="0"/>
        <w:tabs>
          <w:tab w:val="left" w:pos="6096"/>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sz w:val="32"/>
          <w:szCs w:val="32"/>
        </w:rPr>
      </w:pPr>
      <w:r>
        <w:rPr>
          <w:rFonts w:hint="eastAsia" w:eastAsia="黑体"/>
          <w:sz w:val="32"/>
          <w:szCs w:val="32"/>
        </w:rPr>
        <w:t xml:space="preserve">第四条  </w:t>
      </w:r>
      <w:r>
        <w:rPr>
          <w:rFonts w:hint="eastAsia" w:eastAsia="仿宋_GB2312"/>
          <w:sz w:val="32"/>
          <w:szCs w:val="32"/>
        </w:rPr>
        <w:t>城市公共汽车客运</w:t>
      </w:r>
      <w:r>
        <w:rPr>
          <w:rFonts w:eastAsia="仿宋_GB2312"/>
          <w:sz w:val="32"/>
          <w:szCs w:val="32"/>
        </w:rPr>
        <w:t>定价成本监审工作由政府价格主管部门负责组织实施，</w:t>
      </w:r>
      <w:r>
        <w:rPr>
          <w:rFonts w:hint="eastAsia" w:eastAsia="仿宋_GB2312"/>
          <w:sz w:val="32"/>
          <w:szCs w:val="32"/>
        </w:rPr>
        <w:t>交通运输主管部门</w:t>
      </w:r>
      <w:r>
        <w:rPr>
          <w:rFonts w:eastAsia="仿宋_GB2312"/>
          <w:sz w:val="32"/>
          <w:szCs w:val="32"/>
        </w:rPr>
        <w:t>应当配合开展工作。</w:t>
      </w:r>
    </w:p>
    <w:p>
      <w:pPr>
        <w:pStyle w:val="2"/>
        <w:keepNext w:val="0"/>
        <w:keepLines w:val="0"/>
        <w:pageBreakBefore w:val="0"/>
        <w:kinsoku/>
        <w:wordWrap/>
        <w:overflowPunct/>
        <w:topLinePunct w:val="0"/>
        <w:autoSpaceDE/>
        <w:autoSpaceDN/>
        <w:bidi w:val="0"/>
        <w:spacing w:after="0"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五条</w:t>
      </w:r>
      <w:r>
        <w:rPr>
          <w:rFonts w:hint="eastAsia" w:eastAsia="仿宋_GB2312"/>
          <w:sz w:val="32"/>
          <w:szCs w:val="32"/>
        </w:rPr>
        <w:t xml:space="preserve">  城市公共汽车客运</w:t>
      </w:r>
      <w:r>
        <w:rPr>
          <w:rFonts w:eastAsia="仿宋_GB2312"/>
          <w:sz w:val="32"/>
          <w:szCs w:val="32"/>
        </w:rPr>
        <w:t>定价成本</w:t>
      </w:r>
      <w:r>
        <w:rPr>
          <w:rFonts w:hint="eastAsia" w:eastAsia="仿宋_GB2312"/>
          <w:sz w:val="32"/>
          <w:szCs w:val="32"/>
        </w:rPr>
        <w:t>监审</w:t>
      </w:r>
      <w:r>
        <w:rPr>
          <w:rFonts w:eastAsia="仿宋_GB2312"/>
          <w:sz w:val="32"/>
          <w:szCs w:val="32"/>
        </w:rPr>
        <w:t>应</w:t>
      </w:r>
      <w:r>
        <w:rPr>
          <w:rFonts w:hint="eastAsia" w:ascii="Calibri" w:hAnsi="Calibri" w:eastAsia="仿宋_GB2312" w:cs="Times New Roman"/>
          <w:bCs/>
          <w:kern w:val="2"/>
          <w:sz w:val="32"/>
          <w:szCs w:val="32"/>
          <w:lang w:val="en-US" w:eastAsia="zh-CN" w:bidi="ar-SA"/>
        </w:rPr>
        <w:t>当遵循以下</w:t>
      </w:r>
      <w:r>
        <w:rPr>
          <w:rFonts w:eastAsia="仿宋_GB2312"/>
          <w:sz w:val="32"/>
          <w:szCs w:val="32"/>
        </w:rPr>
        <w:t>原则：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（一）合法性原则。</w:t>
      </w:r>
      <w:r>
        <w:rPr>
          <w:rFonts w:hint="eastAsia" w:eastAsia="仿宋_GB2312"/>
          <w:bCs/>
          <w:sz w:val="32"/>
          <w:szCs w:val="32"/>
        </w:rPr>
        <w:t>计入定价成本的费用应当符合有关法律、法规，财务制度和国家统一的会计制度，以及价格监管制度等规定。</w:t>
      </w:r>
    </w:p>
    <w:p>
      <w:pPr>
        <w:pStyle w:val="2"/>
        <w:keepNext w:val="0"/>
        <w:keepLines w:val="0"/>
        <w:pageBreakBefore w:val="0"/>
        <w:kinsoku/>
        <w:wordWrap/>
        <w:overflowPunct/>
        <w:topLinePunct w:val="0"/>
        <w:autoSpaceDE/>
        <w:autoSpaceDN/>
        <w:bidi w:val="0"/>
        <w:spacing w:after="0" w:line="600" w:lineRule="exact"/>
        <w:ind w:left="0" w:leftChars="0" w:right="0" w:rightChars="0" w:firstLine="640" w:firstLineChars="200"/>
        <w:jc w:val="both"/>
        <w:textAlignment w:val="auto"/>
        <w:outlineLvl w:val="9"/>
        <w:rPr>
          <w:rFonts w:eastAsia="仿宋_GB2312"/>
          <w:szCs w:val="32"/>
        </w:rPr>
      </w:pPr>
      <w:r>
        <w:rPr>
          <w:rFonts w:eastAsia="仿宋_GB2312"/>
          <w:sz w:val="32"/>
          <w:szCs w:val="32"/>
        </w:rPr>
        <w:t>（二）相关性原则。计入定价成本的费用应</w:t>
      </w:r>
      <w:r>
        <w:rPr>
          <w:rFonts w:hint="eastAsia" w:eastAsia="仿宋_GB2312"/>
          <w:sz w:val="32"/>
          <w:szCs w:val="32"/>
        </w:rPr>
        <w:t>当</w:t>
      </w:r>
      <w:r>
        <w:rPr>
          <w:rFonts w:eastAsia="仿宋_GB2312"/>
          <w:sz w:val="32"/>
          <w:szCs w:val="32"/>
        </w:rPr>
        <w:t>与</w:t>
      </w:r>
      <w:r>
        <w:rPr>
          <w:rFonts w:hint="eastAsia" w:eastAsia="仿宋_GB2312"/>
          <w:sz w:val="32"/>
          <w:szCs w:val="32"/>
        </w:rPr>
        <w:t>公共汽车客运</w:t>
      </w:r>
      <w:r>
        <w:rPr>
          <w:rFonts w:eastAsia="仿宋_GB2312"/>
          <w:sz w:val="32"/>
          <w:szCs w:val="32"/>
        </w:rPr>
        <w:t>相关</w:t>
      </w:r>
      <w:r>
        <w:rPr>
          <w:rFonts w:hint="eastAsia" w:eastAsia="仿宋_GB2312"/>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仿宋_GB2312"/>
          <w:bCs/>
          <w:sz w:val="32"/>
          <w:szCs w:val="32"/>
        </w:rPr>
        <w:t>（三）合理性原则。</w:t>
      </w:r>
      <w:r>
        <w:rPr>
          <w:rFonts w:eastAsia="仿宋_GB2312"/>
          <w:sz w:val="32"/>
          <w:szCs w:val="32"/>
        </w:rPr>
        <w:t>计入定价成本的费用应</w:t>
      </w:r>
      <w:r>
        <w:rPr>
          <w:rFonts w:hint="eastAsia" w:eastAsia="仿宋_GB2312"/>
          <w:sz w:val="32"/>
          <w:szCs w:val="32"/>
        </w:rPr>
        <w:t>当</w:t>
      </w:r>
      <w:r>
        <w:rPr>
          <w:rFonts w:eastAsia="仿宋_GB2312"/>
          <w:sz w:val="32"/>
          <w:szCs w:val="32"/>
        </w:rPr>
        <w:t>反映</w:t>
      </w:r>
      <w:r>
        <w:rPr>
          <w:rFonts w:hint="eastAsia" w:eastAsia="仿宋_GB2312"/>
          <w:sz w:val="32"/>
          <w:szCs w:val="32"/>
        </w:rPr>
        <w:t>公共汽车客运</w:t>
      </w:r>
      <w:r>
        <w:rPr>
          <w:rFonts w:eastAsia="仿宋_GB2312"/>
          <w:sz w:val="32"/>
          <w:szCs w:val="32"/>
        </w:rPr>
        <w:t>活动正常需要，并按照合理方法和</w:t>
      </w:r>
      <w:r>
        <w:rPr>
          <w:rFonts w:hint="eastAsia" w:eastAsia="仿宋_GB2312"/>
          <w:sz w:val="32"/>
          <w:szCs w:val="32"/>
        </w:rPr>
        <w:t>合理</w:t>
      </w:r>
      <w:r>
        <w:rPr>
          <w:rFonts w:eastAsia="仿宋_GB2312"/>
          <w:sz w:val="32"/>
          <w:szCs w:val="32"/>
        </w:rPr>
        <w:t>标准核算；影响定价成本</w:t>
      </w:r>
      <w:r>
        <w:rPr>
          <w:rFonts w:hint="eastAsia" w:eastAsia="仿宋_GB2312"/>
          <w:sz w:val="32"/>
          <w:szCs w:val="32"/>
        </w:rPr>
        <w:t>水平</w:t>
      </w:r>
      <w:r>
        <w:rPr>
          <w:rFonts w:eastAsia="仿宋_GB2312"/>
          <w:sz w:val="32"/>
          <w:szCs w:val="32"/>
        </w:rPr>
        <w:t>的主要技术、经济指标应</w:t>
      </w:r>
      <w:r>
        <w:rPr>
          <w:rFonts w:hint="eastAsia" w:eastAsia="仿宋_GB2312"/>
          <w:sz w:val="32"/>
          <w:szCs w:val="32"/>
        </w:rPr>
        <w:t>当</w:t>
      </w:r>
      <w:r>
        <w:rPr>
          <w:rFonts w:eastAsia="仿宋_GB2312"/>
          <w:sz w:val="32"/>
          <w:szCs w:val="32"/>
        </w:rPr>
        <w:t>符合行业标准或者公允水平。</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hint="eastAsia" w:eastAsia="仿宋_GB2312"/>
          <w:sz w:val="32"/>
          <w:szCs w:val="32"/>
        </w:rPr>
        <w:t xml:space="preserve">  城市公共汽车客运</w:t>
      </w:r>
      <w:r>
        <w:rPr>
          <w:rFonts w:eastAsia="仿宋_GB2312"/>
          <w:bCs/>
          <w:sz w:val="32"/>
          <w:szCs w:val="32"/>
        </w:rPr>
        <w:t>定价成本监审</w:t>
      </w:r>
      <w:r>
        <w:rPr>
          <w:rFonts w:eastAsia="仿宋_GB2312"/>
          <w:sz w:val="32"/>
          <w:szCs w:val="32"/>
        </w:rPr>
        <w:t>，</w:t>
      </w:r>
      <w:r>
        <w:rPr>
          <w:rFonts w:hint="eastAsia" w:eastAsia="仿宋_GB2312"/>
          <w:sz w:val="32"/>
          <w:szCs w:val="32"/>
        </w:rPr>
        <w:t>应当以经会计师事务所审计或者政府有关部门审核的年度财务报告和手续齐备的原始凭证及账册等资料为基础，对经营者成本合理归集、分析、审核，核定定价成本。</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sz w:val="32"/>
          <w:szCs w:val="32"/>
        </w:rPr>
      </w:pPr>
      <w:r>
        <w:rPr>
          <w:rFonts w:eastAsia="黑体"/>
          <w:sz w:val="32"/>
          <w:szCs w:val="32"/>
        </w:rPr>
        <w:t>第</w:t>
      </w:r>
      <w:r>
        <w:rPr>
          <w:rFonts w:hint="eastAsia" w:eastAsia="黑体"/>
          <w:sz w:val="32"/>
          <w:szCs w:val="32"/>
        </w:rPr>
        <w:t>七</w:t>
      </w:r>
      <w:r>
        <w:rPr>
          <w:rFonts w:eastAsia="黑体"/>
          <w:sz w:val="32"/>
          <w:szCs w:val="32"/>
        </w:rPr>
        <w:t>条</w:t>
      </w:r>
      <w:r>
        <w:rPr>
          <w:rFonts w:hint="eastAsia" w:eastAsia="仿宋_GB2312"/>
          <w:sz w:val="32"/>
          <w:szCs w:val="32"/>
        </w:rPr>
        <w:t xml:space="preserve">  城市公共汽车客运定价成本包括直接客运成本、管理费用、财务费用和税金及附加。</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仿宋_GB2312"/>
          <w:sz w:val="32"/>
          <w:szCs w:val="32"/>
        </w:rPr>
        <w:t xml:space="preserve">  直接客运成本指</w:t>
      </w:r>
      <w:r>
        <w:rPr>
          <w:rFonts w:hint="eastAsia" w:eastAsia="仿宋_GB2312"/>
          <w:sz w:val="32"/>
          <w:szCs w:val="32"/>
        </w:rPr>
        <w:t>城市公共汽车经营者在客运过程中发生的与客运直接相关的成本和费用，</w:t>
      </w:r>
      <w:r>
        <w:rPr>
          <w:rFonts w:eastAsia="仿宋_GB2312"/>
          <w:sz w:val="32"/>
          <w:szCs w:val="32"/>
        </w:rPr>
        <w:t>包括</w:t>
      </w:r>
      <w:r>
        <w:rPr>
          <w:rFonts w:hint="eastAsia" w:eastAsia="仿宋_GB2312"/>
          <w:sz w:val="32"/>
          <w:szCs w:val="32"/>
        </w:rPr>
        <w:t>职工薪酬</w:t>
      </w:r>
      <w:r>
        <w:rPr>
          <w:rFonts w:eastAsia="仿宋_GB2312"/>
          <w:sz w:val="32"/>
          <w:szCs w:val="32"/>
        </w:rPr>
        <w:t>、</w:t>
      </w:r>
      <w:r>
        <w:rPr>
          <w:rFonts w:hint="eastAsia" w:eastAsia="仿宋_GB2312"/>
          <w:sz w:val="32"/>
          <w:szCs w:val="32"/>
        </w:rPr>
        <w:t>车辆</w:t>
      </w:r>
      <w:r>
        <w:rPr>
          <w:rFonts w:eastAsia="仿宋_GB2312"/>
          <w:sz w:val="32"/>
          <w:szCs w:val="32"/>
        </w:rPr>
        <w:t>折旧费、能耗费、轮胎费、修理费、</w:t>
      </w:r>
      <w:r>
        <w:rPr>
          <w:rFonts w:hint="eastAsia" w:eastAsia="仿宋_GB2312"/>
          <w:sz w:val="32"/>
          <w:szCs w:val="32"/>
        </w:rPr>
        <w:t>车辆</w:t>
      </w:r>
      <w:r>
        <w:rPr>
          <w:rFonts w:eastAsia="仿宋_GB2312"/>
          <w:sz w:val="32"/>
          <w:szCs w:val="32"/>
        </w:rPr>
        <w:t>保险费</w:t>
      </w:r>
      <w:r>
        <w:rPr>
          <w:rFonts w:hint="eastAsia" w:eastAsia="仿宋_GB2312"/>
          <w:sz w:val="32"/>
          <w:szCs w:val="32"/>
        </w:rPr>
        <w:t>、</w:t>
      </w:r>
      <w:r>
        <w:rPr>
          <w:rFonts w:hint="eastAsia" w:ascii="仿宋" w:hAnsi="仿宋" w:eastAsia="仿宋"/>
          <w:bCs/>
          <w:sz w:val="32"/>
          <w:szCs w:val="32"/>
        </w:rPr>
        <w:t>事故损失费、</w:t>
      </w:r>
      <w:r>
        <w:rPr>
          <w:rFonts w:hint="eastAsia" w:eastAsia="仿宋_GB2312"/>
          <w:sz w:val="32"/>
          <w:szCs w:val="32"/>
        </w:rPr>
        <w:t>乘客保险费、</w:t>
      </w:r>
      <w:r>
        <w:rPr>
          <w:rFonts w:hint="eastAsia" w:ascii="仿宋" w:hAnsi="仿宋" w:eastAsia="仿宋"/>
          <w:bCs/>
          <w:sz w:val="32"/>
          <w:szCs w:val="32"/>
        </w:rPr>
        <w:t>劳动保护费、租赁费、场站保洁费、车辆清洗费、收银点钞费、安全生产费、网络费和其他直接客运费用。</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hint="eastAsia" w:eastAsia="黑体"/>
          <w:sz w:val="32"/>
          <w:szCs w:val="32"/>
        </w:rPr>
        <w:t xml:space="preserve">第九条 </w:t>
      </w:r>
      <w:r>
        <w:rPr>
          <w:rFonts w:hint="eastAsia" w:eastAsia="仿宋_GB2312"/>
          <w:sz w:val="32"/>
          <w:szCs w:val="32"/>
        </w:rPr>
        <w:t xml:space="preserve"> </w:t>
      </w:r>
      <w:r>
        <w:rPr>
          <w:rFonts w:eastAsia="仿宋_GB2312"/>
          <w:sz w:val="32"/>
          <w:szCs w:val="32"/>
        </w:rPr>
        <w:t>管理费用指</w:t>
      </w:r>
      <w:r>
        <w:rPr>
          <w:rFonts w:hint="eastAsia" w:eastAsia="仿宋_GB2312"/>
          <w:sz w:val="32"/>
          <w:szCs w:val="32"/>
        </w:rPr>
        <w:t>城市公共汽车经营者</w:t>
      </w:r>
      <w:r>
        <w:rPr>
          <w:rFonts w:eastAsia="仿宋_GB2312"/>
          <w:sz w:val="32"/>
          <w:szCs w:val="32"/>
        </w:rPr>
        <w:t>为管理和组织运营生产活动而发生的各项费用，</w:t>
      </w:r>
      <w:r>
        <w:rPr>
          <w:rFonts w:hint="eastAsia" w:eastAsia="仿宋_GB2312"/>
          <w:sz w:val="32"/>
          <w:szCs w:val="32"/>
        </w:rPr>
        <w:t>包括管理部门的职工薪酬</w:t>
      </w:r>
      <w:r>
        <w:rPr>
          <w:rFonts w:eastAsia="仿宋_GB2312"/>
          <w:sz w:val="32"/>
          <w:szCs w:val="32"/>
        </w:rPr>
        <w:t>、</w:t>
      </w:r>
      <w:r>
        <w:rPr>
          <w:rFonts w:hint="eastAsia" w:eastAsia="仿宋_GB2312"/>
          <w:sz w:val="32"/>
          <w:szCs w:val="32"/>
        </w:rPr>
        <w:t>办公费、水电费、差旅费、会议费、</w:t>
      </w:r>
      <w:r>
        <w:rPr>
          <w:rFonts w:eastAsia="仿宋_GB2312"/>
          <w:sz w:val="32"/>
          <w:szCs w:val="32"/>
        </w:rPr>
        <w:t>车辆费用</w:t>
      </w:r>
      <w:r>
        <w:rPr>
          <w:rFonts w:hint="eastAsia" w:eastAsia="仿宋_GB2312"/>
          <w:sz w:val="32"/>
          <w:szCs w:val="32"/>
        </w:rPr>
        <w:t>、修理费、</w:t>
      </w:r>
      <w:r>
        <w:rPr>
          <w:rFonts w:eastAsia="仿宋_GB2312"/>
          <w:sz w:val="32"/>
          <w:szCs w:val="32"/>
        </w:rPr>
        <w:t>租赁费</w:t>
      </w:r>
      <w:r>
        <w:rPr>
          <w:rFonts w:hint="eastAsia" w:eastAsia="仿宋_GB2312"/>
          <w:sz w:val="32"/>
          <w:szCs w:val="32"/>
        </w:rPr>
        <w:t>、劳务费、业务招待费、无形资产摊销以及其他管理费用。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hint="eastAsia" w:eastAsia="黑体"/>
          <w:sz w:val="32"/>
          <w:szCs w:val="32"/>
        </w:rPr>
        <w:t xml:space="preserve">第十条  </w:t>
      </w:r>
      <w:r>
        <w:rPr>
          <w:rFonts w:hint="eastAsia" w:eastAsia="仿宋_GB2312"/>
          <w:sz w:val="32"/>
          <w:szCs w:val="32"/>
        </w:rPr>
        <w:t>财务费用是</w:t>
      </w:r>
      <w:r>
        <w:rPr>
          <w:rFonts w:eastAsia="仿宋_GB2312"/>
          <w:sz w:val="32"/>
          <w:szCs w:val="32"/>
        </w:rPr>
        <w:t>指</w:t>
      </w:r>
      <w:r>
        <w:rPr>
          <w:rFonts w:hint="eastAsia" w:eastAsia="仿宋_GB2312"/>
          <w:sz w:val="32"/>
          <w:szCs w:val="32"/>
        </w:rPr>
        <w:t>城市公共汽车经营者为筹集客运所需资金而发生的费用，包括</w:t>
      </w:r>
      <w:r>
        <w:rPr>
          <w:rFonts w:eastAsia="仿宋_GB2312"/>
          <w:sz w:val="32"/>
          <w:szCs w:val="32"/>
        </w:rPr>
        <w:t>利息净支出、汇兑</w:t>
      </w:r>
      <w:r>
        <w:rPr>
          <w:rFonts w:hint="eastAsia" w:eastAsia="仿宋_GB2312"/>
          <w:sz w:val="32"/>
          <w:szCs w:val="32"/>
        </w:rPr>
        <w:t>损益</w:t>
      </w:r>
      <w:r>
        <w:rPr>
          <w:rFonts w:eastAsia="仿宋_GB2312"/>
          <w:sz w:val="32"/>
          <w:szCs w:val="32"/>
        </w:rPr>
        <w:t>以及相关的手续费等</w:t>
      </w:r>
      <w:r>
        <w:rPr>
          <w:rFonts w:hint="eastAsia" w:eastAsia="仿宋_GB2312"/>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b w:val="0"/>
          <w:bCs/>
          <w:sz w:val="32"/>
          <w:szCs w:val="32"/>
        </w:rPr>
      </w:pPr>
      <w:r>
        <w:rPr>
          <w:rFonts w:hint="eastAsia" w:eastAsia="黑体"/>
          <w:sz w:val="32"/>
          <w:szCs w:val="32"/>
        </w:rPr>
        <w:t>第十</w:t>
      </w:r>
      <w:r>
        <w:rPr>
          <w:rFonts w:hint="eastAsia" w:eastAsia="黑体"/>
          <w:sz w:val="32"/>
          <w:szCs w:val="32"/>
          <w:lang w:eastAsia="zh-CN"/>
        </w:rPr>
        <w:t>一</w:t>
      </w:r>
      <w:r>
        <w:rPr>
          <w:rFonts w:hint="eastAsia" w:eastAsia="黑体"/>
          <w:sz w:val="32"/>
          <w:szCs w:val="32"/>
        </w:rPr>
        <w:t>条</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税金及附加是指城市公共汽车经营者应负担的城市维护建设税、</w:t>
      </w:r>
      <w:r>
        <w:rPr>
          <w:rFonts w:hint="eastAsia" w:eastAsia="仿宋_GB2312"/>
          <w:bCs/>
          <w:sz w:val="32"/>
          <w:szCs w:val="32"/>
        </w:rPr>
        <w:t>教育费附加、地方教育费附加等。</w:t>
      </w:r>
      <w:r>
        <w:rPr>
          <w:rFonts w:eastAsia="仿宋_GB2312"/>
          <w:bCs/>
          <w:sz w:val="32"/>
          <w:szCs w:val="32"/>
        </w:rPr>
        <w:br w:type="textWrapping"/>
      </w:r>
      <w:r>
        <w:rPr>
          <w:rFonts w:hint="eastAsia" w:eastAsia="黑体"/>
          <w:sz w:val="32"/>
          <w:szCs w:val="32"/>
        </w:rPr>
        <w:t xml:space="preserve">    第十二条 </w:t>
      </w:r>
      <w:r>
        <w:rPr>
          <w:szCs w:val="32"/>
        </w:rPr>
        <w:t xml:space="preserve">  </w:t>
      </w:r>
      <w:r>
        <w:rPr>
          <w:rFonts w:hint="eastAsia" w:eastAsia="仿宋_GB2312"/>
          <w:bCs/>
          <w:sz w:val="32"/>
          <w:szCs w:val="32"/>
        </w:rPr>
        <w:t>职工工资总额按核定的职工平均工资和职工人数确定。</w:t>
      </w:r>
      <w:r>
        <w:rPr>
          <w:rFonts w:eastAsia="仿宋_GB2312"/>
          <w:bCs/>
          <w:sz w:val="32"/>
          <w:szCs w:val="32"/>
        </w:rPr>
        <w:t>职工</w:t>
      </w:r>
      <w:r>
        <w:rPr>
          <w:rFonts w:hint="eastAsia" w:eastAsia="仿宋_GB2312"/>
          <w:bCs/>
          <w:sz w:val="32"/>
          <w:szCs w:val="32"/>
        </w:rPr>
        <w:t>平均</w:t>
      </w:r>
      <w:r>
        <w:rPr>
          <w:rFonts w:eastAsia="仿宋_GB2312"/>
          <w:bCs/>
          <w:sz w:val="32"/>
          <w:szCs w:val="32"/>
        </w:rPr>
        <w:t>工资原则上据实核定，</w:t>
      </w:r>
      <w:r>
        <w:rPr>
          <w:rFonts w:hint="eastAsia" w:eastAsia="仿宋_GB2312"/>
          <w:bCs/>
          <w:sz w:val="32"/>
          <w:szCs w:val="32"/>
        </w:rPr>
        <w:t>但不得超过统计部门公布的当地交通运输、仓储和邮政业的</w:t>
      </w:r>
      <w:r>
        <w:rPr>
          <w:rFonts w:hint="eastAsia" w:eastAsia="仿宋_GB2312"/>
          <w:b w:val="0"/>
          <w:bCs/>
          <w:sz w:val="32"/>
          <w:szCs w:val="32"/>
        </w:rPr>
        <w:t>平均工资</w:t>
      </w:r>
      <w:r>
        <w:rPr>
          <w:rFonts w:hint="eastAsia" w:eastAsia="仿宋_GB2312"/>
          <w:b w:val="0"/>
          <w:bCs/>
          <w:sz w:val="32"/>
          <w:szCs w:val="32"/>
          <w:lang w:eastAsia="zh-CN"/>
        </w:rPr>
        <w:t>的</w:t>
      </w:r>
      <w:r>
        <w:rPr>
          <w:rFonts w:hint="eastAsia" w:eastAsia="仿宋_GB2312"/>
          <w:b w:val="0"/>
          <w:bCs/>
          <w:sz w:val="32"/>
          <w:szCs w:val="32"/>
          <w:lang w:val="en-US" w:eastAsia="zh-CN"/>
        </w:rPr>
        <w:t>1.2倍</w:t>
      </w:r>
      <w:r>
        <w:rPr>
          <w:rFonts w:hint="eastAsia" w:eastAsia="仿宋_GB2312"/>
          <w:b w:val="0"/>
          <w:bCs/>
          <w:sz w:val="32"/>
          <w:szCs w:val="32"/>
        </w:rPr>
        <w:t>；职工人数按照实际在岗职工人数核定，政府有关部门或者行业有明确规定的，不得超过其规定人数。由政府有关部门进行工资管理的，职工工资总额上限为按照其工资管理规定核定的数值。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bCs/>
          <w:sz w:val="32"/>
          <w:szCs w:val="32"/>
        </w:rPr>
      </w:pPr>
      <w:r>
        <w:rPr>
          <w:rFonts w:hint="eastAsia" w:eastAsia="仿宋_GB2312"/>
          <w:b w:val="0"/>
          <w:bCs/>
          <w:sz w:val="32"/>
          <w:szCs w:val="32"/>
        </w:rPr>
        <w:t>因解除与职工的劳动关系给予的补偿，按照一定年限分摊计入定价成本。</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hint="eastAsia" w:eastAsia="黑体"/>
          <w:sz w:val="32"/>
          <w:szCs w:val="32"/>
        </w:rPr>
        <w:t xml:space="preserve">第十三条  </w:t>
      </w:r>
      <w:r>
        <w:rPr>
          <w:rFonts w:hint="eastAsia" w:eastAsia="仿宋_GB2312"/>
          <w:b w:val="0"/>
          <w:bCs w:val="0"/>
          <w:sz w:val="32"/>
          <w:szCs w:val="32"/>
        </w:rPr>
        <w:t>工会经费、职工教育经费、职工福利费、社会保险费（包含补充医疗和补充养老保险）</w:t>
      </w:r>
      <w:r>
        <w:rPr>
          <w:rFonts w:hint="eastAsia" w:eastAsia="仿宋_GB2312"/>
          <w:b w:val="0"/>
          <w:bCs w:val="0"/>
          <w:sz w:val="32"/>
          <w:szCs w:val="32"/>
          <w:lang w:eastAsia="zh-CN"/>
        </w:rPr>
        <w:t>、</w:t>
      </w:r>
      <w:r>
        <w:rPr>
          <w:rFonts w:hint="eastAsia" w:eastAsia="仿宋_GB2312"/>
          <w:b w:val="0"/>
          <w:bCs w:val="0"/>
          <w:sz w:val="32"/>
          <w:szCs w:val="32"/>
        </w:rPr>
        <w:t>住房公积金</w:t>
      </w:r>
      <w:r>
        <w:rPr>
          <w:rFonts w:hint="eastAsia" w:eastAsia="仿宋_GB2312"/>
          <w:b w:val="0"/>
          <w:bCs w:val="0"/>
          <w:sz w:val="32"/>
          <w:szCs w:val="32"/>
          <w:lang w:eastAsia="zh-CN"/>
        </w:rPr>
        <w:t>，</w:t>
      </w:r>
      <w:r>
        <w:rPr>
          <w:rFonts w:hint="eastAsia" w:eastAsia="仿宋_GB2312"/>
          <w:b w:val="0"/>
          <w:bCs w:val="0"/>
          <w:sz w:val="32"/>
          <w:szCs w:val="32"/>
        </w:rPr>
        <w:t>审核计算基数原则上按照经营者实缴基数核定，但不得超过核定的工资总额和当地政府规定的基数，计算比例按照不超过国家或者当地政府统一规定的比例确定。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hint="eastAsia" w:eastAsia="黑体"/>
          <w:sz w:val="32"/>
          <w:szCs w:val="32"/>
        </w:rPr>
        <w:t xml:space="preserve">第十四条  </w:t>
      </w:r>
      <w:r>
        <w:rPr>
          <w:rFonts w:hint="eastAsia" w:eastAsia="仿宋_GB2312"/>
          <w:bCs/>
          <w:sz w:val="32"/>
          <w:szCs w:val="32"/>
        </w:rPr>
        <w:t>会议费、交通费、差旅费、业务招待费等非生产性费用按照监审期间内平均水平核定，其中业务招待费不得超过当年</w:t>
      </w:r>
      <w:r>
        <w:rPr>
          <w:rFonts w:eastAsia="仿宋_GB2312"/>
          <w:bCs/>
          <w:sz w:val="32"/>
          <w:szCs w:val="32"/>
        </w:rPr>
        <w:t>公共汽车</w:t>
      </w:r>
      <w:r>
        <w:rPr>
          <w:rFonts w:hint="eastAsia" w:eastAsia="仿宋_GB2312"/>
          <w:bCs/>
          <w:sz w:val="32"/>
          <w:szCs w:val="32"/>
        </w:rPr>
        <w:t>客</w:t>
      </w:r>
      <w:r>
        <w:rPr>
          <w:rFonts w:eastAsia="仿宋_GB2312"/>
          <w:bCs/>
          <w:sz w:val="32"/>
          <w:szCs w:val="32"/>
        </w:rPr>
        <w:t>运</w:t>
      </w:r>
      <w:r>
        <w:rPr>
          <w:rFonts w:hint="eastAsia" w:eastAsia="仿宋_GB2312"/>
          <w:bCs/>
          <w:sz w:val="32"/>
          <w:szCs w:val="32"/>
        </w:rPr>
        <w:t>收入的5‰。</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仿宋_GB2312"/>
          <w:bCs/>
          <w:sz w:val="32"/>
          <w:szCs w:val="32"/>
          <w:highlight w:val="none"/>
        </w:rPr>
      </w:pPr>
      <w:r>
        <w:rPr>
          <w:rFonts w:hint="eastAsia" w:eastAsia="黑体"/>
          <w:sz w:val="32"/>
          <w:szCs w:val="32"/>
        </w:rPr>
        <w:t xml:space="preserve">第十五条 </w:t>
      </w:r>
      <w:r>
        <w:rPr>
          <w:rFonts w:eastAsia="黑体"/>
          <w:sz w:val="32"/>
          <w:szCs w:val="32"/>
        </w:rPr>
        <w:t xml:space="preserve"> </w:t>
      </w:r>
      <w:r>
        <w:rPr>
          <w:rFonts w:hint="eastAsia" w:eastAsia="仿宋_GB2312"/>
          <w:bCs/>
          <w:sz w:val="32"/>
          <w:szCs w:val="32"/>
        </w:rPr>
        <w:t>修理费</w:t>
      </w:r>
      <w:r>
        <w:rPr>
          <w:rFonts w:hint="eastAsia" w:eastAsia="仿宋_GB2312"/>
          <w:bCs/>
          <w:sz w:val="32"/>
          <w:szCs w:val="32"/>
          <w:lang w:eastAsia="zh-CN"/>
        </w:rPr>
        <w:t>（不含车辆）</w:t>
      </w:r>
      <w:r>
        <w:rPr>
          <w:rFonts w:hint="eastAsia" w:eastAsia="仿宋_GB2312"/>
          <w:bCs/>
          <w:sz w:val="32"/>
          <w:szCs w:val="32"/>
        </w:rPr>
        <w:t>原则上据实核定，但最高不得超过核定的</w:t>
      </w:r>
      <w:r>
        <w:rPr>
          <w:rFonts w:hint="eastAsia" w:eastAsia="仿宋_GB2312"/>
          <w:bCs/>
          <w:sz w:val="32"/>
          <w:szCs w:val="32"/>
          <w:lang w:eastAsia="zh-CN"/>
        </w:rPr>
        <w:t>相关</w:t>
      </w:r>
      <w:r>
        <w:rPr>
          <w:rFonts w:hint="eastAsia" w:eastAsia="仿宋_GB2312"/>
          <w:bCs/>
          <w:sz w:val="32"/>
          <w:szCs w:val="32"/>
        </w:rPr>
        <w:t>固定资产</w:t>
      </w:r>
      <w:r>
        <w:rPr>
          <w:rFonts w:hint="eastAsia" w:ascii="仿宋_GB2312" w:hAnsi="仿宋_GB2312" w:eastAsia="仿宋_GB2312"/>
          <w:color w:val="auto"/>
          <w:sz w:val="32"/>
          <w:szCs w:val="32"/>
          <w:lang w:eastAsia="zh-CN"/>
        </w:rPr>
        <w:t>总</w:t>
      </w:r>
      <w:r>
        <w:rPr>
          <w:rFonts w:hint="eastAsia" w:eastAsia="仿宋_GB2312"/>
          <w:bCs/>
          <w:sz w:val="32"/>
          <w:szCs w:val="32"/>
        </w:rPr>
        <w:t>原</w:t>
      </w:r>
      <w:r>
        <w:rPr>
          <w:rFonts w:hint="eastAsia" w:eastAsia="仿宋_GB2312"/>
          <w:bCs/>
          <w:sz w:val="32"/>
          <w:szCs w:val="32"/>
          <w:highlight w:val="none"/>
        </w:rPr>
        <w:t>值</w:t>
      </w:r>
      <w:r>
        <w:rPr>
          <w:rFonts w:eastAsia="仿宋_GB2312"/>
          <w:bCs/>
          <w:sz w:val="32"/>
          <w:szCs w:val="32"/>
          <w:highlight w:val="none"/>
        </w:rPr>
        <w:t>的2%。其中，超过固定资产原值20%的大修理费用按照固定资产预计剩余使用年限分摊。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eastAsia="仿宋_GB2312"/>
          <w:bCs/>
          <w:sz w:val="32"/>
          <w:szCs w:val="32"/>
        </w:rPr>
      </w:pPr>
      <w:r>
        <w:rPr>
          <w:rFonts w:hint="eastAsia" w:eastAsia="仿宋_GB2312"/>
          <w:bCs/>
          <w:sz w:val="32"/>
          <w:szCs w:val="32"/>
          <w:lang w:eastAsia="zh-CN"/>
        </w:rPr>
        <w:t>车辆</w:t>
      </w:r>
      <w:r>
        <w:rPr>
          <w:rFonts w:hint="eastAsia" w:eastAsia="仿宋_GB2312"/>
          <w:bCs/>
          <w:sz w:val="32"/>
          <w:szCs w:val="32"/>
        </w:rPr>
        <w:t>修理费原则上据实核定</w:t>
      </w:r>
      <w:r>
        <w:rPr>
          <w:rFonts w:hint="eastAsia" w:eastAsia="仿宋_GB2312"/>
          <w:bCs/>
          <w:sz w:val="32"/>
          <w:szCs w:val="32"/>
          <w:lang w:eastAsia="zh-CN"/>
        </w:rPr>
        <w:t>，</w:t>
      </w:r>
      <w:r>
        <w:rPr>
          <w:rFonts w:hint="eastAsia" w:eastAsia="仿宋_GB2312"/>
          <w:bCs/>
          <w:sz w:val="32"/>
          <w:szCs w:val="32"/>
        </w:rPr>
        <w:t>但最高不得超过核定的</w:t>
      </w:r>
      <w:r>
        <w:rPr>
          <w:rFonts w:hint="eastAsia" w:eastAsia="仿宋_GB2312"/>
          <w:bCs/>
          <w:sz w:val="32"/>
          <w:szCs w:val="32"/>
          <w:lang w:eastAsia="zh-CN"/>
        </w:rPr>
        <w:t>车辆</w:t>
      </w:r>
      <w:r>
        <w:rPr>
          <w:rFonts w:hint="eastAsia" w:eastAsia="仿宋_GB2312"/>
          <w:bCs/>
          <w:sz w:val="32"/>
          <w:szCs w:val="32"/>
        </w:rPr>
        <w:t>固定资产原</w:t>
      </w:r>
      <w:r>
        <w:rPr>
          <w:rFonts w:hint="eastAsia" w:eastAsia="仿宋_GB2312"/>
          <w:bCs/>
          <w:sz w:val="32"/>
          <w:szCs w:val="32"/>
          <w:highlight w:val="none"/>
        </w:rPr>
        <w:t>值</w:t>
      </w:r>
      <w:r>
        <w:rPr>
          <w:rFonts w:eastAsia="仿宋_GB2312"/>
          <w:bCs/>
          <w:sz w:val="32"/>
          <w:szCs w:val="32"/>
          <w:highlight w:val="none"/>
        </w:rPr>
        <w:t>的</w:t>
      </w:r>
      <w:r>
        <w:rPr>
          <w:rFonts w:hint="default" w:eastAsia="仿宋_GB2312"/>
          <w:bCs/>
          <w:sz w:val="32"/>
          <w:szCs w:val="32"/>
          <w:highlight w:val="none"/>
          <w:lang w:val="en-US" w:eastAsia="zh-CN"/>
        </w:rPr>
        <w:t>5</w:t>
      </w:r>
      <w:r>
        <w:rPr>
          <w:rFonts w:eastAsia="仿宋_GB2312"/>
          <w:bCs/>
          <w:sz w:val="32"/>
          <w:szCs w:val="32"/>
          <w:highlight w:val="none"/>
        </w:rPr>
        <w:t>%</w:t>
      </w:r>
      <w:r>
        <w:rPr>
          <w:rFonts w:hint="eastAsia" w:eastAsia="仿宋_GB2312"/>
          <w:bCs/>
          <w:sz w:val="32"/>
          <w:szCs w:val="32"/>
          <w:highlight w:val="none"/>
          <w:lang w:eastAsia="zh-CN"/>
        </w:rPr>
        <w:t>。</w:t>
      </w:r>
      <w:r>
        <w:rPr>
          <w:rFonts w:hint="eastAsia" w:eastAsia="仿宋_GB2312"/>
          <w:bCs/>
          <w:sz w:val="32"/>
          <w:szCs w:val="32"/>
          <w:highlight w:val="none"/>
        </w:rPr>
        <w:t>有修理车间（厂）的通过“修理车间费用</w:t>
      </w:r>
      <w:r>
        <w:rPr>
          <w:rFonts w:hint="eastAsia" w:eastAsia="仿宋_GB2312"/>
          <w:bCs/>
          <w:sz w:val="32"/>
          <w:szCs w:val="32"/>
        </w:rPr>
        <w:t>”归集，包括材料、人工和车间管理所发生的费用。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eastAsia="仿宋_GB2312"/>
          <w:bCs/>
          <w:sz w:val="32"/>
          <w:szCs w:val="32"/>
        </w:rPr>
      </w:pPr>
      <w:r>
        <w:rPr>
          <w:rFonts w:hint="eastAsia" w:eastAsia="黑体"/>
          <w:sz w:val="32"/>
          <w:szCs w:val="32"/>
        </w:rPr>
        <w:t xml:space="preserve">第十六条 </w:t>
      </w:r>
      <w:r>
        <w:rPr>
          <w:rFonts w:hint="eastAsia" w:eastAsia="仿宋_GB2312"/>
          <w:bCs/>
          <w:sz w:val="32"/>
          <w:szCs w:val="32"/>
        </w:rPr>
        <w:t xml:space="preserve"> 固定资产原值确定应当遵循历史成本原则。</w:t>
      </w:r>
      <w:r>
        <w:rPr>
          <w:rFonts w:hint="eastAsia" w:eastAsia="仿宋_GB2312"/>
          <w:b w:val="0"/>
          <w:bCs/>
          <w:sz w:val="32"/>
          <w:szCs w:val="32"/>
        </w:rPr>
        <w:t>未投入实际使用的、不能提供价值有效证明的、由政府补助或者社会无偿投入的资产，以及评估增值部分的折旧不得计入定价成本。</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仿宋_GB2312" w:hAnsi="_x000B__x000C_" w:eastAsia="仿宋_GB2312"/>
          <w:color w:val="FF0000"/>
          <w:sz w:val="32"/>
          <w:szCs w:val="32"/>
        </w:rPr>
      </w:pPr>
      <w:r>
        <w:rPr>
          <w:rFonts w:hint="eastAsia" w:eastAsia="仿宋_GB2312"/>
          <w:bCs/>
          <w:sz w:val="32"/>
          <w:szCs w:val="32"/>
        </w:rPr>
        <w:t>固定资产折旧采用年限平均法。</w:t>
      </w:r>
      <w:r>
        <w:rPr>
          <w:rFonts w:eastAsia="仿宋_GB2312"/>
          <w:bCs/>
          <w:sz w:val="32"/>
          <w:szCs w:val="32"/>
        </w:rPr>
        <w:t>折旧年限根据固定资产的性质和预计使用情况合理确定</w:t>
      </w:r>
      <w:r>
        <w:rPr>
          <w:rFonts w:hint="eastAsia" w:eastAsia="仿宋_GB2312"/>
          <w:bCs/>
          <w:sz w:val="32"/>
          <w:szCs w:val="32"/>
        </w:rPr>
        <w:t>，但不得低于如下年限: 房屋建筑物（框架结构）50年，房屋建筑物（砖混及其他结构）30年，专用设备8年，一般设备5年，运营车辆</w:t>
      </w:r>
      <w:r>
        <w:rPr>
          <w:rFonts w:hint="eastAsia" w:eastAsia="仿宋_GB2312"/>
          <w:bCs/>
          <w:sz w:val="32"/>
          <w:szCs w:val="32"/>
          <w:highlight w:val="none"/>
          <w:lang w:val="en-US" w:eastAsia="zh-CN"/>
        </w:rPr>
        <w:t>6</w:t>
      </w:r>
      <w:r>
        <w:rPr>
          <w:rFonts w:hint="eastAsia" w:eastAsia="仿宋_GB2312"/>
          <w:bCs/>
          <w:sz w:val="32"/>
          <w:szCs w:val="32"/>
        </w:rPr>
        <w:t>年，交通工具（不含运营车辆）和其它固定资产10年。</w:t>
      </w:r>
      <w:r>
        <w:rPr>
          <w:rFonts w:hint="eastAsia" w:ascii="仿宋_GB2312" w:hAnsi="_x000B__x000C_" w:eastAsia="仿宋_GB2312"/>
          <w:sz w:val="32"/>
          <w:szCs w:val="32"/>
        </w:rPr>
        <w:t>融资租入的固定资产，按租赁期与租赁资产尚可使用年限两者中较短者作为折旧期间。</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eastAsia="仿宋_GB2312"/>
          <w:bCs/>
          <w:sz w:val="32"/>
          <w:szCs w:val="32"/>
        </w:rPr>
      </w:pPr>
      <w:r>
        <w:rPr>
          <w:rFonts w:hint="eastAsia" w:eastAsia="仿宋_GB2312"/>
          <w:bCs/>
          <w:sz w:val="32"/>
          <w:szCs w:val="32"/>
        </w:rPr>
        <w:t>残值率原则上按固定资产原值3%—5%计算。</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b w:val="0"/>
          <w:bCs w:val="0"/>
          <w:sz w:val="32"/>
          <w:szCs w:val="32"/>
        </w:rPr>
      </w:pPr>
      <w:r>
        <w:rPr>
          <w:rFonts w:hint="eastAsia" w:eastAsia="黑体"/>
          <w:sz w:val="32"/>
          <w:szCs w:val="32"/>
          <w:lang w:eastAsia="zh-CN"/>
        </w:rPr>
        <w:t>第十七条</w:t>
      </w:r>
      <w:r>
        <w:rPr>
          <w:rFonts w:hint="eastAsia" w:eastAsia="黑体"/>
          <w:sz w:val="32"/>
          <w:szCs w:val="32"/>
        </w:rPr>
        <w:t xml:space="preserve"> </w:t>
      </w:r>
      <w:r>
        <w:rPr>
          <w:rFonts w:hint="eastAsia" w:eastAsia="黑体"/>
          <w:sz w:val="32"/>
          <w:szCs w:val="32"/>
          <w:lang w:val="en-US" w:eastAsia="zh-CN"/>
        </w:rPr>
        <w:t xml:space="preserve"> </w:t>
      </w:r>
      <w:r>
        <w:rPr>
          <w:rFonts w:hint="eastAsia" w:eastAsia="仿宋_GB2312"/>
          <w:b w:val="0"/>
          <w:bCs w:val="0"/>
          <w:sz w:val="32"/>
          <w:szCs w:val="32"/>
        </w:rPr>
        <w:t>无形资产从开始使用之日起，在有效使用期限内分摊计入定价成本中。其中，土地使用权费用已计入地面建筑物价值且无法分离的，随建筑物提取折旧；其他按照土地使用权年限分摊。特许经营权费用原则上不得计入定价成本，政府规定允许计入的，按照特许经营年限分摊，没有特许经营年限的按按30年分摊。</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lang w:eastAsia="zh-CN"/>
        </w:rPr>
        <w:t>第十八条</w:t>
      </w:r>
      <w:r>
        <w:rPr>
          <w:rFonts w:hint="eastAsia" w:eastAsia="仿宋_GB2312"/>
          <w:sz w:val="32"/>
          <w:szCs w:val="32"/>
          <w:lang w:val="en-US" w:eastAsia="zh-CN"/>
        </w:rPr>
        <w:t xml:space="preserve">  </w:t>
      </w:r>
      <w:r>
        <w:rPr>
          <w:rFonts w:hint="eastAsia" w:eastAsia="仿宋_GB2312"/>
          <w:sz w:val="32"/>
          <w:szCs w:val="32"/>
        </w:rPr>
        <w:t>利息</w:t>
      </w:r>
      <w:r>
        <w:rPr>
          <w:rFonts w:hint="eastAsia" w:eastAsia="仿宋_GB2312"/>
          <w:sz w:val="32"/>
          <w:szCs w:val="32"/>
          <w:lang w:eastAsia="zh-CN"/>
        </w:rPr>
        <w:t>支出</w:t>
      </w:r>
      <w:r>
        <w:rPr>
          <w:rFonts w:hint="eastAsia" w:eastAsia="仿宋_GB2312"/>
          <w:sz w:val="32"/>
          <w:szCs w:val="32"/>
        </w:rPr>
        <w:t>原则上</w:t>
      </w:r>
      <w:r>
        <w:rPr>
          <w:rFonts w:hint="eastAsia" w:eastAsia="仿宋_GB2312"/>
          <w:sz w:val="32"/>
          <w:szCs w:val="32"/>
          <w:lang w:eastAsia="zh-CN"/>
        </w:rPr>
        <w:t>据实核定。年度利息支出差异较大的，按照还款期计算的年平均利息核定。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 w:val="0"/>
          <w:bCs w:val="0"/>
          <w:sz w:val="32"/>
          <w:szCs w:val="32"/>
        </w:rPr>
      </w:pPr>
      <w:r>
        <w:rPr>
          <w:rFonts w:hint="eastAsia" w:eastAsia="黑体"/>
          <w:sz w:val="32"/>
          <w:szCs w:val="32"/>
        </w:rPr>
        <w:t>第十</w:t>
      </w:r>
      <w:r>
        <w:rPr>
          <w:rFonts w:hint="eastAsia" w:eastAsia="黑体"/>
          <w:sz w:val="32"/>
          <w:szCs w:val="32"/>
          <w:lang w:eastAsia="zh-CN"/>
        </w:rPr>
        <w:t>九</w:t>
      </w:r>
      <w:r>
        <w:rPr>
          <w:rFonts w:hint="eastAsia" w:eastAsia="黑体"/>
          <w:sz w:val="32"/>
          <w:szCs w:val="32"/>
        </w:rPr>
        <w:t xml:space="preserve">条  </w:t>
      </w:r>
      <w:r>
        <w:rPr>
          <w:rFonts w:hint="eastAsia" w:eastAsia="仿宋_GB2312"/>
          <w:b w:val="0"/>
          <w:bCs w:val="0"/>
          <w:sz w:val="32"/>
          <w:szCs w:val="32"/>
        </w:rPr>
        <w:t>本办法未规定的其他费用，有关法律法规和国家政策已明确规定核算原则和标准的，按照相关规定核定；没有明确规定的，原则上据实核定，但应当符合公允水平。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hint="eastAsia" w:eastAsia="黑体"/>
          <w:sz w:val="32"/>
          <w:szCs w:val="32"/>
        </w:rPr>
        <w:t>第</w:t>
      </w:r>
      <w:r>
        <w:rPr>
          <w:rFonts w:hint="eastAsia" w:eastAsia="黑体"/>
          <w:sz w:val="32"/>
          <w:szCs w:val="32"/>
          <w:lang w:eastAsia="zh-CN"/>
        </w:rPr>
        <w:t>二十</w:t>
      </w:r>
      <w:r>
        <w:rPr>
          <w:rFonts w:hint="eastAsia" w:eastAsia="黑体"/>
          <w:sz w:val="32"/>
          <w:szCs w:val="32"/>
        </w:rPr>
        <w:t xml:space="preserve">条  </w:t>
      </w:r>
      <w:r>
        <w:rPr>
          <w:rFonts w:eastAsia="仿宋_GB2312"/>
          <w:sz w:val="32"/>
          <w:szCs w:val="32"/>
        </w:rPr>
        <w:t>下列</w:t>
      </w:r>
      <w:r>
        <w:rPr>
          <w:rFonts w:eastAsia="仿宋_GB2312"/>
          <w:kern w:val="0"/>
          <w:sz w:val="32"/>
          <w:szCs w:val="32"/>
        </w:rPr>
        <w:t>费用</w:t>
      </w:r>
      <w:r>
        <w:rPr>
          <w:rFonts w:eastAsia="仿宋_GB2312"/>
          <w:sz w:val="32"/>
          <w:szCs w:val="32"/>
        </w:rPr>
        <w:t>不得</w:t>
      </w:r>
      <w:r>
        <w:rPr>
          <w:rFonts w:hint="eastAsia" w:eastAsia="仿宋_GB2312"/>
          <w:sz w:val="32"/>
          <w:szCs w:val="32"/>
        </w:rPr>
        <w:t>计</w:t>
      </w:r>
      <w:r>
        <w:rPr>
          <w:rFonts w:eastAsia="仿宋_GB2312"/>
          <w:sz w:val="32"/>
          <w:szCs w:val="32"/>
        </w:rPr>
        <w:t>入</w:t>
      </w:r>
      <w:r>
        <w:rPr>
          <w:rFonts w:hint="eastAsia" w:eastAsia="仿宋_GB2312"/>
          <w:sz w:val="32"/>
          <w:szCs w:val="32"/>
        </w:rPr>
        <w:t>城市公共汽车客运</w:t>
      </w:r>
      <w:r>
        <w:rPr>
          <w:rFonts w:eastAsia="仿宋_GB2312"/>
          <w:bCs/>
          <w:sz w:val="32"/>
          <w:szCs w:val="32"/>
        </w:rPr>
        <w:t>定价</w:t>
      </w:r>
      <w:r>
        <w:rPr>
          <w:rFonts w:eastAsia="仿宋_GB2312"/>
          <w:sz w:val="32"/>
          <w:szCs w:val="32"/>
        </w:rPr>
        <w:t>成本：</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eastAsia="仿宋_GB2312"/>
          <w:bCs/>
          <w:sz w:val="32"/>
          <w:szCs w:val="32"/>
        </w:rPr>
        <w:t>（一）不符合《中华人民共和国会计法》等有关法律、行政法规，财务制度和国家统一的会计制度，以及价格监管制度等的费用；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kern w:val="0"/>
          <w:sz w:val="32"/>
          <w:szCs w:val="32"/>
        </w:rPr>
      </w:pPr>
      <w:r>
        <w:rPr>
          <w:rFonts w:hAnsi="仿宋_GB2312" w:eastAsia="仿宋_GB2312"/>
          <w:sz w:val="32"/>
          <w:szCs w:val="32"/>
        </w:rPr>
        <w:t>（</w:t>
      </w:r>
      <w:r>
        <w:rPr>
          <w:rFonts w:hint="eastAsia" w:hAnsi="仿宋_GB2312" w:eastAsia="仿宋_GB2312"/>
          <w:sz w:val="32"/>
          <w:szCs w:val="32"/>
        </w:rPr>
        <w:t>二</w:t>
      </w:r>
      <w:r>
        <w:rPr>
          <w:rFonts w:hAnsi="仿宋_GB2312" w:eastAsia="仿宋_GB2312"/>
          <w:sz w:val="32"/>
          <w:szCs w:val="32"/>
        </w:rPr>
        <w:t>）</w:t>
      </w:r>
      <w:r>
        <w:rPr>
          <w:rFonts w:eastAsia="仿宋_GB2312"/>
          <w:kern w:val="0"/>
          <w:sz w:val="32"/>
          <w:szCs w:val="32"/>
        </w:rPr>
        <w:t>与</w:t>
      </w:r>
      <w:r>
        <w:rPr>
          <w:rFonts w:hint="eastAsia" w:eastAsia="仿宋_GB2312"/>
          <w:bCs/>
          <w:sz w:val="32"/>
          <w:szCs w:val="32"/>
        </w:rPr>
        <w:t>城市公共汽车</w:t>
      </w:r>
      <w:r>
        <w:rPr>
          <w:rFonts w:eastAsia="仿宋_GB2312"/>
          <w:bCs/>
          <w:sz w:val="32"/>
          <w:szCs w:val="32"/>
        </w:rPr>
        <w:t>经营</w:t>
      </w:r>
      <w:r>
        <w:rPr>
          <w:rFonts w:hint="eastAsia" w:eastAsia="仿宋_GB2312"/>
          <w:bCs/>
          <w:sz w:val="32"/>
          <w:szCs w:val="32"/>
        </w:rPr>
        <w:t>活动</w:t>
      </w:r>
      <w:r>
        <w:rPr>
          <w:rFonts w:eastAsia="仿宋_GB2312"/>
          <w:kern w:val="0"/>
          <w:sz w:val="32"/>
          <w:szCs w:val="32"/>
        </w:rPr>
        <w:t>无关的费用</w:t>
      </w:r>
      <w:r>
        <w:rPr>
          <w:rFonts w:hint="eastAsia" w:eastAsia="仿宋_GB2312"/>
          <w:kern w:val="0"/>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kern w:val="0"/>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kern w:val="0"/>
          <w:sz w:val="32"/>
          <w:szCs w:val="32"/>
        </w:rPr>
        <w:t>虽与</w:t>
      </w:r>
      <w:r>
        <w:rPr>
          <w:rFonts w:hint="eastAsia" w:eastAsia="仿宋_GB2312"/>
          <w:bCs/>
          <w:sz w:val="32"/>
          <w:szCs w:val="32"/>
        </w:rPr>
        <w:t>城市公共汽车</w:t>
      </w:r>
      <w:r>
        <w:rPr>
          <w:rFonts w:eastAsia="仿宋_GB2312"/>
          <w:bCs/>
          <w:sz w:val="32"/>
          <w:szCs w:val="32"/>
        </w:rPr>
        <w:t>经营</w:t>
      </w:r>
      <w:r>
        <w:rPr>
          <w:rFonts w:hint="eastAsia" w:eastAsia="仿宋_GB2312"/>
          <w:bCs/>
          <w:sz w:val="32"/>
          <w:szCs w:val="32"/>
        </w:rPr>
        <w:t>活动有关但有专项资金来源予以补偿的费用</w:t>
      </w:r>
      <w:r>
        <w:rPr>
          <w:rFonts w:eastAsia="仿宋_GB2312"/>
          <w:kern w:val="0"/>
          <w:sz w:val="32"/>
          <w:szCs w:val="32"/>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rPr>
        <w:t>（四）除不可抗力外的</w:t>
      </w:r>
      <w:r>
        <w:rPr>
          <w:rFonts w:eastAsia="仿宋_GB2312"/>
          <w:sz w:val="32"/>
          <w:szCs w:val="32"/>
        </w:rPr>
        <w:t>固定资产盘亏、毁损、闲置</w:t>
      </w:r>
      <w:r>
        <w:rPr>
          <w:rFonts w:hint="eastAsia" w:eastAsia="仿宋_GB2312"/>
          <w:sz w:val="32"/>
          <w:szCs w:val="32"/>
        </w:rPr>
        <w:t>、</w:t>
      </w:r>
      <w:r>
        <w:rPr>
          <w:rFonts w:eastAsia="仿宋_GB2312"/>
          <w:sz w:val="32"/>
          <w:szCs w:val="32"/>
        </w:rPr>
        <w:t>出售</w:t>
      </w:r>
      <w:r>
        <w:rPr>
          <w:rFonts w:hint="eastAsia" w:eastAsia="仿宋_GB2312"/>
          <w:sz w:val="32"/>
          <w:szCs w:val="32"/>
        </w:rPr>
        <w:t>和报废</w:t>
      </w:r>
      <w:r>
        <w:rPr>
          <w:rFonts w:eastAsia="仿宋_GB2312"/>
          <w:sz w:val="32"/>
          <w:szCs w:val="32"/>
        </w:rPr>
        <w:t>的净损失；</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rPr>
        <w:t>（五）向上级公司或管理部门上交的利润性质的管理费用、代上级公司或管理部门缴纳的各项费用、</w:t>
      </w:r>
      <w:r>
        <w:rPr>
          <w:rFonts w:eastAsia="仿宋_GB2312"/>
          <w:sz w:val="32"/>
          <w:szCs w:val="32"/>
        </w:rPr>
        <w:t>向出资人支付的利润分成</w:t>
      </w:r>
      <w:r>
        <w:rPr>
          <w:rFonts w:hint="eastAsia" w:eastAsia="仿宋_GB2312"/>
          <w:sz w:val="32"/>
          <w:szCs w:val="32"/>
        </w:rPr>
        <w:t>以及对附属单位的补助支出等；</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）各类捐赠、赞助、滞纳金、违约金、罚款，以及</w:t>
      </w:r>
      <w:r>
        <w:rPr>
          <w:rFonts w:hint="eastAsia" w:eastAsia="仿宋_GB2312"/>
          <w:sz w:val="32"/>
          <w:szCs w:val="32"/>
        </w:rPr>
        <w:t>计提的准备</w:t>
      </w:r>
      <w:r>
        <w:rPr>
          <w:rFonts w:eastAsia="仿宋_GB2312"/>
          <w:sz w:val="32"/>
          <w:szCs w:val="32"/>
        </w:rPr>
        <w:t>金；</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（七）公益广告、公益宣传费用；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w:t>
      </w:r>
      <w:r>
        <w:rPr>
          <w:rFonts w:hint="eastAsia" w:eastAsia="仿宋_GB2312"/>
          <w:sz w:val="32"/>
          <w:szCs w:val="32"/>
        </w:rPr>
        <w:t>八</w:t>
      </w:r>
      <w:r>
        <w:rPr>
          <w:rFonts w:eastAsia="仿宋_GB2312"/>
          <w:sz w:val="32"/>
          <w:szCs w:val="32"/>
        </w:rPr>
        <w:t>）对外投资等支出；</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黑体"/>
          <w:sz w:val="32"/>
          <w:szCs w:val="32"/>
        </w:rPr>
      </w:pPr>
      <w:r>
        <w:rPr>
          <w:rFonts w:eastAsia="仿宋_GB2312"/>
          <w:sz w:val="32"/>
          <w:szCs w:val="32"/>
        </w:rPr>
        <w:t>（</w:t>
      </w:r>
      <w:r>
        <w:rPr>
          <w:rFonts w:hint="eastAsia" w:eastAsia="仿宋_GB2312"/>
          <w:sz w:val="32"/>
          <w:szCs w:val="32"/>
        </w:rPr>
        <w:t>九</w:t>
      </w:r>
      <w:r>
        <w:rPr>
          <w:rFonts w:eastAsia="仿宋_GB2312"/>
          <w:sz w:val="32"/>
          <w:szCs w:val="32"/>
        </w:rPr>
        <w:t>）其他</w:t>
      </w:r>
      <w:r>
        <w:rPr>
          <w:rFonts w:hint="eastAsia" w:eastAsia="仿宋_GB2312"/>
          <w:sz w:val="32"/>
          <w:szCs w:val="32"/>
        </w:rPr>
        <w:t>不得计入定价成本的</w:t>
      </w:r>
      <w:r>
        <w:rPr>
          <w:rFonts w:eastAsia="仿宋_GB2312"/>
          <w:sz w:val="32"/>
          <w:szCs w:val="32"/>
        </w:rPr>
        <w:t>支出。</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 w:val="0"/>
          <w:bCs w:val="0"/>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一</w:t>
      </w:r>
      <w:r>
        <w:rPr>
          <w:rFonts w:hint="eastAsia" w:eastAsia="黑体"/>
          <w:sz w:val="32"/>
          <w:szCs w:val="32"/>
        </w:rPr>
        <w:t xml:space="preserve">条  </w:t>
      </w:r>
      <w:r>
        <w:rPr>
          <w:rFonts w:hint="eastAsia" w:eastAsia="仿宋_GB2312"/>
          <w:b w:val="0"/>
          <w:bCs w:val="0"/>
          <w:sz w:val="32"/>
          <w:szCs w:val="32"/>
        </w:rPr>
        <w:t>城市公共汽车经营者的其他业务成本应单独核算，不得计入城市公共汽车定价成本。不能单独核算或核算不合理的，应当将其他业务收入按照一定比例冲减总成本。该比例可采用收入比、直接人员数量比、资产比或者其他合理方法确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二</w:t>
      </w:r>
      <w:r>
        <w:rPr>
          <w:rFonts w:hint="eastAsia" w:eastAsia="黑体"/>
          <w:sz w:val="32"/>
          <w:szCs w:val="32"/>
        </w:rPr>
        <w:t xml:space="preserve">条  </w:t>
      </w:r>
      <w:r>
        <w:rPr>
          <w:rFonts w:eastAsia="仿宋_GB2312"/>
          <w:sz w:val="32"/>
          <w:szCs w:val="32"/>
        </w:rPr>
        <w:t>运营车辆数，指</w:t>
      </w:r>
      <w:r>
        <w:rPr>
          <w:rFonts w:hint="eastAsia" w:eastAsia="仿宋_GB2312"/>
          <w:sz w:val="32"/>
          <w:szCs w:val="32"/>
        </w:rPr>
        <w:t>城市公共汽车经营者</w:t>
      </w:r>
      <w:r>
        <w:rPr>
          <w:rFonts w:eastAsia="仿宋_GB2312"/>
          <w:sz w:val="32"/>
          <w:szCs w:val="32"/>
        </w:rPr>
        <w:t>用于运营业务的全部公共汽车车辆数，包括经营租赁和融资租赁租入的车辆数。新购和调入的运营车辆，自投入之日起开始计算；调出、报废和调作他用的运营车辆，自</w:t>
      </w:r>
      <w:r>
        <w:rPr>
          <w:rFonts w:hint="eastAsia" w:eastAsia="仿宋_GB2312"/>
          <w:sz w:val="32"/>
          <w:szCs w:val="32"/>
          <w:lang w:eastAsia="zh-CN"/>
        </w:rPr>
        <w:t>有权限</w:t>
      </w:r>
      <w:r>
        <w:rPr>
          <w:rFonts w:eastAsia="仿宋_GB2312"/>
          <w:sz w:val="32"/>
          <w:szCs w:val="32"/>
        </w:rPr>
        <w:t>机关批准之日起不再计入，并按同期使用</w:t>
      </w:r>
      <w:r>
        <w:rPr>
          <w:rFonts w:hint="eastAsia" w:eastAsia="仿宋_GB2312"/>
          <w:sz w:val="32"/>
          <w:szCs w:val="32"/>
        </w:rPr>
        <w:t>天数</w:t>
      </w:r>
      <w:r>
        <w:rPr>
          <w:rFonts w:eastAsia="仿宋_GB2312"/>
          <w:sz w:val="32"/>
          <w:szCs w:val="32"/>
        </w:rPr>
        <w:t>加权平均计算报告期平均车辆数，计算公式：</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仿宋_GB2312"/>
          <w:sz w:val="32"/>
          <w:szCs w:val="32"/>
        </w:rPr>
        <w:t>运营车辆数=年初车辆数+新增车辆数×报告期使用</w:t>
      </w:r>
      <w:r>
        <w:rPr>
          <w:rFonts w:hint="eastAsia" w:eastAsia="仿宋_GB2312"/>
          <w:sz w:val="32"/>
          <w:szCs w:val="32"/>
        </w:rPr>
        <w:t>天数</w:t>
      </w:r>
      <w:r>
        <w:rPr>
          <w:rFonts w:eastAsia="仿宋_GB2312"/>
          <w:sz w:val="32"/>
          <w:szCs w:val="32"/>
        </w:rPr>
        <w:t>÷365－减少车辆数×（365－报告期使用</w:t>
      </w:r>
      <w:r>
        <w:rPr>
          <w:rFonts w:hint="eastAsia" w:eastAsia="仿宋_GB2312"/>
          <w:sz w:val="32"/>
          <w:szCs w:val="32"/>
        </w:rPr>
        <w:t>天</w:t>
      </w:r>
      <w:r>
        <w:rPr>
          <w:rFonts w:eastAsia="仿宋_GB2312"/>
          <w:sz w:val="32"/>
          <w:szCs w:val="32"/>
        </w:rPr>
        <w:t>数）÷365</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三</w:t>
      </w:r>
      <w:r>
        <w:rPr>
          <w:rFonts w:hint="eastAsia" w:eastAsia="黑体"/>
          <w:sz w:val="32"/>
          <w:szCs w:val="32"/>
        </w:rPr>
        <w:t xml:space="preserve">条  </w:t>
      </w:r>
      <w:r>
        <w:rPr>
          <w:rFonts w:eastAsia="仿宋_GB2312"/>
          <w:sz w:val="32"/>
          <w:szCs w:val="32"/>
        </w:rPr>
        <w:t>客运量，指公交企业全年运送乘客的总人次，包括付费乘客和</w:t>
      </w:r>
      <w:r>
        <w:rPr>
          <w:rFonts w:hint="eastAsia" w:eastAsia="仿宋_GB2312"/>
          <w:sz w:val="32"/>
          <w:szCs w:val="32"/>
        </w:rPr>
        <w:t>免费</w:t>
      </w:r>
      <w:r>
        <w:rPr>
          <w:rFonts w:eastAsia="仿宋_GB2312"/>
          <w:sz w:val="32"/>
          <w:szCs w:val="32"/>
        </w:rPr>
        <w:t>乘客。</w:t>
      </w:r>
      <w:r>
        <w:rPr>
          <w:rFonts w:hint="eastAsia" w:eastAsia="仿宋_GB2312"/>
          <w:sz w:val="32"/>
          <w:szCs w:val="32"/>
        </w:rPr>
        <w:t>各类乘客人次按收费价格和付费方式分别计算。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w:t>无人售票投币乘客按实际票款除以单位票价计算人次； IC卡、闪付、支付宝等付费乘客按刷卡量确定人次</w:t>
      </w:r>
      <w:r>
        <w:rPr>
          <w:rFonts w:hint="eastAsia" w:eastAsia="仿宋_GB2312"/>
          <w:sz w:val="32"/>
          <w:szCs w:val="32"/>
          <w:highlight w:val="none"/>
        </w:rPr>
        <w:t>。无统计数据的乘客客运量，可根据实际情况抽样确定。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四</w:t>
      </w:r>
      <w:r>
        <w:rPr>
          <w:rFonts w:hint="eastAsia" w:eastAsia="黑体"/>
          <w:sz w:val="32"/>
          <w:szCs w:val="32"/>
        </w:rPr>
        <w:t xml:space="preserve">条  </w:t>
      </w:r>
      <w:r>
        <w:rPr>
          <w:rFonts w:eastAsia="仿宋_GB2312"/>
          <w:sz w:val="32"/>
          <w:szCs w:val="32"/>
        </w:rPr>
        <w:t>运营里程，指运营车辆为运营而出车行驶的全部里程，包括载客里程和空驶里程。</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黑体"/>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五</w:t>
      </w:r>
      <w:r>
        <w:rPr>
          <w:rFonts w:hint="eastAsia" w:eastAsia="黑体"/>
          <w:sz w:val="32"/>
          <w:szCs w:val="32"/>
        </w:rPr>
        <w:t xml:space="preserve">条  </w:t>
      </w:r>
      <w:r>
        <w:rPr>
          <w:rFonts w:hint="eastAsia" w:eastAsia="仿宋_GB2312"/>
          <w:bCs/>
          <w:sz w:val="32"/>
          <w:szCs w:val="32"/>
        </w:rPr>
        <w:t>城市公共汽车相关成本指标按以下方式确定并核算。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hint="eastAsia" w:eastAsia="仿宋_GB2312"/>
          <w:bCs/>
          <w:sz w:val="32"/>
          <w:szCs w:val="32"/>
        </w:rPr>
        <w:t>（一）</w:t>
      </w:r>
      <w:r>
        <w:rPr>
          <w:rFonts w:eastAsia="仿宋_GB2312"/>
          <w:bCs/>
          <w:sz w:val="32"/>
          <w:szCs w:val="32"/>
        </w:rPr>
        <w:t>单位车辆客运成本，指</w:t>
      </w:r>
      <w:r>
        <w:rPr>
          <w:rFonts w:hint="eastAsia" w:eastAsia="仿宋_GB2312"/>
          <w:bCs/>
          <w:sz w:val="32"/>
          <w:szCs w:val="32"/>
        </w:rPr>
        <w:t>单位公共汽车</w:t>
      </w:r>
      <w:r>
        <w:rPr>
          <w:rFonts w:eastAsia="仿宋_GB2312"/>
          <w:bCs/>
          <w:sz w:val="32"/>
          <w:szCs w:val="32"/>
        </w:rPr>
        <w:t>运营一年所消耗的平均费用，计算公式：</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eastAsia="仿宋_GB2312"/>
          <w:bCs/>
          <w:sz w:val="32"/>
          <w:szCs w:val="32"/>
        </w:rPr>
        <w:t>单位车辆客运成本=</w:t>
      </w:r>
      <w:r>
        <w:rPr>
          <w:rFonts w:hint="eastAsia" w:eastAsia="仿宋_GB2312"/>
          <w:bCs/>
          <w:sz w:val="32"/>
          <w:szCs w:val="32"/>
        </w:rPr>
        <w:t>定价</w:t>
      </w:r>
      <w:r>
        <w:rPr>
          <w:rFonts w:eastAsia="仿宋_GB2312"/>
          <w:bCs/>
          <w:sz w:val="32"/>
          <w:szCs w:val="32"/>
        </w:rPr>
        <w:t>总成本÷运营车辆数</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hint="eastAsia" w:eastAsia="仿宋_GB2312"/>
          <w:bCs/>
          <w:sz w:val="32"/>
          <w:szCs w:val="32"/>
        </w:rPr>
        <w:t>（二）</w:t>
      </w:r>
      <w:r>
        <w:rPr>
          <w:rFonts w:eastAsia="仿宋_GB2312"/>
          <w:bCs/>
          <w:sz w:val="32"/>
          <w:szCs w:val="32"/>
        </w:rPr>
        <w:t>百公里客运成本，指</w:t>
      </w:r>
      <w:r>
        <w:rPr>
          <w:rFonts w:hint="eastAsia" w:eastAsia="仿宋_GB2312"/>
          <w:bCs/>
          <w:sz w:val="32"/>
          <w:szCs w:val="32"/>
        </w:rPr>
        <w:t>公共汽车</w:t>
      </w:r>
      <w:r>
        <w:rPr>
          <w:rFonts w:eastAsia="仿宋_GB2312"/>
          <w:bCs/>
          <w:sz w:val="32"/>
          <w:szCs w:val="32"/>
        </w:rPr>
        <w:t>每行驶百公里所消耗的平均费用，计算公式：</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eastAsia="仿宋_GB2312"/>
          <w:bCs/>
          <w:sz w:val="32"/>
          <w:szCs w:val="32"/>
        </w:rPr>
        <w:t>百公里客运成本=</w:t>
      </w:r>
      <w:r>
        <w:rPr>
          <w:rFonts w:hint="eastAsia" w:eastAsia="仿宋_GB2312"/>
          <w:bCs/>
          <w:sz w:val="32"/>
          <w:szCs w:val="32"/>
        </w:rPr>
        <w:t>定价</w:t>
      </w:r>
      <w:r>
        <w:rPr>
          <w:rFonts w:eastAsia="仿宋_GB2312"/>
          <w:bCs/>
          <w:sz w:val="32"/>
          <w:szCs w:val="32"/>
        </w:rPr>
        <w:t>总成本÷总运营里程（百公里）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hint="eastAsia" w:eastAsia="仿宋_GB2312"/>
          <w:bCs/>
          <w:sz w:val="32"/>
          <w:szCs w:val="32"/>
        </w:rPr>
        <w:t>（三）</w:t>
      </w:r>
      <w:r>
        <w:rPr>
          <w:rFonts w:eastAsia="仿宋_GB2312"/>
          <w:bCs/>
          <w:sz w:val="32"/>
          <w:szCs w:val="32"/>
        </w:rPr>
        <w:t>单位人次客运成本，指</w:t>
      </w:r>
      <w:r>
        <w:rPr>
          <w:rFonts w:hint="eastAsia" w:eastAsia="仿宋_GB2312"/>
          <w:bCs/>
          <w:sz w:val="32"/>
          <w:szCs w:val="32"/>
        </w:rPr>
        <w:t>公共汽车</w:t>
      </w:r>
      <w:r>
        <w:rPr>
          <w:rFonts w:eastAsia="仿宋_GB2312"/>
          <w:bCs/>
          <w:sz w:val="32"/>
          <w:szCs w:val="32"/>
        </w:rPr>
        <w:t>每次运送一位乘客消耗的费用，其计算公式：</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bCs/>
          <w:sz w:val="32"/>
          <w:szCs w:val="32"/>
        </w:rPr>
      </w:pPr>
      <w:r>
        <w:rPr>
          <w:rFonts w:eastAsia="仿宋_GB2312"/>
          <w:bCs/>
          <w:sz w:val="32"/>
          <w:szCs w:val="32"/>
        </w:rPr>
        <w:t>单位人次客运成本=</w:t>
      </w:r>
      <w:r>
        <w:rPr>
          <w:rFonts w:hint="eastAsia" w:eastAsia="仿宋_GB2312"/>
          <w:bCs/>
          <w:sz w:val="32"/>
          <w:szCs w:val="32"/>
        </w:rPr>
        <w:t>定价</w:t>
      </w:r>
      <w:r>
        <w:rPr>
          <w:rFonts w:eastAsia="仿宋_GB2312"/>
          <w:bCs/>
          <w:sz w:val="32"/>
          <w:szCs w:val="32"/>
        </w:rPr>
        <w:t>总成本÷客运量</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六</w:t>
      </w:r>
      <w:r>
        <w:rPr>
          <w:rFonts w:hint="eastAsia" w:eastAsia="黑体"/>
          <w:sz w:val="32"/>
          <w:szCs w:val="32"/>
        </w:rPr>
        <w:t>条</w:t>
      </w:r>
      <w:r>
        <w:rPr>
          <w:rFonts w:hint="eastAsia" w:eastAsia="仿宋_GB2312"/>
          <w:sz w:val="32"/>
          <w:szCs w:val="32"/>
        </w:rPr>
        <w:t xml:space="preserve">  </w:t>
      </w:r>
      <w:r>
        <w:rPr>
          <w:rFonts w:eastAsia="仿宋_GB2312"/>
          <w:sz w:val="32"/>
          <w:szCs w:val="32"/>
        </w:rPr>
        <w:t>各</w:t>
      </w:r>
      <w:r>
        <w:rPr>
          <w:rFonts w:hint="eastAsia" w:eastAsia="仿宋_GB2312"/>
          <w:sz w:val="32"/>
          <w:szCs w:val="32"/>
        </w:rPr>
        <w:t>设区</w:t>
      </w:r>
      <w:r>
        <w:rPr>
          <w:rFonts w:eastAsia="仿宋_GB2312"/>
          <w:sz w:val="32"/>
          <w:szCs w:val="32"/>
        </w:rPr>
        <w:t>市</w:t>
      </w:r>
      <w:r>
        <w:rPr>
          <w:rFonts w:hint="eastAsia" w:eastAsia="仿宋_GB2312"/>
          <w:sz w:val="32"/>
          <w:szCs w:val="32"/>
        </w:rPr>
        <w:t>价格主管部门</w:t>
      </w:r>
      <w:r>
        <w:rPr>
          <w:rFonts w:eastAsia="仿宋_GB2312"/>
          <w:sz w:val="32"/>
          <w:szCs w:val="32"/>
        </w:rPr>
        <w:t>可根据本办法，结合</w:t>
      </w:r>
      <w:r>
        <w:rPr>
          <w:rFonts w:hint="eastAsia" w:eastAsia="仿宋_GB2312"/>
          <w:sz w:val="32"/>
          <w:szCs w:val="32"/>
        </w:rPr>
        <w:t>当</w:t>
      </w:r>
      <w:r>
        <w:rPr>
          <w:rFonts w:eastAsia="仿宋_GB2312"/>
          <w:sz w:val="32"/>
          <w:szCs w:val="32"/>
        </w:rPr>
        <w:t>地实际制定实施细则。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r>
        <w:rPr>
          <w:rFonts w:eastAsia="黑体"/>
          <w:sz w:val="32"/>
          <w:szCs w:val="32"/>
        </w:rPr>
        <w:t>第</w:t>
      </w:r>
      <w:r>
        <w:rPr>
          <w:rFonts w:hint="eastAsia" w:eastAsia="黑体"/>
          <w:sz w:val="32"/>
          <w:szCs w:val="32"/>
        </w:rPr>
        <w:t>二十七条</w:t>
      </w:r>
      <w:r>
        <w:rPr>
          <w:rFonts w:hint="eastAsia" w:eastAsia="仿宋_GB2312"/>
          <w:sz w:val="32"/>
          <w:szCs w:val="32"/>
        </w:rPr>
        <w:t xml:space="preserve">  </w:t>
      </w:r>
      <w:r>
        <w:rPr>
          <w:rFonts w:eastAsia="仿宋_GB2312"/>
          <w:sz w:val="32"/>
          <w:szCs w:val="32"/>
        </w:rPr>
        <w:t>本办法由浙江省物价局负责解释。</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八</w:t>
      </w:r>
      <w:r>
        <w:rPr>
          <w:rFonts w:hint="eastAsia" w:eastAsia="黑体"/>
          <w:sz w:val="32"/>
          <w:szCs w:val="32"/>
        </w:rPr>
        <w:t>条</w:t>
      </w:r>
      <w:r>
        <w:rPr>
          <w:rFonts w:hint="eastAsia" w:eastAsia="仿宋_GB2312"/>
          <w:sz w:val="32"/>
          <w:szCs w:val="32"/>
        </w:rPr>
        <w:t xml:space="preserve">  </w:t>
      </w:r>
      <w:r>
        <w:rPr>
          <w:rFonts w:hint="eastAsia" w:ascii="仿宋" w:hAnsi="仿宋" w:eastAsia="仿宋" w:cs="仿宋"/>
          <w:bCs/>
          <w:sz w:val="32"/>
          <w:szCs w:val="32"/>
        </w:rPr>
        <w:t>本办法自</w:t>
      </w:r>
      <w:r>
        <w:rPr>
          <w:rFonts w:hint="eastAsia" w:ascii="仿宋" w:hAnsi="仿宋" w:eastAsia="仿宋" w:cs="仿宋"/>
          <w:bCs/>
          <w:sz w:val="32"/>
          <w:szCs w:val="32"/>
          <w:lang w:val="en-US" w:eastAsia="zh-CN"/>
        </w:rPr>
        <w:t>2018年5月1</w:t>
      </w:r>
      <w:r>
        <w:rPr>
          <w:rFonts w:hint="eastAsia" w:ascii="仿宋" w:hAnsi="仿宋" w:eastAsia="仿宋" w:cs="仿宋"/>
          <w:bCs/>
          <w:sz w:val="32"/>
          <w:szCs w:val="32"/>
        </w:rPr>
        <w:t>日起施行。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eastAsia="仿宋_GB2312"/>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eastAsia="zh-CN"/>
        </w:rPr>
        <w:t>附表</w:t>
      </w:r>
      <w:r>
        <w:rPr>
          <w:rFonts w:hint="eastAsia" w:eastAsia="仿宋_GB2312"/>
          <w:sz w:val="32"/>
          <w:szCs w:val="32"/>
          <w:lang w:val="en-US" w:eastAsia="zh-CN"/>
        </w:rPr>
        <w:t>：浙江省城市公共汽车客运定价成本监审表（样表）</w:t>
      </w:r>
    </w:p>
    <w:p>
      <w:pPr>
        <w:rPr>
          <w:rFonts w:hint="eastAsia"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jc w:val="left"/>
        <w:rPr>
          <w:rFonts w:hint="eastAsia" w:ascii="Calibri" w:hAnsi="Calibri" w:eastAsia="仿宋_GB2312" w:cs="Times New Roman"/>
          <w:kern w:val="2"/>
          <w:sz w:val="32"/>
          <w:szCs w:val="32"/>
          <w:lang w:val="en-US" w:eastAsia="zh-CN" w:bidi="ar-SA"/>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67"/>
        <w:gridCol w:w="5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67" w:type="dxa"/>
            <w:vAlign w:val="bottom"/>
          </w:tcPr>
          <w:p>
            <w:pPr>
              <w:keepNext w:val="0"/>
              <w:keepLines w:val="0"/>
              <w:widowControl/>
              <w:suppressLineNumbers w:val="0"/>
              <w:jc w:val="both"/>
              <w:textAlignment w:val="bottom"/>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附表</w:t>
            </w:r>
          </w:p>
        </w:tc>
        <w:tc>
          <w:tcPr>
            <w:tcW w:w="5069" w:type="dxa"/>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336" w:type="dxa"/>
            <w:gridSpan w:val="2"/>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0"/>
                <w:szCs w:val="40"/>
                <w:u w:val="none"/>
              </w:rPr>
            </w:pPr>
            <w:r>
              <w:rPr>
                <w:rFonts w:hint="eastAsia" w:ascii="方正小标宋简体" w:hAnsi="方正小标宋简体" w:eastAsia="方正小标宋简体" w:cs="方正小标宋简体"/>
                <w:b/>
                <w:i w:val="0"/>
                <w:color w:val="000000"/>
                <w:kern w:val="0"/>
                <w:sz w:val="40"/>
                <w:szCs w:val="40"/>
                <w:u w:val="none"/>
                <w:lang w:val="en-US" w:eastAsia="zh-CN" w:bidi="ar"/>
              </w:rPr>
              <w:t>浙江省城市公共汽车客运定价成本监审表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336" w:type="dxa"/>
            <w:gridSpan w:val="2"/>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6"/>
                <w:szCs w:val="36"/>
                <w:u w:val="none"/>
              </w:rPr>
            </w:pPr>
            <w:r>
              <w:rPr>
                <w:rFonts w:hint="eastAsia" w:ascii="仿宋_GB2312" w:hAnsi="宋体" w:eastAsia="仿宋_GB2312" w:cs="仿宋_GB2312"/>
                <w:i w:val="0"/>
                <w:color w:val="000000"/>
                <w:kern w:val="0"/>
                <w:sz w:val="36"/>
                <w:szCs w:val="36"/>
                <w:u w:val="none"/>
                <w:lang w:val="en-US" w:eastAsia="zh-CN" w:bidi="ar"/>
              </w:rPr>
              <w:t>（样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企业名称  （公章）：</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法人代表 </w:t>
            </w:r>
            <w:r>
              <w:rPr>
                <w:rFonts w:hint="default" w:ascii="黑体" w:hAnsi="宋体" w:eastAsia="黑体" w:cs="黑体"/>
                <w:i w:val="0"/>
                <w:color w:val="000000"/>
                <w:kern w:val="0"/>
                <w:sz w:val="32"/>
                <w:szCs w:val="32"/>
                <w:u w:val="none"/>
                <w:lang w:val="en-US" w:eastAsia="zh-CN" w:bidi="ar"/>
              </w:rPr>
              <w:t xml:space="preserve"> </w:t>
            </w:r>
            <w:r>
              <w:rPr>
                <w:rStyle w:val="8"/>
                <w:lang w:val="en-US" w:eastAsia="zh-CN" w:bidi="ar"/>
              </w:rPr>
              <w:t>（签章）：</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left"/>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财务负责人（</w:t>
            </w:r>
            <w:r>
              <w:rPr>
                <w:rStyle w:val="8"/>
                <w:lang w:val="en-US" w:eastAsia="zh-CN" w:bidi="ar"/>
              </w:rPr>
              <w:t>签章）：</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填 表 人  （</w:t>
            </w:r>
            <w:r>
              <w:rPr>
                <w:rStyle w:val="8"/>
                <w:lang w:val="en-US" w:eastAsia="zh-CN" w:bidi="ar"/>
              </w:rPr>
              <w:t>签章）：</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left"/>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企业地址          ：</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电    话          ：</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传    真          ：</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邮    编          ：</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267" w:type="dxa"/>
            <w:vAlign w:val="bottom"/>
          </w:tcPr>
          <w:p>
            <w:pPr>
              <w:keepNext w:val="0"/>
              <w:keepLines w:val="0"/>
              <w:widowControl/>
              <w:suppressLineNumbers w:val="0"/>
              <w:jc w:val="both"/>
              <w:textAlignment w:val="bottom"/>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日    期         </w:t>
            </w:r>
            <w:r>
              <w:rPr>
                <w:rStyle w:val="8"/>
                <w:lang w:val="en-US" w:eastAsia="zh-CN" w:bidi="ar"/>
              </w:rPr>
              <w:t xml:space="preserve"> ：</w:t>
            </w:r>
          </w:p>
        </w:tc>
        <w:tc>
          <w:tcPr>
            <w:tcW w:w="5069" w:type="dxa"/>
            <w:tcBorders>
              <w:bottom w:val="single" w:color="000000" w:sz="12" w:space="0"/>
            </w:tcBorders>
            <w:vAlign w:val="bottom"/>
          </w:tcPr>
          <w:p>
            <w:pPr>
              <w:jc w:val="left"/>
              <w:rPr>
                <w:rFonts w:hint="eastAsia" w:ascii="黑体" w:hAnsi="宋体" w:eastAsia="黑体" w:cs="黑体"/>
                <w:i w:val="0"/>
                <w:color w:val="000000"/>
                <w:sz w:val="32"/>
                <w:szCs w:val="32"/>
                <w:u w:val="none"/>
              </w:rPr>
            </w:pPr>
          </w:p>
        </w:tc>
      </w:tr>
    </w:tbl>
    <w:p>
      <w:pPr>
        <w:jc w:val="left"/>
        <w:rPr>
          <w:rFonts w:hint="eastAsia" w:ascii="Calibri" w:hAnsi="Calibri" w:eastAsia="仿宋_GB2312" w:cs="Times New Roman"/>
          <w:kern w:val="2"/>
          <w:sz w:val="32"/>
          <w:szCs w:val="32"/>
          <w:lang w:val="en-US" w:eastAsia="zh-CN" w:bidi="ar-SA"/>
        </w:rPr>
      </w:pPr>
    </w:p>
    <w:p>
      <w:pPr>
        <w:jc w:val="left"/>
        <w:rPr>
          <w:rFonts w:hint="eastAsia" w:ascii="Calibri" w:hAnsi="Calibri" w:eastAsia="仿宋_GB2312" w:cs="Times New Roman"/>
          <w:kern w:val="2"/>
          <w:sz w:val="32"/>
          <w:szCs w:val="32"/>
          <w:lang w:val="en-US" w:eastAsia="zh-CN" w:bidi="ar-SA"/>
        </w:rPr>
      </w:pPr>
    </w:p>
    <w:p>
      <w:pPr>
        <w:jc w:val="left"/>
        <w:rPr>
          <w:rFonts w:hint="eastAsia" w:ascii="Calibri" w:hAnsi="Calibri" w:eastAsia="仿宋_GB2312" w:cs="Times New Roman"/>
          <w:kern w:val="2"/>
          <w:sz w:val="32"/>
          <w:szCs w:val="32"/>
          <w:lang w:val="en-US" w:eastAsia="zh-CN" w:bidi="ar-SA"/>
        </w:rPr>
      </w:pPr>
    </w:p>
    <w:tbl>
      <w:tblPr>
        <w:tblStyle w:val="7"/>
        <w:tblW w:w="8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81"/>
        <w:gridCol w:w="696"/>
        <w:gridCol w:w="738"/>
        <w:gridCol w:w="717"/>
        <w:gridCol w:w="520"/>
        <w:gridCol w:w="830"/>
        <w:gridCol w:w="109"/>
        <w:gridCol w:w="1241"/>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81"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表1-1</w:t>
            </w:r>
          </w:p>
        </w:tc>
        <w:tc>
          <w:tcPr>
            <w:tcW w:w="1434" w:type="dxa"/>
            <w:gridSpan w:val="2"/>
            <w:vAlign w:val="bottom"/>
          </w:tcPr>
          <w:p>
            <w:pPr>
              <w:rPr>
                <w:rFonts w:hint="eastAsia" w:ascii="宋体" w:hAnsi="宋体" w:eastAsia="宋体" w:cs="宋体"/>
                <w:i w:val="0"/>
                <w:color w:val="000000"/>
                <w:sz w:val="24"/>
                <w:szCs w:val="24"/>
                <w:u w:val="none"/>
              </w:rPr>
            </w:pPr>
          </w:p>
        </w:tc>
        <w:tc>
          <w:tcPr>
            <w:tcW w:w="1237" w:type="dxa"/>
            <w:gridSpan w:val="2"/>
            <w:vAlign w:val="bottom"/>
          </w:tcPr>
          <w:p>
            <w:pPr>
              <w:rPr>
                <w:rFonts w:hint="eastAsia" w:ascii="宋体" w:hAnsi="宋体" w:eastAsia="宋体" w:cs="宋体"/>
                <w:i w:val="0"/>
                <w:color w:val="000000"/>
                <w:sz w:val="24"/>
                <w:szCs w:val="24"/>
                <w:u w:val="none"/>
              </w:rPr>
            </w:pPr>
          </w:p>
        </w:tc>
        <w:tc>
          <w:tcPr>
            <w:tcW w:w="939" w:type="dxa"/>
            <w:gridSpan w:val="2"/>
            <w:vAlign w:val="bottom"/>
          </w:tcPr>
          <w:p>
            <w:pPr>
              <w:rPr>
                <w:rFonts w:hint="eastAsia" w:ascii="宋体" w:hAnsi="宋体" w:eastAsia="宋体" w:cs="宋体"/>
                <w:i w:val="0"/>
                <w:color w:val="000000"/>
                <w:sz w:val="24"/>
                <w:szCs w:val="24"/>
                <w:u w:val="none"/>
              </w:rPr>
            </w:pPr>
          </w:p>
        </w:tc>
        <w:tc>
          <w:tcPr>
            <w:tcW w:w="2582" w:type="dxa"/>
            <w:gridSpan w:val="2"/>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773" w:type="dxa"/>
            <w:gridSpan w:val="9"/>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企业基本情况调查表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行次及关系</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注册资本（元）</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其中：国家资本（元）</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一、企业运营状况</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（一）运营车辆数（辆）</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9"/>
                <w:lang w:val="en-US" w:eastAsia="zh-CN" w:bidi="ar"/>
              </w:rPr>
              <w:t xml:space="preserve">    </w:t>
            </w:r>
            <w:r>
              <w:rPr>
                <w:rStyle w:val="10"/>
                <w:lang w:val="en-US" w:eastAsia="zh-CN" w:bidi="ar"/>
              </w:rPr>
              <w:t>其中：无人售票车辆数（辆）</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（二）客运量（人次）</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6＝7+17</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1、公共汽车客运量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7＝8+16</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(1）收费客运量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8＝9+10+11+15</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1）普票量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2）月季票量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3）IC卡量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11＝12+13+14</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其中：普通IC卡量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老年卡量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学生卡量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4）其他</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（2）免费客运量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2、包车客运量</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（三）运营里程（公里）</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18＝19+20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1、公共汽车运营里程</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2、包车运营里程</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（四）运营线路条数（条）</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（五）运营线路总长度（公里）</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（六）运营线路平均长度（公里/条）</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23＝22÷21</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（七）行车责任事故次数（次）</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2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9"/>
                <w:lang w:val="en-US" w:eastAsia="zh-CN" w:bidi="ar"/>
              </w:rPr>
              <w:t xml:space="preserve">   </w:t>
            </w:r>
            <w:r>
              <w:rPr>
                <w:rStyle w:val="10"/>
                <w:lang w:val="en-US" w:eastAsia="zh-CN" w:bidi="ar"/>
              </w:rPr>
              <w:t>其中：行车事故死亡人数(人)</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bl>
    <w:p>
      <w:pPr>
        <w:jc w:val="left"/>
        <w:rPr>
          <w:rFonts w:hint="eastAsia" w:ascii="Calibri" w:hAnsi="Calibri" w:eastAsia="仿宋_GB2312" w:cs="Times New Roman"/>
          <w:kern w:val="2"/>
          <w:sz w:val="32"/>
          <w:szCs w:val="32"/>
          <w:lang w:val="en-US" w:eastAsia="zh-CN" w:bidi="ar-SA"/>
        </w:rPr>
      </w:pPr>
    </w:p>
    <w:p>
      <w:pPr>
        <w:jc w:val="left"/>
        <w:rPr>
          <w:rFonts w:hint="eastAsia" w:ascii="Calibri" w:hAnsi="Calibri" w:eastAsia="仿宋_GB2312" w:cs="Times New Roman"/>
          <w:kern w:val="2"/>
          <w:sz w:val="32"/>
          <w:szCs w:val="32"/>
          <w:lang w:val="en-US" w:eastAsia="zh-CN" w:bidi="ar-SA"/>
        </w:rPr>
      </w:pPr>
    </w:p>
    <w:tbl>
      <w:tblPr>
        <w:tblStyle w:val="7"/>
        <w:tblW w:w="8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62"/>
        <w:gridCol w:w="180"/>
        <w:gridCol w:w="1090"/>
        <w:gridCol w:w="320"/>
        <w:gridCol w:w="235"/>
        <w:gridCol w:w="948"/>
        <w:gridCol w:w="137"/>
        <w:gridCol w:w="145"/>
        <w:gridCol w:w="685"/>
        <w:gridCol w:w="445"/>
        <w:gridCol w:w="10"/>
        <w:gridCol w:w="348"/>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4532" w:type="dxa"/>
            <w:gridSpan w:val="3"/>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表1-2</w:t>
            </w:r>
          </w:p>
        </w:tc>
        <w:tc>
          <w:tcPr>
            <w:tcW w:w="1503" w:type="dxa"/>
            <w:gridSpan w:val="3"/>
            <w:vAlign w:val="bottom"/>
          </w:tcPr>
          <w:p>
            <w:pPr>
              <w:rPr>
                <w:rFonts w:hint="eastAsia" w:ascii="宋体" w:hAnsi="宋体" w:eastAsia="宋体" w:cs="宋体"/>
                <w:i w:val="0"/>
                <w:color w:val="000000"/>
                <w:sz w:val="24"/>
                <w:szCs w:val="24"/>
                <w:u w:val="none"/>
              </w:rPr>
            </w:pPr>
          </w:p>
        </w:tc>
        <w:tc>
          <w:tcPr>
            <w:tcW w:w="967" w:type="dxa"/>
            <w:gridSpan w:val="3"/>
            <w:vAlign w:val="bottom"/>
          </w:tcPr>
          <w:p>
            <w:pPr>
              <w:rPr>
                <w:rFonts w:hint="eastAsia" w:ascii="宋体" w:hAnsi="宋体" w:eastAsia="宋体" w:cs="宋体"/>
                <w:i w:val="0"/>
                <w:color w:val="000000"/>
                <w:sz w:val="24"/>
                <w:szCs w:val="24"/>
                <w:u w:val="none"/>
              </w:rPr>
            </w:pPr>
          </w:p>
        </w:tc>
        <w:tc>
          <w:tcPr>
            <w:tcW w:w="803" w:type="dxa"/>
            <w:gridSpan w:val="3"/>
            <w:vAlign w:val="bottom"/>
          </w:tcPr>
          <w:p>
            <w:pPr>
              <w:rPr>
                <w:rFonts w:hint="eastAsia" w:ascii="宋体" w:hAnsi="宋体" w:eastAsia="宋体" w:cs="宋体"/>
                <w:i w:val="0"/>
                <w:color w:val="000000"/>
                <w:sz w:val="24"/>
                <w:szCs w:val="24"/>
                <w:u w:val="none"/>
              </w:rPr>
            </w:pPr>
          </w:p>
        </w:tc>
        <w:tc>
          <w:tcPr>
            <w:tcW w:w="803" w:type="dxa"/>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608" w:type="dxa"/>
            <w:gridSpan w:val="13"/>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企业基本情况调查表（续）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行次及关系</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二、财务情况</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（一）资产（元）</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27＝28+29</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1、流动资产</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2、非流动资产</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（1）长期投资</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（2）固定资产净值</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900" w:firstLineChars="45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固定资产原值</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900" w:firstLineChars="45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累计折旧</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（3）工程物资</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（4）在建工程</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（5）无形资产</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（6）其它资产</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（二）负债（元）</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38＝39+40</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Style w:val="11"/>
                <w:lang w:val="en-US" w:eastAsia="zh-CN" w:bidi="ar"/>
              </w:rPr>
              <w:t>、流动负债</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w:t>
            </w:r>
            <w:r>
              <w:rPr>
                <w:rStyle w:val="11"/>
                <w:lang w:val="en-US" w:eastAsia="zh-CN" w:bidi="ar"/>
              </w:rPr>
              <w:t>、非流动负债</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（三）所有者权益（元）</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41＝42+43+……+47</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1、实收资本</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2、资本公积</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3、其他综合收益</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4、专项储备</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5、盈余公积</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6、未分配利润</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（四）主营业务损益（元）</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1、主营业务收入</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2、主营业务成本</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3、期间费用</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4、主营业务税金及附加</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5、主营业务净利润</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53=49-50-51-52</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6、主营业务净资产利润率（%）</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54=53÷41×100</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（五）其他业务利润(元)  </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55=56-57-58</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1、其他业务收入</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2、其他业务成本</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2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3、其他业务税金及附加</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4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62" w:type="dxa"/>
            <w:vAlign w:val="bottom"/>
          </w:tc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c>
          <w:tcPr>
            <w:tcW w:w="1825" w:type="dxa"/>
            <w:gridSpan w:val="4"/>
            <w:vAlign w:val="bottom"/>
          </w:tcPr>
          <w:p>
            <w:pPr>
              <w:rPr>
                <w:rFonts w:hint="eastAsia" w:ascii="宋体" w:hAnsi="宋体" w:eastAsia="宋体" w:cs="宋体"/>
                <w:i w:val="0"/>
                <w:color w:val="000000"/>
                <w:sz w:val="24"/>
                <w:szCs w:val="24"/>
                <w:u w:val="none"/>
              </w:rPr>
            </w:pPr>
          </w:p>
        </w:tc>
        <w:tc>
          <w:tcPr>
            <w:tcW w:w="1230" w:type="dxa"/>
            <w:gridSpan w:val="3"/>
            <w:vAlign w:val="bottom"/>
          </w:tcPr>
          <w:p>
            <w:pPr>
              <w:rPr>
                <w:rFonts w:hint="eastAsia" w:ascii="宋体" w:hAnsi="宋体" w:eastAsia="宋体" w:cs="宋体"/>
                <w:i w:val="0"/>
                <w:color w:val="000000"/>
                <w:sz w:val="24"/>
                <w:szCs w:val="24"/>
                <w:u w:val="none"/>
              </w:rPr>
            </w:pPr>
          </w:p>
        </w:tc>
        <w:tc>
          <w:tcPr>
            <w:tcW w:w="1140" w:type="dxa"/>
            <w:gridSpan w:val="3"/>
            <w:vAlign w:val="bottom"/>
          </w:tcPr>
          <w:p>
            <w:pPr>
              <w:rPr>
                <w:rFonts w:hint="eastAsia" w:ascii="宋体" w:hAnsi="宋体" w:eastAsia="宋体" w:cs="宋体"/>
                <w:i w:val="0"/>
                <w:color w:val="000000"/>
                <w:sz w:val="24"/>
                <w:szCs w:val="24"/>
                <w:u w:val="none"/>
              </w:rPr>
            </w:pPr>
          </w:p>
        </w:tc>
        <w:tc>
          <w:tcPr>
            <w:tcW w:w="1151" w:type="dxa"/>
            <w:gridSpan w:val="2"/>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262" w:type="dxa"/>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c>
          <w:tcPr>
            <w:tcW w:w="1825" w:type="dxa"/>
            <w:gridSpan w:val="4"/>
            <w:vAlign w:val="bottom"/>
          </w:tcPr>
          <w:p>
            <w:pPr>
              <w:rPr>
                <w:rFonts w:hint="eastAsia" w:ascii="宋体" w:hAnsi="宋体" w:eastAsia="宋体" w:cs="宋体"/>
                <w:i w:val="0"/>
                <w:color w:val="000000"/>
                <w:sz w:val="24"/>
                <w:szCs w:val="24"/>
                <w:u w:val="none"/>
              </w:rPr>
            </w:pPr>
          </w:p>
        </w:tc>
        <w:tc>
          <w:tcPr>
            <w:tcW w:w="1230" w:type="dxa"/>
            <w:gridSpan w:val="3"/>
            <w:vAlign w:val="bottom"/>
          </w:tcPr>
          <w:p>
            <w:pPr>
              <w:rPr>
                <w:rFonts w:hint="eastAsia" w:ascii="宋体" w:hAnsi="宋体" w:eastAsia="宋体" w:cs="宋体"/>
                <w:i w:val="0"/>
                <w:color w:val="000000"/>
                <w:sz w:val="24"/>
                <w:szCs w:val="24"/>
                <w:u w:val="none"/>
              </w:rPr>
            </w:pPr>
          </w:p>
        </w:tc>
        <w:tc>
          <w:tcPr>
            <w:tcW w:w="1140" w:type="dxa"/>
            <w:gridSpan w:val="3"/>
            <w:vAlign w:val="bottom"/>
          </w:tcPr>
          <w:p>
            <w:pPr>
              <w:rPr>
                <w:rFonts w:hint="eastAsia" w:ascii="宋体" w:hAnsi="宋体" w:eastAsia="宋体" w:cs="宋体"/>
                <w:i w:val="0"/>
                <w:color w:val="000000"/>
                <w:sz w:val="24"/>
                <w:szCs w:val="24"/>
                <w:u w:val="none"/>
              </w:rPr>
            </w:pPr>
          </w:p>
        </w:tc>
        <w:tc>
          <w:tcPr>
            <w:tcW w:w="1151" w:type="dxa"/>
            <w:gridSpan w:val="2"/>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608" w:type="dxa"/>
            <w:gridSpan w:val="13"/>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32"/>
                <w:szCs w:val="32"/>
                <w:u w:val="none"/>
                <w:lang w:val="en-US" w:eastAsia="zh-CN" w:bidi="ar"/>
              </w:rPr>
              <w:t>企业收入情况调查表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0"/>
                <w:szCs w:val="20"/>
                <w:u w:val="none"/>
                <w:lang w:val="en-US" w:eastAsia="zh-CN" w:bidi="ar"/>
              </w:rPr>
              <w:t>项        目</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行次及关系</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    )年</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    )年</w:t>
            </w:r>
          </w:p>
        </w:tc>
        <w:tc>
          <w:tcPr>
            <w:tcW w:w="11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总运营车辆数（辆）</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公共汽车行驶里程（公里）</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公共汽车客运量（人次）</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3</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一、业务收入（元）</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4＝5+15+16+17</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（一）主营业务收入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5＝6+13+14</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1、客运总收入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6＝7+8</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500" w:firstLineChars="25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（1）普票收入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7</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（2）月季票收入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8</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（3）IC卡收入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9＝10+11+12</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1）普通IC卡收入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10</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2）老年卡收入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11</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3）学生卡收入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12</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2、包车收入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13</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3、其他收入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14</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（二）汽车广告及站名收入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15</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（三）其他业务收入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16</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（四）营业外收入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17</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二、补贴收入（元）</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18＝19+20</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（一）财政补贴</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19</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（二）其他补贴</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20</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三、单位车辆主营业务收入（元/车辆）</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21=5÷1</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四、百公里客运收入（元/百公里）</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22=6÷2×100</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34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五、单位人次客运收入（元/人次）</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23=6÷3</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right"/>
            </w:pPr>
          </w:p>
        </w:tc>
        <w:tc>
          <w:tcPr>
            <w:tcW w:w="1161" w:type="dxa"/>
            <w:gridSpan w:val="3"/>
            <w:tcBorders>
              <w:top w:val="single" w:color="auto" w:sz="4" w:space="0"/>
              <w:left w:val="single" w:color="auto" w:sz="4" w:space="0"/>
              <w:bottom w:val="single" w:color="auto" w:sz="4" w:space="0"/>
              <w:right w:val="single" w:color="auto" w:sz="4" w:space="0"/>
            </w:tcBorders>
            <w:vAlign w:val="center"/>
          </w:tcPr>
          <w:p>
            <w:pPr>
              <w:jc w:val="right"/>
            </w:pPr>
          </w:p>
        </w:tc>
      </w:tr>
    </w:tbl>
    <w:p>
      <w:pPr>
        <w:jc w:val="left"/>
        <w:rPr>
          <w:rFonts w:hint="eastAsia" w:ascii="Calibri" w:hAnsi="Calibri" w:eastAsia="仿宋_GB2312" w:cs="Times New Roman"/>
          <w:kern w:val="2"/>
          <w:sz w:val="32"/>
          <w:szCs w:val="32"/>
          <w:lang w:val="en-US" w:eastAsia="zh-CN" w:bidi="ar-SA"/>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99"/>
        <w:gridCol w:w="1913"/>
        <w:gridCol w:w="544"/>
        <w:gridCol w:w="958"/>
        <w:gridCol w:w="723"/>
        <w:gridCol w:w="280"/>
        <w:gridCol w:w="930"/>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9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表3-1</w:t>
            </w:r>
          </w:p>
        </w:tc>
        <w:tc>
          <w:tcPr>
            <w:tcW w:w="2457" w:type="dxa"/>
            <w:gridSpan w:val="2"/>
            <w:vAlign w:val="bottom"/>
          </w:tcPr>
          <w:p>
            <w:pPr>
              <w:rPr>
                <w:rFonts w:hint="eastAsia" w:ascii="宋体" w:hAnsi="宋体" w:eastAsia="宋体" w:cs="宋体"/>
                <w:i w:val="0"/>
                <w:color w:val="000000"/>
                <w:sz w:val="24"/>
                <w:szCs w:val="24"/>
                <w:u w:val="none"/>
              </w:rPr>
            </w:pPr>
          </w:p>
        </w:tc>
        <w:tc>
          <w:tcPr>
            <w:tcW w:w="958" w:type="dxa"/>
            <w:vAlign w:val="bottom"/>
          </w:tcPr>
          <w:p>
            <w:pPr>
              <w:rPr>
                <w:rFonts w:hint="eastAsia" w:ascii="宋体" w:hAnsi="宋体" w:eastAsia="宋体" w:cs="宋体"/>
                <w:i w:val="0"/>
                <w:color w:val="000000"/>
                <w:sz w:val="24"/>
                <w:szCs w:val="24"/>
                <w:u w:val="none"/>
              </w:rPr>
            </w:pPr>
          </w:p>
        </w:tc>
        <w:tc>
          <w:tcPr>
            <w:tcW w:w="723" w:type="dxa"/>
            <w:vAlign w:val="bottom"/>
          </w:tcPr>
          <w:p>
            <w:pPr>
              <w:rPr>
                <w:rFonts w:hint="eastAsia" w:ascii="宋体" w:hAnsi="宋体" w:eastAsia="宋体" w:cs="宋体"/>
                <w:i w:val="0"/>
                <w:color w:val="000000"/>
                <w:sz w:val="24"/>
                <w:szCs w:val="24"/>
                <w:u w:val="none"/>
              </w:rPr>
            </w:pPr>
          </w:p>
        </w:tc>
        <w:tc>
          <w:tcPr>
            <w:tcW w:w="2099" w:type="dxa"/>
            <w:gridSpan w:val="3"/>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36" w:type="dxa"/>
            <w:gridSpan w:val="8"/>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城市公共汽车客运成本调查表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行次及关系</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一、直接客运成本（元）</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1=2+10+20+23+29+33+34+35+36</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（一）职工薪酬</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2＝3+4+……+9</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1、工资、奖金、津贴和补贴</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2、职工福利费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2"/>
                <w:lang w:val="en-US" w:eastAsia="zh-CN" w:bidi="ar"/>
              </w:rPr>
              <w:t xml:space="preserve">   3、社会保险费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2"/>
                <w:lang w:val="en-US" w:eastAsia="zh-CN" w:bidi="ar"/>
              </w:rPr>
              <w:t xml:space="preserve">   4、住房公积金</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2"/>
                <w:lang w:val="en-US" w:eastAsia="zh-CN" w:bidi="ar"/>
              </w:rPr>
              <w:t xml:space="preserve">   5、工会经费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2"/>
                <w:lang w:val="en-US" w:eastAsia="zh-CN" w:bidi="ar"/>
              </w:rPr>
              <w:t xml:space="preserve">   6、职工教育经费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7、其他费用</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（二）能耗费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10＝10+14+17</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1、汽油费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其中：汽油总用量(升)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lang w:val="en-US" w:eastAsia="zh-CN" w:bidi="ar"/>
              </w:rPr>
              <w:t xml:space="preserve">   </w:t>
            </w:r>
            <w:r>
              <w:rPr>
                <w:rStyle w:val="12"/>
                <w:lang w:val="en-US" w:eastAsia="zh-CN" w:bidi="ar"/>
              </w:rPr>
              <w:t>汽油平均价格(元/升)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13＝11÷12</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2、柴油费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其中：柴油总用量(升)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lang w:val="en-US" w:eastAsia="zh-CN" w:bidi="ar"/>
              </w:rPr>
              <w:t xml:space="preserve">   </w:t>
            </w:r>
            <w:r>
              <w:rPr>
                <w:rStyle w:val="12"/>
                <w:lang w:val="en-US" w:eastAsia="zh-CN" w:bidi="ar"/>
              </w:rPr>
              <w:t>柴油平均价格(元/升)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16＝14÷15</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3、天然气费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其中：天然气总用量(立方米)</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lang w:val="en-US" w:eastAsia="zh-CN" w:bidi="ar"/>
              </w:rPr>
              <w:t xml:space="preserve">    </w:t>
            </w:r>
            <w:r>
              <w:rPr>
                <w:rStyle w:val="12"/>
                <w:lang w:val="en-US" w:eastAsia="zh-CN" w:bidi="ar"/>
              </w:rPr>
              <w:t>天然气平均价格(元/立方米)</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19＝17÷18</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（三）轮胎费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其中：轮胎数量（只）</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3"/>
                <w:lang w:val="en-US" w:eastAsia="zh-CN" w:bidi="ar"/>
              </w:rPr>
              <w:t xml:space="preserve">    </w:t>
            </w:r>
            <w:r>
              <w:rPr>
                <w:rStyle w:val="12"/>
                <w:lang w:val="en-US" w:eastAsia="zh-CN" w:bidi="ar"/>
              </w:rPr>
              <w:t>轮胎平均价格（元/只）</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22＝20÷21</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（四）折旧费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1、房屋建筑物  </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2、营运车辆</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3、专用设备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4、一般设备</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5、其他</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（五）修理费 </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29＝30+32</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1、车辆修理费 </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其中：运营车辆修理费 </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2、其他</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（六）车辆保险费  </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（七）事故损失费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（八）安全生产费</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exact"/>
        </w:trPr>
        <w:tc>
          <w:tcPr>
            <w:tcW w:w="4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（九）其他直接客运费用</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bl>
    <w:p/>
    <w:p/>
    <w:p/>
    <w:p/>
    <w:p/>
    <w:p/>
    <w:p/>
    <w:p/>
    <w:p/>
    <w:p/>
    <w:p/>
    <w:p/>
    <w:tbl>
      <w:tblPr>
        <w:tblStyle w:val="7"/>
        <w:tblW w:w="8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34"/>
        <w:gridCol w:w="873"/>
        <w:gridCol w:w="1785"/>
        <w:gridCol w:w="274"/>
        <w:gridCol w:w="1001"/>
        <w:gridCol w:w="53"/>
        <w:gridCol w:w="801"/>
        <w:gridCol w:w="271"/>
        <w:gridCol w:w="1065"/>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286" w:hRule="atLeast"/>
        </w:trPr>
        <w:tc>
          <w:tcPr>
            <w:tcW w:w="223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表3-2</w:t>
            </w:r>
          </w:p>
        </w:tc>
        <w:tc>
          <w:tcPr>
            <w:tcW w:w="2932" w:type="dxa"/>
            <w:gridSpan w:val="3"/>
            <w:vAlign w:val="bottom"/>
          </w:tcPr>
          <w:p>
            <w:pPr>
              <w:rPr>
                <w:rFonts w:hint="eastAsia" w:ascii="宋体" w:hAnsi="宋体" w:eastAsia="宋体" w:cs="宋体"/>
                <w:i w:val="0"/>
                <w:color w:val="000000"/>
                <w:sz w:val="24"/>
                <w:szCs w:val="24"/>
                <w:u w:val="none"/>
              </w:rPr>
            </w:pPr>
          </w:p>
        </w:tc>
        <w:tc>
          <w:tcPr>
            <w:tcW w:w="1054" w:type="dxa"/>
            <w:gridSpan w:val="2"/>
            <w:vAlign w:val="bottom"/>
          </w:tcPr>
          <w:p>
            <w:pPr>
              <w:rPr>
                <w:rFonts w:hint="eastAsia" w:ascii="宋体" w:hAnsi="宋体" w:eastAsia="宋体" w:cs="宋体"/>
                <w:i w:val="0"/>
                <w:color w:val="000000"/>
                <w:sz w:val="24"/>
                <w:szCs w:val="24"/>
                <w:u w:val="none"/>
              </w:rPr>
            </w:pPr>
          </w:p>
        </w:tc>
        <w:tc>
          <w:tcPr>
            <w:tcW w:w="801" w:type="dxa"/>
            <w:vAlign w:val="bottom"/>
          </w:tcPr>
          <w:p>
            <w:pPr>
              <w:rPr>
                <w:rFonts w:hint="eastAsia" w:ascii="宋体" w:hAnsi="宋体" w:eastAsia="宋体" w:cs="宋体"/>
                <w:i w:val="0"/>
                <w:color w:val="000000"/>
                <w:sz w:val="24"/>
                <w:szCs w:val="24"/>
                <w:u w:val="none"/>
              </w:rPr>
            </w:pPr>
          </w:p>
        </w:tc>
        <w:tc>
          <w:tcPr>
            <w:tcW w:w="1336" w:type="dxa"/>
            <w:gridSpan w:val="2"/>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540" w:hRule="atLeast"/>
        </w:trPr>
        <w:tc>
          <w:tcPr>
            <w:tcW w:w="8357" w:type="dxa"/>
            <w:gridSpan w:val="9"/>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城市公共汽车客运成本调查表（续）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行次及关系</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二、期间费用（元）</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37＝38+63</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（一）管理费用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38=39+47+48+……+53+59+60+61+62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1、职工薪酬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39=40+41+…+46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(1）工资、奖金、津补贴</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(2）职工福利费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(3）社会保险费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(4）住房公积金</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(5）工会经费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(6）职工教育经费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(7）其他费用</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2、办公费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3、水电费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4、邮电费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5、差旅费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6、会议费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7、业务招待费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8、折旧费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53=54+55+56+57+58</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(1）房屋建筑物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(2）非营运车辆</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(3）专用设备</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(4)一般设备</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(5)其他</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9、修理费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10、租赁费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11、税费</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12、其他管理费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35" w:type="dxa"/>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（二）财务费用（元）</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63＝64-65+66+67</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1、利息支出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2、利息收入 </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3、汇兑损益</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3、其他</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三、税金及附加（元）</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68=69+70+71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1、城市维护建设税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2、教育费附加</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exact"/>
        </w:trPr>
        <w:tc>
          <w:tcPr>
            <w:tcW w:w="31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3、地方教育费附加</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FF"/>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bl>
    <w:p>
      <w:pPr>
        <w:jc w:val="left"/>
        <w:rPr>
          <w:rFonts w:hint="eastAsia"/>
          <w:lang w:val="en-US" w:eastAsia="zh-CN"/>
        </w:rPr>
      </w:pPr>
    </w:p>
    <w:tbl>
      <w:tblPr>
        <w:tblStyle w:val="7"/>
        <w:tblW w:w="8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34"/>
        <w:gridCol w:w="1053"/>
        <w:gridCol w:w="1545"/>
        <w:gridCol w:w="334"/>
        <w:gridCol w:w="971"/>
        <w:gridCol w:w="83"/>
        <w:gridCol w:w="1162"/>
        <w:gridCol w:w="64"/>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34" w:type="dxa"/>
            <w:vAlign w:val="center"/>
          </w:tcPr>
          <w:p/>
          <w:p/>
          <w:p/>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c>
          <w:tcPr>
            <w:tcW w:w="2932" w:type="dxa"/>
            <w:gridSpan w:val="3"/>
            <w:vAlign w:val="bottom"/>
          </w:tcPr>
          <w:p>
            <w:pPr>
              <w:rPr>
                <w:rFonts w:hint="eastAsia" w:ascii="宋体" w:hAnsi="宋体" w:eastAsia="宋体" w:cs="宋体"/>
                <w:i w:val="0"/>
                <w:color w:val="000000"/>
                <w:sz w:val="24"/>
                <w:szCs w:val="24"/>
                <w:u w:val="none"/>
              </w:rPr>
            </w:pPr>
          </w:p>
        </w:tc>
        <w:tc>
          <w:tcPr>
            <w:tcW w:w="1054" w:type="dxa"/>
            <w:gridSpan w:val="2"/>
            <w:vAlign w:val="bottom"/>
          </w:tcPr>
          <w:p>
            <w:pPr>
              <w:rPr>
                <w:rFonts w:hint="eastAsia" w:ascii="宋体" w:hAnsi="宋体" w:eastAsia="宋体" w:cs="宋体"/>
                <w:i w:val="0"/>
                <w:color w:val="000000"/>
                <w:sz w:val="24"/>
                <w:szCs w:val="24"/>
                <w:u w:val="none"/>
              </w:rPr>
            </w:pPr>
          </w:p>
        </w:tc>
        <w:tc>
          <w:tcPr>
            <w:tcW w:w="1226" w:type="dxa"/>
            <w:gridSpan w:val="2"/>
            <w:vAlign w:val="bottom"/>
          </w:tcPr>
          <w:p>
            <w:pPr>
              <w:rPr>
                <w:rFonts w:hint="eastAsia" w:ascii="宋体" w:hAnsi="宋体" w:eastAsia="宋体" w:cs="宋体"/>
                <w:i w:val="0"/>
                <w:color w:val="000000"/>
                <w:sz w:val="24"/>
                <w:szCs w:val="24"/>
                <w:u w:val="none"/>
              </w:rPr>
            </w:pPr>
          </w:p>
        </w:tc>
        <w:tc>
          <w:tcPr>
            <w:tcW w:w="1046" w:type="dxa"/>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92" w:type="dxa"/>
            <w:gridSpan w:val="9"/>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32"/>
                <w:szCs w:val="32"/>
                <w:u w:val="none"/>
                <w:lang w:val="en-US" w:eastAsia="zh-CN" w:bidi="ar"/>
              </w:rPr>
              <w:t>城市公共汽车客运定价成本核定表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0"/>
                <w:szCs w:val="20"/>
                <w:u w:val="none"/>
                <w:lang w:val="en-US" w:eastAsia="zh-CN" w:bidi="ar"/>
              </w:rPr>
              <w:t>项        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行次及关系</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    )年</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    )年</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0"/>
                <w:szCs w:val="20"/>
                <w:u w:val="none"/>
                <w:lang w:val="en-US" w:eastAsia="zh-CN" w:bidi="ar"/>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运营车辆数（辆）</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公共汽车运营里程（公里）</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公共汽车客运量（人次）</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3</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一、直接营运成本（元）</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4=5+6+……+12</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（一）职工薪酬</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5</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（二）能耗费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6</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（三）轮胎费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7</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（四）折旧费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8</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（五）修理费 </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9</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（六）车辆保险费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10</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（七）安全生产费</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11</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（八）其他直接客运费用</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12</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二、期间费用（元）</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13=14+15</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（一）管理费用 </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14</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（二）财务费用 </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15</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三、税金及附加（元）</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16</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四、应扣除的其他业务成本（元）</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17=18+19</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(一)包车成本</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18</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（二）其他应冲减成本</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19</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其中：广告收入</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20</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           财政补贴</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21</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五、总定价成本（元）</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22=4+13+16-17</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六、单位定价成本</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23</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（一）单位车辆客运成本（元/辆）</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24=22÷1</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（二）百公里客运成本（元/百公里）</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25=22÷2×100</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3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（三）单位人次客运成本（元/人次）</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26=22÷3</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jc w:val="right"/>
            </w:pPr>
          </w:p>
        </w:tc>
        <w:tc>
          <w:tcPr>
            <w:tcW w:w="1110" w:type="dxa"/>
            <w:gridSpan w:val="2"/>
            <w:tcBorders>
              <w:top w:val="single" w:color="auto" w:sz="4" w:space="0"/>
              <w:left w:val="single" w:color="auto" w:sz="4" w:space="0"/>
              <w:bottom w:val="single" w:color="auto" w:sz="4" w:space="0"/>
              <w:right w:val="single" w:color="auto" w:sz="4" w:space="0"/>
            </w:tcBorders>
            <w:vAlign w:val="bottom"/>
          </w:tcPr>
          <w:p/>
        </w:tc>
      </w:tr>
    </w:tbl>
    <w:p>
      <w:pPr>
        <w:spacing w:beforeLines="0" w:afterLines="0" w:line="520" w:lineRule="exact"/>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p>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ascii="宋体" w:hAnsi="宋体" w:eastAsia="宋体" w:cs="宋体"/>
        <w:sz w:val="28"/>
        <w:szCs w:val="28"/>
      </w:rPr>
    </w:pPr>
    <w:r>
      <w:rPr>
        <w:rFonts w:hint="eastAsia" w:ascii="宋体" w:hAnsi="宋体" w:eastAsia="宋体" w:cs="宋体"/>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1286"/>
    <w:rsid w:val="2793128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font01"/>
    <w:basedOn w:val="6"/>
    <w:uiPriority w:val="0"/>
    <w:rPr>
      <w:rFonts w:hint="eastAsia" w:ascii="黑体" w:hAnsi="宋体" w:eastAsia="黑体" w:cs="黑体"/>
      <w:color w:val="000000"/>
      <w:sz w:val="32"/>
      <w:szCs w:val="32"/>
      <w:u w:val="none"/>
    </w:rPr>
  </w:style>
  <w:style w:type="character" w:customStyle="1" w:styleId="9">
    <w:name w:val="font51"/>
    <w:basedOn w:val="6"/>
    <w:uiPriority w:val="0"/>
    <w:rPr>
      <w:rFonts w:hint="eastAsia" w:ascii="宋体" w:hAnsi="宋体" w:eastAsia="宋体" w:cs="宋体"/>
      <w:color w:val="000000"/>
      <w:sz w:val="24"/>
      <w:szCs w:val="24"/>
      <w:u w:val="none"/>
    </w:rPr>
  </w:style>
  <w:style w:type="character" w:customStyle="1" w:styleId="10">
    <w:name w:val="font11"/>
    <w:basedOn w:val="6"/>
    <w:uiPriority w:val="0"/>
    <w:rPr>
      <w:rFonts w:hint="eastAsia" w:ascii="宋体" w:hAnsi="宋体" w:eastAsia="宋体" w:cs="宋体"/>
      <w:color w:val="000000"/>
      <w:sz w:val="20"/>
      <w:szCs w:val="20"/>
      <w:u w:val="none"/>
    </w:rPr>
  </w:style>
  <w:style w:type="character" w:customStyle="1" w:styleId="11">
    <w:name w:val="font21"/>
    <w:basedOn w:val="6"/>
    <w:uiPriority w:val="0"/>
    <w:rPr>
      <w:rFonts w:hint="eastAsia" w:ascii="宋体" w:hAnsi="宋体" w:eastAsia="宋体" w:cs="宋体"/>
      <w:color w:val="000000"/>
      <w:sz w:val="20"/>
      <w:szCs w:val="20"/>
      <w:u w:val="none"/>
    </w:rPr>
  </w:style>
  <w:style w:type="character" w:customStyle="1" w:styleId="12">
    <w:name w:val="font41"/>
    <w:basedOn w:val="6"/>
    <w:uiPriority w:val="0"/>
    <w:rPr>
      <w:rFonts w:hint="eastAsia" w:ascii="宋体" w:hAnsi="宋体" w:eastAsia="宋体" w:cs="宋体"/>
      <w:color w:val="000000"/>
      <w:sz w:val="20"/>
      <w:szCs w:val="20"/>
      <w:u w:val="none"/>
    </w:rPr>
  </w:style>
  <w:style w:type="character" w:customStyle="1" w:styleId="13">
    <w:name w:val="font6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2018-08-02T03:05:00Z</dcterms:created>
  <dc:creator>潘潇奇</dc:creator>
  <cp:lastModifiedBy>潘潇奇</cp:lastModifiedBy>
  <dcterms:modified xsi:type="dcterms:W3CDTF">2018-08-02T03:05:28Z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