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pPr>
      <w:bookmarkStart w:id="0" w:name="_GoBack"/>
      <w:bookmarkEnd w:id="0"/>
    </w:p>
    <w:p>
      <w:pPr>
        <w:pStyle w:val="16"/>
        <w:ind w:firstLine="0" w:firstLineChars="0"/>
        <w:rPr>
          <w:rFonts w:ascii="黑体" w:hAnsi="黑体" w:eastAsia="黑体" w:cs="黑体"/>
        </w:rPr>
      </w:pPr>
      <w:r>
        <w:rPr>
          <w:rFonts w:hint="eastAsia" w:ascii="黑体" w:hAnsi="黑体" w:eastAsia="黑体" w:cs="黑体"/>
        </w:rPr>
        <w:t>附件：</w:t>
      </w:r>
    </w:p>
    <w:tbl>
      <w:tblPr>
        <w:tblStyle w:val="9"/>
        <w:tblW w:w="24410" w:type="dxa"/>
        <w:tblInd w:w="0" w:type="dxa"/>
        <w:tblLayout w:type="fixed"/>
        <w:tblCellMar>
          <w:top w:w="0" w:type="dxa"/>
          <w:left w:w="0" w:type="dxa"/>
          <w:bottom w:w="0" w:type="dxa"/>
          <w:right w:w="0" w:type="dxa"/>
        </w:tblCellMar>
      </w:tblPr>
      <w:tblGrid>
        <w:gridCol w:w="582"/>
        <w:gridCol w:w="4253"/>
        <w:gridCol w:w="48"/>
        <w:gridCol w:w="7181"/>
        <w:gridCol w:w="142"/>
        <w:gridCol w:w="2268"/>
        <w:gridCol w:w="1490"/>
        <w:gridCol w:w="1490"/>
        <w:gridCol w:w="332"/>
        <w:gridCol w:w="1158"/>
        <w:gridCol w:w="2154"/>
        <w:gridCol w:w="3312"/>
      </w:tblGrid>
      <w:tr>
        <w:tblPrEx>
          <w:tblCellMar>
            <w:top w:w="0" w:type="dxa"/>
            <w:left w:w="0" w:type="dxa"/>
            <w:bottom w:w="0" w:type="dxa"/>
            <w:right w:w="0" w:type="dxa"/>
          </w:tblCellMar>
        </w:tblPrEx>
        <w:trPr>
          <w:gridAfter w:val="6"/>
          <w:wAfter w:w="9936" w:type="dxa"/>
          <w:trHeight w:val="84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《浙江省数字贸易先行示范区建设方案》政策突破、制度创新清单及任务分工表</w:t>
            </w:r>
          </w:p>
        </w:tc>
      </w:tr>
      <w:tr>
        <w:tblPrEx>
          <w:tblCellMar>
            <w:top w:w="0" w:type="dxa"/>
            <w:left w:w="0" w:type="dxa"/>
            <w:bottom w:w="0" w:type="dxa"/>
            <w:right w:w="0" w:type="dxa"/>
          </w:tblCellMar>
        </w:tblPrEx>
        <w:trPr>
          <w:gridAfter w:val="6"/>
          <w:wAfter w:w="9936" w:type="dxa"/>
          <w:trHeight w:val="50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三、加快建设数字贸易新基建</w:t>
            </w:r>
          </w:p>
        </w:tc>
      </w:tr>
      <w:tr>
        <w:tblPrEx>
          <w:tblCellMar>
            <w:top w:w="0" w:type="dxa"/>
            <w:left w:w="0" w:type="dxa"/>
            <w:bottom w:w="0" w:type="dxa"/>
            <w:right w:w="0" w:type="dxa"/>
          </w:tblCellMar>
        </w:tblPrEx>
        <w:trPr>
          <w:gridAfter w:val="6"/>
          <w:wAfter w:w="9936" w:type="dxa"/>
          <w:trHeight w:val="5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序号</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具体政策内容</w:t>
            </w:r>
          </w:p>
        </w:tc>
        <w:tc>
          <w:tcPr>
            <w:tcW w:w="732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制度创新来源</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承接地区或机构</w:t>
            </w: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（一）加快新型互联网基础设施建设</w:t>
            </w:r>
          </w:p>
        </w:tc>
      </w:tr>
      <w:tr>
        <w:tblPrEx>
          <w:tblCellMar>
            <w:top w:w="0" w:type="dxa"/>
            <w:left w:w="0" w:type="dxa"/>
            <w:bottom w:w="0" w:type="dxa"/>
            <w:right w:w="0" w:type="dxa"/>
          </w:tblCellMar>
        </w:tblPrEx>
        <w:trPr>
          <w:gridAfter w:val="6"/>
          <w:wAfter w:w="9936" w:type="dxa"/>
          <w:trHeight w:val="7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落实《浙江省新型基础设施建设三年行动计划（2020—2022年）》。</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《浙江省新型基础设施建设三年行动计划（2020—2022年）》</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10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创新型推进5G基站建设“一件事”集成改革，</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《浙江省国家数字经济创新发展试验区建设工作方案》第4条：</w:t>
            </w:r>
            <w:r>
              <w:rPr>
                <w:rStyle w:val="19"/>
                <w:rFonts w:hint="default" w:hAnsi="宋体"/>
              </w:rPr>
              <w:t>高水平建设5G和固网“双千兆”宽带网络，创新性推进5G基站建设“一件事”集成改革，实现5G网络连片优质覆盖。</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5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将5G基站部署和商用纳入城乡规划体系，由中心城区、交通枢纽、生产基地等重点区域延伸，实现5G网络全覆盖。</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《浙江省新型基础设施建设三年行动计划(2020—2022年)》第1条：</w:t>
            </w:r>
            <w:r>
              <w:rPr>
                <w:rStyle w:val="19"/>
                <w:rFonts w:hint="default" w:hAnsi="宋体"/>
              </w:rPr>
              <w:t>高质量建设5G网络。鼓励5G基站共建共享，优先开展中心城区、交通枢纽、生产基地等重点区域网络建设，重点打造杭州亚运会、乌镇世界互联网大会等5G应用工程，加快推进5G网络从主要城市向重点乡镇延伸，实现连片优质覆盖。</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支持下一代互联网（IPv6）、卫星互联网在经济社会各领域深度融合应用。</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《中国（浙江）自由贸易试验区扩展区域方案》第8条：</w:t>
            </w:r>
            <w:r>
              <w:rPr>
                <w:rStyle w:val="19"/>
                <w:rFonts w:hint="default" w:hAnsi="宋体"/>
              </w:rPr>
              <w:t>加大以自主深度算法、超强低耗算力和高速广域网络为代表的新一代数字基础设施建设，支持布局IPv6、卫星互联网、6G试验床等网络基础设施，全面拓展数字产业化、产业数字化、数字生活新服务，把国家数字服务出口基地打造为数字贸易先行示范区。</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重点加强物联网设施建设，统筹4G、5G和窄带物联网（NB-IoT）协同发展。</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《浙江省新型基础设施建设三年行动计划(2020—2022年)》第1条：</w:t>
            </w:r>
            <w:r>
              <w:rPr>
                <w:rStyle w:val="19"/>
                <w:rFonts w:hint="default" w:hAnsi="宋体"/>
              </w:rPr>
              <w:t>统筹5G、4G和窄带物联网(NB-IoT)协同发展，加快推进物联网基础设施建设。</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深化融合型基础设施部署，加强物联网、智能传感网等各类终端部署，推进城乡基础设施、生产制造等领域实现感知系统建设。</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《浙江省国家数字经济创新发展试验区建设工作方案》第4条</w:t>
            </w:r>
            <w:r>
              <w:rPr>
                <w:rStyle w:val="19"/>
                <w:rFonts w:hint="default" w:hAnsi="宋体"/>
              </w:rPr>
              <w:t>：深化融合型基础设施部署。加强物联网、智能传感网等各类终端部署，推进城乡基础设施、生活服务和生产制造等领域实现感知系统建设，形成一批产业级典型应用。</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布局大容量光通信高速传输系统，加速光纤网络扩容，优化骨干网络结构，</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《浙江省新型基础设施建设三年行动计划(2020—2022年)》第1条:</w:t>
            </w:r>
            <w:r>
              <w:rPr>
                <w:rStyle w:val="19"/>
                <w:rFonts w:hint="default" w:hAnsi="宋体"/>
              </w:rPr>
              <w:t>布局大容量光通信高速传输系统，加速光纤网络扩容，优化骨干网络结构，推进我省国际互联网数据专用通道建设运营,</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6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建设“双千兆宽带城市”。</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《上海市推进新一代信息基础设施建设助力提升城市能级和核心竞争力三年行动计划（2018-2020年）》第1条:</w:t>
            </w:r>
            <w:r>
              <w:rPr>
                <w:rStyle w:val="19"/>
                <w:rFonts w:hint="default" w:hAnsi="宋体"/>
              </w:rPr>
              <w:t>打造“双千兆宽带城市”。</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6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b/>
                <w:color w:val="000000"/>
                <w:kern w:val="0"/>
                <w:sz w:val="22"/>
                <w:szCs w:val="22"/>
              </w:rPr>
              <w:t>建设国家（杭州）新型互联网交换中心。</w:t>
            </w:r>
            <w:r>
              <w:rPr>
                <w:rFonts w:hint="eastAsia" w:ascii="仿宋_GB2312" w:hAnsi="宋体" w:eastAsia="仿宋_GB2312" w:cs="仿宋_GB2312"/>
                <w:color w:val="000000"/>
                <w:kern w:val="0"/>
                <w:sz w:val="22"/>
                <w:szCs w:val="22"/>
              </w:rPr>
              <w:t>支持开通国际互联网数据专用通道。</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Style w:val="18"/>
                <w:rFonts w:hint="default" w:hAnsi="宋体"/>
              </w:rPr>
            </w:pPr>
            <w:r>
              <w:rPr>
                <w:rStyle w:val="18"/>
                <w:rFonts w:hint="default" w:hAnsi="宋体"/>
              </w:rPr>
              <w:t>《全面深化服务贸易创新发展试点任务》</w:t>
            </w:r>
          </w:p>
          <w:p>
            <w:pPr>
              <w:widowControl/>
              <w:jc w:val="left"/>
              <w:textAlignment w:val="center"/>
              <w:rPr>
                <w:rStyle w:val="18"/>
                <w:rFonts w:hint="default" w:hAnsi="宋体"/>
              </w:rPr>
            </w:pPr>
            <w:r>
              <w:rPr>
                <w:rStyle w:val="18"/>
                <w:rFonts w:hint="default" w:hAnsi="宋体"/>
              </w:rPr>
              <w:t>第</w:t>
            </w:r>
            <w:r>
              <w:rPr>
                <w:rFonts w:ascii="仿宋_GB2312" w:hAnsi="宋体" w:eastAsia="仿宋_GB2312" w:cs="仿宋_GB2312"/>
                <w:b/>
                <w:color w:val="000000"/>
                <w:sz w:val="22"/>
                <w:szCs w:val="22"/>
              </w:rPr>
              <w:t>47</w:t>
            </w:r>
            <w:r>
              <w:rPr>
                <w:rFonts w:hint="eastAsia" w:ascii="仿宋_GB2312" w:hAnsi="宋体" w:eastAsia="仿宋_GB2312" w:cs="仿宋_GB2312"/>
                <w:b/>
                <w:color w:val="000000"/>
                <w:sz w:val="22"/>
                <w:szCs w:val="22"/>
              </w:rPr>
              <w:t>条</w:t>
            </w:r>
            <w:r>
              <w:rPr>
                <w:rFonts w:ascii="仿宋_GB2312" w:hAnsi="宋体" w:eastAsia="仿宋_GB2312" w:cs="仿宋_GB2312"/>
                <w:b/>
                <w:color w:val="000000"/>
                <w:sz w:val="22"/>
                <w:szCs w:val="22"/>
              </w:rPr>
              <w:t>：建设国家（杭州）新型互联网交换中心。</w:t>
            </w:r>
          </w:p>
          <w:p>
            <w:pPr>
              <w:widowControl/>
              <w:jc w:val="left"/>
              <w:textAlignment w:val="center"/>
              <w:rPr>
                <w:rFonts w:ascii="仿宋_GB2312" w:hAnsi="宋体" w:eastAsia="仿宋_GB2312" w:cs="仿宋_GB2312"/>
                <w:b/>
                <w:color w:val="000000"/>
                <w:sz w:val="22"/>
                <w:szCs w:val="22"/>
              </w:rPr>
            </w:pPr>
            <w:r>
              <w:rPr>
                <w:rStyle w:val="18"/>
                <w:rFonts w:hint="default" w:hAnsi="宋体"/>
              </w:rPr>
              <w:t>第75条:</w:t>
            </w:r>
            <w:r>
              <w:rPr>
                <w:rStyle w:val="19"/>
                <w:rFonts w:hint="default" w:hAnsi="宋体"/>
              </w:rPr>
              <w:t>在条件具备的试点地区，开通国际互联网数据专用通道。</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6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建设全国电子数据交换系统贸易网，打造枢纽型国际化数字强港。</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《中国（浙江）自由贸易试验区扩展区域方案》第8条：</w:t>
            </w:r>
            <w:r>
              <w:rPr>
                <w:rStyle w:val="19"/>
                <w:rFonts w:hint="default" w:hAnsi="宋体"/>
              </w:rPr>
              <w:t>建设全国电子数据交换系统贸易网，打造枢纽型国际化数字强港。</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（二）加快智算中心建设</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推进算力基础设施建设，重点聚焦云储存、分布式处理等业务，创建区域级数据中心集群和智能计算中心，</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《上海市数字贸易发展行动方案(2019-2021年》（一）云服务：</w:t>
            </w:r>
            <w:r>
              <w:rPr>
                <w:rStyle w:val="19"/>
                <w:rFonts w:hint="default" w:hAnsi="宋体"/>
              </w:rPr>
              <w:t>发挥基础设施即服务的底层支撑作用，重点聚焦云存储、分布式处理等业务，</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w:t>
            </w:r>
          </w:p>
          <w:p>
            <w:pP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浙江云计算数据中心</w:t>
            </w:r>
          </w:p>
        </w:tc>
      </w:tr>
      <w:tr>
        <w:tblPrEx>
          <w:tblCellMar>
            <w:top w:w="0" w:type="dxa"/>
            <w:left w:w="0" w:type="dxa"/>
            <w:bottom w:w="0" w:type="dxa"/>
            <w:right w:w="0" w:type="dxa"/>
          </w:tblCellMar>
        </w:tblPrEx>
        <w:trPr>
          <w:gridAfter w:val="6"/>
          <w:wAfter w:w="9936" w:type="dxa"/>
          <w:trHeight w:val="11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探索大数据中心等新型设施共建共享机制。</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《浙江省国家数字经济创新发展试验区建设工作方案》第4条：</w:t>
            </w:r>
            <w:r>
              <w:rPr>
                <w:rStyle w:val="19"/>
                <w:rFonts w:hint="default" w:hAnsi="宋体"/>
              </w:rPr>
              <w:t>推进算力基础设施建设。结合地方实际，实施一批人工智能平台、区块链算力中心、基于北斗卫星的自主时空位置服务平台等算力基础设施项目，探索大数据中心等新型设施共建共享机制。</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鼓励发展多元化的云部署模式，集聚一批具有全球服务能力的公共云服务商。</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《上海市数字贸易发展行动方案(2019-2021年》（一）云服务：</w:t>
            </w:r>
            <w:r>
              <w:rPr>
                <w:rStyle w:val="19"/>
                <w:rFonts w:hint="default" w:hAnsi="宋体"/>
              </w:rPr>
              <w:t>鼓励发展多元化的云部署模式，集聚一批具有全球服务能力的公共云服务商。</w:t>
            </w:r>
          </w:p>
        </w:tc>
        <w:tc>
          <w:tcPr>
            <w:tcW w:w="2410" w:type="dxa"/>
            <w:gridSpan w:val="2"/>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阿里云</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支持云服务企业在重点市场架设出海云平台，提供公有云、私有云、混合云、专有云部署模式。</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《上海市数字贸易发展行动方案(2019-2021年》（一）云服务：</w:t>
            </w:r>
            <w:r>
              <w:rPr>
                <w:rStyle w:val="19"/>
                <w:rFonts w:hint="default" w:hAnsi="宋体"/>
              </w:rPr>
              <w:t>支持本土跨国企业架设出海云平台，提供公有云、私有云、混合云、专有云部署模式。</w:t>
            </w:r>
          </w:p>
        </w:tc>
        <w:tc>
          <w:tcPr>
            <w:tcW w:w="241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积极融入长三角G60科创大走廊建设，联合推进超级计算中心、数据中心建设，</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杭州、嘉兴、金华、湖州/</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浙江云计算数据中心</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争创长三角大数据技术国家工程实验室，探索建立长三角数据流动机制。</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《全面深化服务贸易创新发展试点任务》第79条：</w:t>
            </w:r>
            <w:r>
              <w:rPr>
                <w:rStyle w:val="19"/>
                <w:rFonts w:hint="default" w:hAnsi="宋体"/>
              </w:rPr>
              <w:t>支持创建粤港澳大湾区、京津冀、长三角大数据技术国家工程实验室，推进大数据中心项目建设。探索建立粤港澳、京津冀、长三角数据流动机制。</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杭州</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鼓励企业开展绿色节能、高效计算的区域型云数据中心建设，降低中小型创新企业开发成本。</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《浙江省新型基础设施建设三年行动计划(2020—2022年)》第1条：</w:t>
            </w:r>
            <w:r>
              <w:rPr>
                <w:rStyle w:val="19"/>
                <w:rFonts w:hint="default" w:hAnsi="宋体"/>
              </w:rPr>
              <w:t>鼓励大型互联网企业、电信企业等开展绿色节能、高效计算的区域型云数据中心建设。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浙江云计算数据中心</w:t>
            </w: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（三）加快“数字港口”建设</w:t>
            </w:r>
          </w:p>
        </w:tc>
      </w:tr>
      <w:tr>
        <w:tblPrEx>
          <w:tblCellMar>
            <w:top w:w="0" w:type="dxa"/>
            <w:left w:w="0" w:type="dxa"/>
            <w:bottom w:w="0" w:type="dxa"/>
            <w:right w:w="0" w:type="dxa"/>
          </w:tblCellMar>
        </w:tblPrEx>
        <w:trPr>
          <w:gridAfter w:val="6"/>
          <w:wAfter w:w="9936" w:type="dxa"/>
          <w:trHeight w:val="20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利用数字技术构建港口数字化运营体系，改造升级港口，应用全自动化“无人港”、快速集装箱自动装卸、无人拖车等技术，实现港口运作和管理智能化。</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中国 (广东)自由贸易试验区深圳前海蛇口片区管理委员会关于《促进数字贸易快速发展的若干意见》第二条第3点：</w:t>
            </w:r>
            <w:r>
              <w:rPr>
                <w:rStyle w:val="19"/>
                <w:rFonts w:hint="default" w:hAnsi="宋体"/>
              </w:rPr>
              <w:t>利用数字技术构建智慧妈湾数字化运营体系,改造升级妈湾港口的两个20万吨级泊位,应用全自动化“无人港”、快速集装箱自动装卸、无人拖车等技术，实现港口运作、港航管理智能化,与前海综合保税区码头作业区(MCT港区)一体化运营,在粤港澳大湾区率先实现从传统多用途码头升级为国际一流智慧港。</w:t>
            </w:r>
          </w:p>
        </w:tc>
        <w:tc>
          <w:tcPr>
            <w:tcW w:w="241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全省/</w:t>
            </w:r>
          </w:p>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浙江电子口岸</w:t>
            </w:r>
          </w:p>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省海港集团</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省机场集团</w:t>
            </w:r>
          </w:p>
        </w:tc>
      </w:tr>
      <w:tr>
        <w:tblPrEx>
          <w:tblCellMar>
            <w:top w:w="0" w:type="dxa"/>
            <w:left w:w="0" w:type="dxa"/>
            <w:bottom w:w="0" w:type="dxa"/>
            <w:right w:w="0" w:type="dxa"/>
          </w:tblCellMar>
        </w:tblPrEx>
        <w:trPr>
          <w:gridAfter w:val="6"/>
          <w:wAfter w:w="9936" w:type="dxa"/>
          <w:trHeight w:val="12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探索利用区块链、物联网等技术实现数字围网，以数字监管为核心，建设“数据管住、口岸便利、进出高效、全程可控”的新型口岸，提升港口设施数字化水平。</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18"/>
                <w:rFonts w:hint="default" w:hAnsi="宋体"/>
              </w:rPr>
              <w:t>原创</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全省/</w:t>
            </w:r>
          </w:p>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浙江电子口岸</w:t>
            </w:r>
          </w:p>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省海港集团</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省机场集团</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加快推进eWTP清关便利化探索。</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18"/>
                <w:rFonts w:hint="default" w:hAnsi="宋体"/>
              </w:rPr>
              <w:t>原创</w:t>
            </w:r>
          </w:p>
        </w:tc>
        <w:tc>
          <w:tcPr>
            <w:tcW w:w="24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w:t>
            </w:r>
          </w:p>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浙江电子口岸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阿里巴巴集团</w:t>
            </w:r>
          </w:p>
        </w:tc>
      </w:tr>
      <w:tr>
        <w:tblPrEx>
          <w:tblCellMar>
            <w:top w:w="0" w:type="dxa"/>
            <w:left w:w="0" w:type="dxa"/>
            <w:bottom w:w="0" w:type="dxa"/>
            <w:right w:w="0" w:type="dxa"/>
          </w:tblCellMar>
        </w:tblPrEx>
        <w:trPr>
          <w:gridAfter w:val="6"/>
          <w:wAfter w:w="9936" w:type="dxa"/>
          <w:trHeight w:val="17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探索设立“AI智能通关”、“货物自动申报”、“全程防伪溯源”和“区块链资质单证验证”等数字化支撑功能系统，实现“货物位移自动申报、资质文件自动验核、无盲点监管秒通关”的智慧通关体系。</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中国 (广东)自由贸易试验区深圳前海蛇口片区管理委员关于《促进数字贸易快速发展的若干意见》第三条第9点：</w:t>
            </w:r>
            <w:r>
              <w:rPr>
                <w:rStyle w:val="19"/>
                <w:rFonts w:hint="default" w:hAnsi="宋体"/>
              </w:rPr>
              <w:t>探索数字新技术在货物交付领域的新应用,率先在粤港澳大湾区探索建设“智慧物流”、“智慧仓储”、“AI智能通关”、“货物位移自动申报”、“全程防伪溯源”和“区块链资质单证验证”等数字化支撑功能系统,实现“货物位移自动申报、资质文件自动验核、无盲点监管秒通关”的货物智慧交付体系。</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全省/</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浙江电子口岸</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试行海关电子放行和智能卡口模式，提升机场口岸货物通关效率。</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ascii="仿宋_GB2312" w:hAnsi="宋体" w:eastAsia="仿宋_GB2312" w:cs="仿宋_GB2312"/>
                <w:b/>
                <w:color w:val="000000"/>
                <w:sz w:val="22"/>
                <w:szCs w:val="22"/>
              </w:rPr>
              <w:t>《中国（浙江）自由贸易试验区扩展区域方案》</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全省/</w:t>
            </w:r>
          </w:p>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浙江电子口岸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省机场集团</w:t>
            </w: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（四）加快数字物流设施建设</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加快智慧物流信息系统建设，推动物流园区、大型仓储基地等智慧化改造。</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《浙江省新型基础设施建设三年行动计划(2020—2022年)》第4条第2点:</w:t>
            </w:r>
            <w:r>
              <w:rPr>
                <w:rStyle w:val="19"/>
                <w:rFonts w:hint="default" w:hAnsi="宋体"/>
              </w:rPr>
              <w:t>加快智慧物流信息系统建设，推动物流园区、大型仓储基地等智慧化改造。</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完善应急储备、冷链物流、邮政快递分拨处理、城乡配送等物流设施网络布局，推动区域间和行业内物流信息共享。</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借鉴《浙江省新型基础设施建设三年行动计划(2020—2022年)》第4条第2点:</w:t>
            </w:r>
            <w:r>
              <w:rPr>
                <w:rStyle w:val="19"/>
                <w:rFonts w:hint="default" w:hAnsi="宋体"/>
              </w:rPr>
              <w:t>完善全省应急储备、冷链物流、邮政快递分拨处理、城乡配送等物流设施网络布局，推动区域间和行业内物流信息共享。</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构建国际智能快递骨干网，支持国际快递骨干企业合作组建国际分拨网。</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《浙江省新型基础设施建设三年行动计划(2020—2022年)》第4条第2点:</w:t>
            </w:r>
            <w:r>
              <w:rPr>
                <w:rStyle w:val="19"/>
                <w:rFonts w:hint="default" w:hAnsi="宋体"/>
              </w:rPr>
              <w:t>构建国际智能快递骨干网，支持国际快递骨干企业合作组建国际分拨网。</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完善智能末端配送设施，发展无接触配送，加快智慧物流设施终端布局，力争实现城镇社区和行政村全覆盖。</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《浙江省新型基础设施建设三年行动计划(2020—2022年)》第4条第2点:</w:t>
            </w:r>
            <w:r>
              <w:rPr>
                <w:rStyle w:val="19"/>
                <w:rFonts w:hint="default" w:hAnsi="宋体"/>
              </w:rPr>
              <w:t>完善智能末端配送设施，发展无接触配送，加快智慧物流设施终端布局，力争实现城镇社区和行政村全覆盖。</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0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四、加快发展数字贸易新业态</w:t>
            </w:r>
          </w:p>
        </w:tc>
      </w:tr>
      <w:tr>
        <w:tblPrEx>
          <w:tblCellMar>
            <w:top w:w="0" w:type="dxa"/>
            <w:left w:w="0" w:type="dxa"/>
            <w:bottom w:w="0" w:type="dxa"/>
            <w:right w:w="0" w:type="dxa"/>
          </w:tblCellMar>
        </w:tblPrEx>
        <w:trPr>
          <w:gridAfter w:val="6"/>
          <w:wAfter w:w="9936" w:type="dxa"/>
          <w:trHeight w:val="7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序号</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具体措施</w:t>
            </w:r>
          </w:p>
        </w:tc>
        <w:tc>
          <w:tcPr>
            <w:tcW w:w="7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制度来源</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承接地区或企业项目</w:t>
            </w:r>
          </w:p>
        </w:tc>
      </w:tr>
      <w:tr>
        <w:tblPrEx>
          <w:tblCellMar>
            <w:top w:w="0" w:type="dxa"/>
            <w:left w:w="0" w:type="dxa"/>
            <w:bottom w:w="0" w:type="dxa"/>
            <w:right w:w="0" w:type="dxa"/>
          </w:tblCellMar>
        </w:tblPrEx>
        <w:trPr>
          <w:gridAfter w:val="6"/>
          <w:wAfter w:w="9936" w:type="dxa"/>
          <w:trHeight w:val="54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（五）发挥跨境电商新优势</w:t>
            </w:r>
          </w:p>
        </w:tc>
      </w:tr>
      <w:tr>
        <w:tblPrEx>
          <w:tblCellMar>
            <w:top w:w="0" w:type="dxa"/>
            <w:left w:w="0" w:type="dxa"/>
            <w:bottom w:w="0" w:type="dxa"/>
            <w:right w:w="0" w:type="dxa"/>
          </w:tblCellMar>
        </w:tblPrEx>
        <w:trPr>
          <w:gridAfter w:val="6"/>
          <w:wAfter w:w="9936" w:type="dxa"/>
          <w:trHeight w:val="567" w:hRule="atLeast"/>
        </w:trPr>
        <w:tc>
          <w:tcPr>
            <w:tcW w:w="58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b/>
                <w:color w:val="000000"/>
                <w:kern w:val="0"/>
                <w:sz w:val="24"/>
              </w:rPr>
            </w:pPr>
            <w:r>
              <w:rPr>
                <w:rFonts w:hint="eastAsia" w:ascii="仿宋_GB2312" w:hAnsi="宋体" w:eastAsia="仿宋_GB2312" w:cs="仿宋_GB2312"/>
                <w:color w:val="000000"/>
                <w:kern w:val="0"/>
                <w:sz w:val="22"/>
                <w:szCs w:val="22"/>
              </w:rPr>
              <w:t>27</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5" w:leftChars="-7" w:firstLine="11" w:firstLineChars="5"/>
              <w:jc w:val="left"/>
              <w:textAlignment w:val="center"/>
              <w:rPr>
                <w:rFonts w:ascii="仿宋_GB2312" w:hAnsi="宋体" w:eastAsia="仿宋_GB2312" w:cs="仿宋_GB2312"/>
                <w:b/>
                <w:color w:val="000000"/>
                <w:kern w:val="0"/>
                <w:sz w:val="24"/>
              </w:rPr>
            </w:pPr>
            <w:r>
              <w:rPr>
                <w:rFonts w:hint="eastAsia" w:ascii="仿宋_GB2312" w:hAnsi="宋体" w:eastAsia="仿宋_GB2312" w:cs="仿宋_GB2312"/>
                <w:color w:val="000000"/>
                <w:kern w:val="0"/>
                <w:sz w:val="22"/>
                <w:szCs w:val="22"/>
              </w:rPr>
              <w:t>发挥跨境电商新优势。全面推进和深化中国（杭州）跨境电子商务综合试验区建设，支持跨境电商产业园建设成为跨境电商示范中心。</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kern w:val="0"/>
                <w:sz w:val="24"/>
              </w:rPr>
            </w:pPr>
            <w:r>
              <w:rPr>
                <w:rStyle w:val="20"/>
                <w:rFonts w:hint="default" w:hAnsi="仿宋_GB2312"/>
                <w:sz w:val="24"/>
                <w:szCs w:val="24"/>
              </w:rPr>
              <w:t>原创</w:t>
            </w:r>
          </w:p>
        </w:tc>
        <w:tc>
          <w:tcPr>
            <w:tcW w:w="2410" w:type="dxa"/>
            <w:gridSpan w:val="2"/>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kern w:val="0"/>
                <w:sz w:val="24"/>
              </w:rPr>
            </w:pPr>
            <w:r>
              <w:rPr>
                <w:rStyle w:val="21"/>
                <w:rFonts w:hint="default" w:hAnsi="仿宋_GB2312"/>
              </w:rPr>
              <w:t>全省</w:t>
            </w:r>
          </w:p>
        </w:tc>
      </w:tr>
      <w:tr>
        <w:tblPrEx>
          <w:tblCellMar>
            <w:top w:w="0" w:type="dxa"/>
            <w:left w:w="0" w:type="dxa"/>
            <w:bottom w:w="0" w:type="dxa"/>
            <w:right w:w="0" w:type="dxa"/>
          </w:tblCellMar>
        </w:tblPrEx>
        <w:trPr>
          <w:gridAfter w:val="6"/>
          <w:wAfter w:w="9936" w:type="dxa"/>
          <w:trHeight w:val="567" w:hRule="atLeast"/>
        </w:trPr>
        <w:tc>
          <w:tcPr>
            <w:tcW w:w="58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加快1210、9610、9710、9810等多种形态跨境电商模式落地，推动出口退货返修、跨境进口保税备货退货、保税展示交易等新模式深入开展</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18"/>
                <w:rFonts w:hint="default" w:hAnsi="宋体"/>
              </w:rPr>
            </w:pPr>
            <w:r>
              <w:rPr>
                <w:rStyle w:val="18"/>
                <w:rFonts w:hint="default" w:hAnsi="宋体"/>
              </w:rPr>
              <w:t>深圳前海《促进数字贸易快速发展的若干意见》（十一）：</w:t>
            </w:r>
          </w:p>
          <w:p>
            <w:pPr>
              <w:widowControl/>
              <w:jc w:val="left"/>
              <w:textAlignment w:val="center"/>
              <w:rPr>
                <w:rStyle w:val="21"/>
                <w:rFonts w:hint="default" w:hAnsi="宋体"/>
              </w:rPr>
            </w:pPr>
            <w:r>
              <w:rPr>
                <w:rStyle w:val="18"/>
                <w:rFonts w:hint="default" w:hAnsi="宋体"/>
                <w:b w:val="0"/>
                <w:bCs/>
              </w:rPr>
              <w:t>建设跨境电商全链条数字化创新中心。依托深圳跨境电商产业资源的高度集聚优势，抓住国家持续推出并且全形态在前海落地开展的1210、9610、9710、9810等多种形态跨境电商模式的契机，结合前海在跨境电商制度创新方面的引领优势，全面推动“保税+社区新零售”模式、出口退货返修、进口带货直播销售、保税展示交易等新模式深入开展，建设跨境电商“购一展一售一退”全链条制度创新展示窗口。</w:t>
            </w:r>
          </w:p>
        </w:tc>
        <w:tc>
          <w:tcPr>
            <w:tcW w:w="2410" w:type="dxa"/>
            <w:gridSpan w:val="2"/>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6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支持金融创新服务跨境电商，完善适应跨境电商贸易特点的海关、税务、外汇等监管和跨境支付、物流等支撑体系。</w:t>
            </w:r>
          </w:p>
        </w:tc>
        <w:tc>
          <w:tcPr>
            <w:tcW w:w="7229"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《浙江省国家数字经济创新发展试验区建设工作方案》：</w:t>
            </w:r>
            <w:r>
              <w:rPr>
                <w:rStyle w:val="21"/>
                <w:rFonts w:hint="default" w:hAnsi="仿宋_GB2312"/>
              </w:rPr>
              <w:t>支持金融创新服务跨境电商，加强与银行、PingPong等金融科技机构深度合作，探索基于数据互惠基础上的供应链金融产品创新，加快形成以技术，标准、品牌、质量、服务为核心的杭州数字贸易新优势，助力杭州打造“全国数字经济第一城”。</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Style w:val="21"/>
                <w:rFonts w:hint="default" w:hAnsi="仿宋_GB2312"/>
              </w:rPr>
              <w:t>全省</w:t>
            </w:r>
          </w:p>
        </w:tc>
      </w:tr>
      <w:tr>
        <w:tblPrEx>
          <w:tblCellMar>
            <w:top w:w="0" w:type="dxa"/>
            <w:left w:w="0" w:type="dxa"/>
            <w:bottom w:w="0" w:type="dxa"/>
            <w:right w:w="0" w:type="dxa"/>
          </w:tblCellMar>
        </w:tblPrEx>
        <w:trPr>
          <w:gridAfter w:val="6"/>
          <w:wAfter w:w="9936" w:type="dxa"/>
          <w:trHeight w:val="21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支持以真实交易背景为基础、以大数据为核心的跨境电商综合信用、保理、供应链金融和信贷服务。</w:t>
            </w:r>
          </w:p>
        </w:tc>
        <w:tc>
          <w:tcPr>
            <w:tcW w:w="7229"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中国 (广东)自由贸易试验区深圳前海蛇口片区管理委员关于《促进数字贸易快速发展的若干意见》：</w:t>
            </w:r>
            <w:r>
              <w:rPr>
                <w:rStyle w:val="21"/>
                <w:rFonts w:hint="default" w:hAnsi="仿宋_GB2312"/>
              </w:rPr>
              <w:t>（八）突破传统国际贸易交易过程中相关方主要以形式真实方式进行互信认定的困局，通过将交易双方身份、交易过程以及交易历史等关键信息和环节数字化,结合区块链、大数据、人工智能等新科技手段，打造国际贸易全链条数字化交易体系，实现对交易方资信、交易方式以及过程的实质性评估和认定，在推动交易顺利达成的同时，为交易行为提供多维度充分保障和支持。</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试点全球库存同仓存储、自由调配，实现内外贸货物、退换货商品一仓调配。</w:t>
            </w:r>
          </w:p>
        </w:tc>
        <w:tc>
          <w:tcPr>
            <w:tcW w:w="7229" w:type="dxa"/>
            <w:gridSpan w:val="2"/>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2"/>
                <w:szCs w:val="22"/>
              </w:rPr>
            </w:pPr>
            <w:r>
              <w:rPr>
                <w:rStyle w:val="20"/>
                <w:rFonts w:hint="default" w:hAnsi="仿宋_GB2312"/>
                <w:sz w:val="24"/>
                <w:szCs w:val="24"/>
              </w:rPr>
              <w:t>原创</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开展跨境电商零售进口创新试点，</w:t>
            </w:r>
            <w:r>
              <w:rPr>
                <w:rFonts w:ascii="仿宋_GB2312" w:hAnsi="宋体" w:eastAsia="仿宋_GB2312" w:cs="仿宋_GB2312"/>
                <w:color w:val="000000"/>
                <w:kern w:val="0"/>
                <w:sz w:val="22"/>
                <w:szCs w:val="22"/>
              </w:rPr>
              <w:t>探索跨境电商零售进口商品现场直提，试点跨境电商零售进口商品数字清关模式</w:t>
            </w:r>
            <w:r>
              <w:rPr>
                <w:rFonts w:hint="eastAsia" w:ascii="仿宋_GB2312" w:hAnsi="宋体" w:eastAsia="仿宋_GB2312" w:cs="仿宋_GB2312"/>
                <w:color w:val="000000"/>
                <w:kern w:val="0"/>
                <w:sz w:val="22"/>
                <w:szCs w:val="22"/>
              </w:rPr>
              <w:t>。</w:t>
            </w:r>
          </w:p>
        </w:tc>
        <w:tc>
          <w:tcPr>
            <w:tcW w:w="7229"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2"/>
                <w:szCs w:val="22"/>
              </w:rPr>
            </w:pP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大力推动跨境电子商务零售进口药品试点工作。</w:t>
            </w:r>
          </w:p>
        </w:tc>
        <w:tc>
          <w:tcPr>
            <w:tcW w:w="7229"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《北京自由贸易试验区总体方案》主要任务与措施第2点：</w:t>
            </w:r>
            <w:r>
              <w:rPr>
                <w:rStyle w:val="21"/>
                <w:rFonts w:hint="default" w:hAnsi="仿宋_GB2312"/>
              </w:rPr>
              <w:t>提升贸易便利化水平。开展跨境电子商务零售进口药品试点工作，具体按程序报批。</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4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鼓励跨境电商企业自建平台和信息化服务系统，支持跨境电商平台建立商品品质溯源机制，实现商品从原产国进口到国内销售全过程的溯源。</w:t>
            </w:r>
          </w:p>
        </w:tc>
        <w:tc>
          <w:tcPr>
            <w:tcW w:w="7229"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2"/>
                <w:szCs w:val="22"/>
              </w:rPr>
            </w:pPr>
            <w:r>
              <w:rPr>
                <w:rStyle w:val="20"/>
                <w:rFonts w:hint="default" w:hAnsi="仿宋_GB2312"/>
                <w:sz w:val="24"/>
                <w:szCs w:val="24"/>
              </w:rPr>
              <w:t>原创</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争取设立市内免税店，支持符合条件企业申报免税品经营资质，经营免税品零售业务。</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2"/>
                <w:szCs w:val="22"/>
              </w:rPr>
            </w:pPr>
            <w:r>
              <w:rPr>
                <w:rStyle w:val="20"/>
                <w:rFonts w:hint="default" w:hAnsi="仿宋_GB2312"/>
                <w:sz w:val="24"/>
                <w:szCs w:val="24"/>
              </w:rPr>
              <w:t>原创</w:t>
            </w:r>
          </w:p>
        </w:tc>
        <w:tc>
          <w:tcPr>
            <w:tcW w:w="24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杭州、舟山/</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物产中大集团等</w:t>
            </w: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（六）助推数字文化走出去</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b/>
                <w:bCs/>
                <w:color w:val="000000"/>
                <w:kern w:val="0"/>
                <w:sz w:val="22"/>
                <w:szCs w:val="22"/>
              </w:rPr>
              <w:t>聚焦“之江文化产业带”，重点发展数字出版、网络文学、动漫游戏、数字音乐、数字影视等新兴文化业态。</w:t>
            </w:r>
          </w:p>
        </w:tc>
        <w:tc>
          <w:tcPr>
            <w:tcW w:w="718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《上海市数字贸易发展行动方案2019-2021年》：</w:t>
            </w:r>
            <w:r>
              <w:rPr>
                <w:rStyle w:val="21"/>
                <w:rFonts w:hint="default" w:hAnsi="仿宋_GB2312"/>
              </w:rPr>
              <w:t>聚焦游戏、动漫、演艺、网络视听、数字阅读等领域，大力推动文化创意产业应用数字化技术，发展流媒体、电子竞技内容分发、微交易、视频点播、订阅式音乐流等新领域、新模式、新业态。</w:t>
            </w:r>
          </w:p>
        </w:tc>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w:t>
            </w:r>
          </w:p>
        </w:tc>
      </w:tr>
      <w:tr>
        <w:tblPrEx>
          <w:tblCellMar>
            <w:top w:w="0" w:type="dxa"/>
            <w:left w:w="0" w:type="dxa"/>
            <w:bottom w:w="0" w:type="dxa"/>
            <w:right w:w="0" w:type="dxa"/>
          </w:tblCellMar>
        </w:tblPrEx>
        <w:trPr>
          <w:gridAfter w:val="6"/>
          <w:wAfter w:w="9936" w:type="dxa"/>
          <w:trHeight w:val="10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b/>
                <w:bCs/>
                <w:color w:val="000000"/>
                <w:kern w:val="0"/>
                <w:sz w:val="22"/>
                <w:szCs w:val="22"/>
              </w:rPr>
              <w:t>大力推动文化创意产业应用数字化技术，发展流媒体、短视频、电子竞技、视频点播等。</w:t>
            </w:r>
          </w:p>
        </w:tc>
        <w:tc>
          <w:tcPr>
            <w:tcW w:w="718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22"/>
                <w:szCs w:val="22"/>
              </w:rPr>
            </w:pPr>
          </w:p>
        </w:tc>
        <w:tc>
          <w:tcPr>
            <w:tcW w:w="241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6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围绕国际动漫之都、全球数字内容产业中心、国际影视产业基地、全球工艺和民间艺术之都等文化品牌建设，鼓励通过数字载体和形式，提升原创内容国际影响力，加大原创IP宣传力度，培育一批具有国际竞争力的文化IP和企业品牌，</w:t>
            </w:r>
            <w:r>
              <w:rPr>
                <w:rFonts w:hint="eastAsia" w:ascii="仿宋_GB2312" w:hAnsi="宋体" w:eastAsia="仿宋_GB2312" w:cs="仿宋_GB2312"/>
                <w:b/>
                <w:bCs/>
                <w:color w:val="000000"/>
                <w:kern w:val="0"/>
                <w:sz w:val="22"/>
                <w:szCs w:val="22"/>
              </w:rPr>
              <w:t>支持国家文化出口基地建设，</w:t>
            </w:r>
            <w:r>
              <w:rPr>
                <w:rFonts w:hint="eastAsia" w:ascii="仿宋_GB2312" w:hAnsi="宋体" w:eastAsia="仿宋_GB2312" w:cs="仿宋_GB2312"/>
                <w:color w:val="000000"/>
                <w:kern w:val="0"/>
                <w:sz w:val="22"/>
                <w:szCs w:val="22"/>
              </w:rPr>
              <w:t>加快数字文化内容“走出去”。</w:t>
            </w:r>
          </w:p>
        </w:tc>
        <w:tc>
          <w:tcPr>
            <w:tcW w:w="7181"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《上海市数字贸易发展行动方案2019-2021年》：</w:t>
            </w:r>
            <w:r>
              <w:rPr>
                <w:rStyle w:val="21"/>
                <w:rFonts w:hint="default" w:hAnsi="仿宋_GB2312"/>
              </w:rPr>
              <w:t>通过数字化手段推动“上海文化”品牌建设，鼓励通过数字载体和形式讲述“上海故事”，提升本市原创内容的海外影响力。</w:t>
            </w:r>
          </w:p>
        </w:tc>
        <w:tc>
          <w:tcPr>
            <w:tcW w:w="241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8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w:t>
            </w:r>
          </w:p>
        </w:tc>
        <w:tc>
          <w:tcPr>
            <w:tcW w:w="4301"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加大中外数字创意、影视培训等合作力度。</w:t>
            </w:r>
          </w:p>
        </w:tc>
        <w:tc>
          <w:tcPr>
            <w:tcW w:w="7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《商务部关于印发全面深化服务贸易创新发展试点总体方案》具体举措第85条：</w:t>
            </w:r>
            <w:r>
              <w:rPr>
                <w:rStyle w:val="21"/>
                <w:rFonts w:hint="default" w:hAnsi="仿宋_GB2312"/>
              </w:rPr>
              <w:t>出台支持政策，在试点地区率先推进中外数字创意、影视培训等合作。</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11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争取举办中国国际网络文化博览会，</w:t>
            </w:r>
            <w:r>
              <w:rPr>
                <w:rFonts w:hint="eastAsia" w:ascii="仿宋_GB2312" w:hAnsi="宋体" w:eastAsia="仿宋_GB2312" w:cs="仿宋_GB2312"/>
                <w:b/>
                <w:bCs/>
                <w:color w:val="000000"/>
                <w:kern w:val="0"/>
                <w:sz w:val="22"/>
                <w:szCs w:val="22"/>
              </w:rPr>
              <w:t>推进与世界各国签订合作协议，形成文化推广活动常态化机制。扶持发展文化跨境电商，构建线上线下联动的文化贸易渠道，助推更多承载中华优秀传统文化、体现浙江特色的文化创意产品和服务走向世界</w:t>
            </w:r>
            <w:r>
              <w:rPr>
                <w:rFonts w:hint="eastAsia" w:ascii="仿宋_GB2312" w:hAnsi="宋体" w:eastAsia="仿宋_GB2312" w:cs="仿宋_GB2312"/>
                <w:color w:val="000000"/>
                <w:kern w:val="0"/>
                <w:sz w:val="22"/>
                <w:szCs w:val="22"/>
              </w:rPr>
              <w:t>。</w:t>
            </w:r>
          </w:p>
        </w:tc>
        <w:tc>
          <w:tcPr>
            <w:tcW w:w="718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《上海市数字贸易发展行动方案2019-2021年》第11条：</w:t>
            </w:r>
            <w:r>
              <w:rPr>
                <w:rStyle w:val="21"/>
                <w:rFonts w:hint="default" w:hAnsi="仿宋_GB2312"/>
              </w:rPr>
              <w:t>拓展数字贸易品牌海外宣传渠道。积极和各国使领馆、海外数字贸易促进机构开展合作，开拓构建线上线下互动的数字贸易品牌海外宣传渠道，通过在海外重点市场开展企业推介、项目对接、合作意向签约等活动，加强上海数字贸易品牌的海外影响力。</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60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（七）推进生活数字化融合发展</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大力推动数字生活新服务。</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b/>
                <w:color w:val="000000"/>
                <w:sz w:val="22"/>
                <w:szCs w:val="22"/>
              </w:rPr>
            </w:pPr>
            <w:r>
              <w:rPr>
                <w:rFonts w:hint="eastAsia" w:ascii="仿宋_GB2312" w:hAnsi="仿宋_GB2312" w:eastAsia="仿宋_GB2312" w:cs="仿宋_GB2312"/>
                <w:b/>
                <w:color w:val="000000"/>
                <w:kern w:val="0"/>
                <w:sz w:val="22"/>
                <w:szCs w:val="22"/>
              </w:rPr>
              <w:t>《关于实施数字生活新服务的意见》</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引导企业运用大数据、云计算、人工智能、区块链等数字技术，加快发展以供应链管理、品牌建设、线上线下一体为特征的新零售。</w:t>
            </w:r>
          </w:p>
        </w:tc>
        <w:tc>
          <w:tcPr>
            <w:tcW w:w="718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《关于实施数字生活新服务的意见》第二大点：</w:t>
            </w:r>
            <w:r>
              <w:rPr>
                <w:rStyle w:val="21"/>
                <w:rFonts w:hint="default" w:hAnsi="仿宋_GB2312"/>
              </w:rPr>
              <w:t>（一）数字商贸。引导企业运用大数据、云计算、人工智能、区块链等数字技术，加快发展以供应链管理、品牌建设、线上线下一体为特征的新零售。以网络协同和数据智能为核心，探索发展智能商业。</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7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以网络协同和数据智能为核心，探索发展智能商业。</w:t>
            </w:r>
          </w:p>
        </w:tc>
        <w:tc>
          <w:tcPr>
            <w:tcW w:w="718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ascii="仿宋_GB2312" w:hAnsi="仿宋_GB2312" w:eastAsia="仿宋_GB2312" w:cs="仿宋_GB2312"/>
                <w:b/>
                <w:color w:val="000000"/>
                <w:sz w:val="22"/>
                <w:szCs w:val="22"/>
              </w:rPr>
            </w:pP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1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支持业内优质教育品牌投入线上课程建设，促进优质教育资源供给和共享，着力打造若干品牌数字学校。</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《关于实施数字生活新服务的意见》第二大点：（二）数字学习。</w:t>
            </w:r>
            <w:r>
              <w:rPr>
                <w:rStyle w:val="21"/>
                <w:rFonts w:hint="default" w:hAnsi="仿宋_GB2312"/>
              </w:rPr>
              <w:t>支持业内优质教育品牌投入线上课程建设，促进优质教育资源供给和共享，着力打造若干品牌数字学校。</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1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加强涉及交通的多部门信息归集共享，充分发挥互联网、大数据、人工智能的作用，推动实现数据驱动的城市交通管理和服务模式，提升交通通勤效率。</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《关于实施数字生活新服务的意见》第二大点：（三）数字出行。</w:t>
            </w:r>
            <w:r>
              <w:rPr>
                <w:rStyle w:val="21"/>
                <w:rFonts w:hint="default" w:hAnsi="仿宋_GB2312"/>
              </w:rPr>
              <w:t>加快"城市大脑"建设与应用，加强涉及交通的多部门信息归集共享，充分发挥互联网、大数据、人工智能的作用，推动实现数据驱动的城市交通管理和服务模式，提升交通通勤效率。</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1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加快推广数字图书馆、数字文化馆，实现全省数字公共文化资源无差别、无门槛服务。</w:t>
            </w:r>
          </w:p>
        </w:tc>
        <w:tc>
          <w:tcPr>
            <w:tcW w:w="718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《关于实施数字生活新服务的意见》第二大点：</w:t>
            </w:r>
            <w:r>
              <w:rPr>
                <w:rStyle w:val="21"/>
                <w:rFonts w:hint="default" w:hAnsi="仿宋_GB2312"/>
              </w:rPr>
              <w:t>（四）数字文旅。加快推广数字图书馆、数字文化馆，实现全省数字公共文化资源无差别、无门槛服务。加快线下商旅资源与线上入口对接，形成全域旅游数字服务矩阵。</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7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加快线下商旅资源与线上入口对接，形成全域旅游数字服务矩阵。</w:t>
            </w:r>
          </w:p>
        </w:tc>
        <w:tc>
          <w:tcPr>
            <w:tcW w:w="718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ascii="仿宋_GB2312" w:hAnsi="仿宋_GB2312" w:eastAsia="仿宋_GB2312" w:cs="仿宋_GB2312"/>
                <w:b/>
                <w:color w:val="000000"/>
                <w:sz w:val="22"/>
                <w:szCs w:val="22"/>
              </w:rPr>
            </w:pP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1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支持开展“互联网+”健康咨询、创意设计、医疗、护理等服务，加快推进药房线上线下全流程服务。</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《关于实施数字生活新服务的意见》第二大点：（四）数字健康。</w:t>
            </w:r>
            <w:r>
              <w:rPr>
                <w:rStyle w:val="21"/>
                <w:rFonts w:hint="default" w:hAnsi="仿宋_GB2312"/>
              </w:rPr>
              <w:t>推广应用浙江省互联网医院平台，支持开展“互联网+”健康咨询、医疗、护理等服务，加快实现医保在线支付、处方流转、药品配送等功能，通过24小时"网订店送"药房民生实事项目建设，实现线上线下全流程服务闭环。</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48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48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培育海洋制造业维修数字化交易平台，实现对维修产品通关、监测维修、交易、融资、交付使用等全生命周期的数字化管理，形成对高端产品监测维修的生态化支撑体系。</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20"/>
                <w:rFonts w:hint="default" w:hAnsi="仿宋_GB2312"/>
                <w:sz w:val="24"/>
                <w:szCs w:val="24"/>
              </w:rPr>
            </w:pPr>
            <w:r>
              <w:rPr>
                <w:rStyle w:val="18"/>
                <w:rFonts w:hint="default" w:hAnsi="宋体"/>
              </w:rPr>
              <w:t>深圳前海《促进数字贸易快速发展的若干意见》（十三）：</w:t>
            </w:r>
            <w:r>
              <w:rPr>
                <w:rStyle w:val="18"/>
                <w:rFonts w:hint="default" w:hAnsi="宋体"/>
                <w:b w:val="0"/>
                <w:bCs/>
              </w:rPr>
              <w:t>培育高端产品保税维修数字化交易平台。全球维修和再制造业务在区域内全面落地实施，支持大型品牌维修基地以及专业维修服务企业开展针对智能机器人、高端工业母机、ICT生产设备等具有高技术、高附加值、符合环保要求的高端产品进境维修业务，通过组合通关模式实现区域间的高效协同和功能互补，助力维修企业进出口路径多元化，同时结合ICT物料供应链中心的构建，打造完整的检测维修产业链条。依托区块链、物联网技术，打造高端产品保税维修数字化交易平台，实现对维修产品通关、检测维修、交易、融资、使用等全生命周期的数字化管理，形成对高端产品检测维修的生态化支撑体系。</w:t>
            </w:r>
          </w:p>
        </w:tc>
        <w:tc>
          <w:tcPr>
            <w:tcW w:w="24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宁波、舟山/</w:t>
            </w:r>
          </w:p>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省海港集团</w:t>
            </w: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（八）推动数字云服务发展</w:t>
            </w:r>
          </w:p>
        </w:tc>
      </w:tr>
      <w:tr>
        <w:tblPrEx>
          <w:tblCellMar>
            <w:top w:w="0" w:type="dxa"/>
            <w:left w:w="0" w:type="dxa"/>
            <w:bottom w:w="0" w:type="dxa"/>
            <w:right w:w="0" w:type="dxa"/>
          </w:tblCellMar>
        </w:tblPrEx>
        <w:trPr>
          <w:gridAfter w:val="6"/>
          <w:wAfter w:w="9936" w:type="dxa"/>
          <w:trHeight w:val="5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支持重点涉云企业赴海外拓展基础设施即服务（IaaS）。</w:t>
            </w:r>
          </w:p>
        </w:tc>
        <w:tc>
          <w:tcPr>
            <w:tcW w:w="718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《上海市数字贸易发展行动方案2019-2021年》：</w:t>
            </w:r>
            <w:r>
              <w:rPr>
                <w:rStyle w:val="21"/>
                <w:rFonts w:hint="default" w:hAnsi="仿宋_GB2312"/>
              </w:rPr>
              <w:t>重点发展基础设施即服务（laaS）、平台即服务（PaaS ）以及软件即服务（SaaS）等模式。发挥基础设施即服务的底层支撑作用，重点聚焦云存储、分布式处理等业务，鼓励发展多元化的云部署模式，集聚一批具有全球服务能力的公共云服务商，支持本土跨国企业架设出海云平台，提供公有云、私有云、混合云、专有云部署模式。</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8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培育一批平台即服务（PaaS）企业，为数字经济新技术提供底层操作系统。</w:t>
            </w:r>
          </w:p>
        </w:tc>
        <w:tc>
          <w:tcPr>
            <w:tcW w:w="718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ascii="仿宋_GB2312" w:hAnsi="仿宋_GB2312" w:eastAsia="仿宋_GB2312" w:cs="仿宋_GB2312"/>
                <w:b/>
                <w:color w:val="000000"/>
                <w:sz w:val="22"/>
                <w:szCs w:val="22"/>
              </w:rPr>
            </w:pP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1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进一步加快基于企业和消费者的软件即服务（SaaS）等云服务发展，支持跨境电商企业与SaaS供应商形成“B2B+SaaS+供应链金融”模式，构建数字贸易服务生态圈。</w:t>
            </w:r>
          </w:p>
        </w:tc>
        <w:tc>
          <w:tcPr>
            <w:tcW w:w="718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ascii="仿宋_GB2312" w:hAnsi="仿宋_GB2312" w:eastAsia="仿宋_GB2312" w:cs="仿宋_GB2312"/>
                <w:b/>
                <w:color w:val="000000"/>
                <w:sz w:val="22"/>
                <w:szCs w:val="22"/>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10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积极争取符合中国产业政策的外商投资企业在浙经营云服务业务，提升云服务的综合竞争力和增长动力。</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22"/>
                <w:szCs w:val="22"/>
              </w:rPr>
            </w:pPr>
            <w:r>
              <w:rPr>
                <w:rStyle w:val="20"/>
                <w:rFonts w:hint="default" w:hAnsi="仿宋_GB2312"/>
                <w:sz w:val="24"/>
                <w:szCs w:val="24"/>
              </w:rPr>
              <w:t>《上海市数字贸易发展行动方案2019-2021年》：</w:t>
            </w:r>
            <w:r>
              <w:rPr>
                <w:rStyle w:val="21"/>
                <w:rFonts w:hint="default" w:hAnsi="仿宋_GB2312"/>
              </w:rPr>
              <w:t>积极争取符合中国产业政策的外商投资企业在沪经营云服务业务，提升云服务的综合竞争力和增长动力。</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五、加快建设数字贸易新场景</w:t>
            </w:r>
          </w:p>
        </w:tc>
      </w:tr>
      <w:tr>
        <w:tblPrEx>
          <w:tblCellMar>
            <w:top w:w="0" w:type="dxa"/>
            <w:left w:w="0" w:type="dxa"/>
            <w:bottom w:w="0" w:type="dxa"/>
            <w:right w:w="0" w:type="dxa"/>
          </w:tblCellMar>
        </w:tblPrEx>
        <w:trPr>
          <w:gridAfter w:val="6"/>
          <w:wAfter w:w="9936" w:type="dxa"/>
          <w:trHeight w:val="4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序号</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具体措施</w:t>
            </w:r>
          </w:p>
        </w:tc>
        <w:tc>
          <w:tcPr>
            <w:tcW w:w="7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制度来源</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承接地区或企业项目</w:t>
            </w:r>
          </w:p>
        </w:tc>
      </w:tr>
      <w:tr>
        <w:tblPrEx>
          <w:tblCellMar>
            <w:top w:w="0" w:type="dxa"/>
            <w:left w:w="0" w:type="dxa"/>
            <w:bottom w:w="0" w:type="dxa"/>
            <w:right w:w="0" w:type="dxa"/>
          </w:tblCellMar>
        </w:tblPrEx>
        <w:trPr>
          <w:gridAfter w:val="6"/>
          <w:wAfter w:w="9936" w:type="dxa"/>
          <w:trHeight w:val="40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（九）加快推进数字技术应用场景。</w:t>
            </w:r>
          </w:p>
        </w:tc>
      </w:tr>
      <w:tr>
        <w:tblPrEx>
          <w:tblCellMar>
            <w:top w:w="0" w:type="dxa"/>
            <w:left w:w="0" w:type="dxa"/>
            <w:bottom w:w="0" w:type="dxa"/>
            <w:right w:w="0" w:type="dxa"/>
          </w:tblCellMar>
        </w:tblPrEx>
        <w:trPr>
          <w:gridAfter w:val="6"/>
          <w:wAfter w:w="9936" w:type="dxa"/>
          <w:trHeight w:val="18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展现浙江魅力和重要创新成果的特色示范性场景，聚焦中国（浙江）自由贸易试验区、杭州城西科创大走廊、宁波甬江科创大走廊、沪嘉杭G60科创走廊等重点区域，加速新技术、新产品、新模式的推广应用，为企业创新发展提供更大市场空间，培育形成高效协同、智能融合的数字经济发展新生态</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《关于加快培育壮大新业态新模式促进北京经济高质量发展的若干意见》第七条：</w:t>
            </w:r>
            <w:r>
              <w:rPr>
                <w:rStyle w:val="19"/>
                <w:rFonts w:hint="default" w:hAnsi="宋体"/>
              </w:rPr>
              <w:t>实施应用场景“十百千”工程。建设“10+”综合展现北京城市魅力和重要创新成果的特色示范性场景，复制和推广“100+”城市管理与服务典型新应用，壮大“1000+”具有爆发潜力的高成长性企业，聚焦“三城一区”、北京城市副中心、中国（河北）自由贸易试验区大兴机场片区等重点区域，加速新技术、新产品、新模式的推广应用，为企业创新发展提供更大市场空间，培育形成高效协同、智能融合的数字经济发展新生态。</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4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完善“城市大脑”经济应用，整合宏观经济数据、产业数据、企业数据和相应城市地理数据，推动数字贸易相关数据的综合集成，助推精准招商和企业发展。</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《浙江省国家数字经济创新发展试验区建设工作方案》：</w:t>
            </w:r>
            <w:r>
              <w:rPr>
                <w:rStyle w:val="19"/>
                <w:rFonts w:hint="default" w:hAnsi="宋体"/>
              </w:rPr>
              <w:t>（二）2.基于“城市大脑”实现公共服务便利化。推动“城市大脑”应用建设，依托省市两级公共数据平台，加强计算、数据资源整合、物联感知、算法服务、网络安全保障等五大基础能力建设，在设区市开展“城市大脑”应用、数据驾驶舱建设等探索，推动政企数据双向对接与开放，不断接入、叠加、升级行业应用，支撑跨领域、跨行业的协同应用。</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杭州/</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阿里云</w:t>
            </w:r>
          </w:p>
        </w:tc>
      </w:tr>
      <w:tr>
        <w:tblPrEx>
          <w:tblCellMar>
            <w:top w:w="0" w:type="dxa"/>
            <w:left w:w="0" w:type="dxa"/>
            <w:bottom w:w="0" w:type="dxa"/>
            <w:right w:w="0" w:type="dxa"/>
          </w:tblCellMar>
        </w:tblPrEx>
        <w:trPr>
          <w:gridAfter w:val="6"/>
          <w:wAfter w:w="9936" w:type="dxa"/>
          <w:trHeight w:val="243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加快智能技术体验应用，聚焦“数字亚运”，智能技术典型场景应用，围绕办赛、参赛、观赛等重点环节，加强数字孪生、云转播、沉浸式观赛、复眼摄像、多场景一脸通行等智能技术体验布局。</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《北京市加快新场景建设培育数字经济新生态行动方案》：</w:t>
            </w:r>
            <w:r>
              <w:rPr>
                <w:rStyle w:val="19"/>
                <w:rFonts w:hint="default" w:hAnsi="宋体"/>
              </w:rPr>
              <w:t>（八）面向“科技冬奥”，加快智能技术体验应用。聚焦“科技冬奥”智能技术典型场景应用，围绕办赛、参赛、观赛等重点环节，加强数字孪生、云转播、沉浸式观赛、复眼摄像、多场景一脸通行等智能技术体验布局。加快推动奥林匹克中心区、延庆赛区、首钢园区等三大智慧示范园区建设，打造基于人工智能技术深度集成利用的智慧场馆，推广自动驾驶、智慧导览、高清直播、智能机器人、数字化3D重建等技术在园区聚集应用，助力举办一届精彩、非凡、卓越的冬奥盛会。</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杭州</w:t>
            </w:r>
          </w:p>
        </w:tc>
      </w:tr>
      <w:tr>
        <w:tblPrEx>
          <w:tblCellMar>
            <w:top w:w="0" w:type="dxa"/>
            <w:left w:w="0" w:type="dxa"/>
            <w:bottom w:w="0" w:type="dxa"/>
            <w:right w:w="0" w:type="dxa"/>
          </w:tblCellMar>
        </w:tblPrEx>
        <w:trPr>
          <w:gridAfter w:val="6"/>
          <w:wAfter w:w="9936" w:type="dxa"/>
          <w:trHeight w:val="44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（十）加快推进数字制造场景。</w:t>
            </w:r>
          </w:p>
        </w:tc>
      </w:tr>
      <w:tr>
        <w:tblPrEx>
          <w:tblCellMar>
            <w:top w:w="0" w:type="dxa"/>
            <w:left w:w="0" w:type="dxa"/>
            <w:bottom w:w="0" w:type="dxa"/>
            <w:right w:w="0" w:type="dxa"/>
          </w:tblCellMar>
        </w:tblPrEx>
        <w:trPr>
          <w:gridAfter w:val="6"/>
          <w:wAfter w:w="9936" w:type="dxa"/>
          <w:trHeight w:val="13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实施“十百千万”智能化改造工程，加快智能制造单元、智能生产线、数字化车间、智能工厂建设，大力推广大规模个性化定制、网络化协同、服务型制造、共享制造等模式。</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《浙江省国家数字经济创新发展试验区建设工作方案》：</w:t>
            </w:r>
            <w:r>
              <w:rPr>
                <w:rStyle w:val="19"/>
                <w:rFonts w:hint="default" w:hAnsi="宋体"/>
              </w:rPr>
              <w:t>（二）2.实施“十百千万”智能化改造工程，加快智能制造单元、智能生产线、数字化车间、智能工厂建设，积极探索“未来工厂”建设标准和路径，大力推广大规模个性化定制、网络化协同、服务型制造、共享制造等模式，加快应用“工业大脑”等技术提升智能化水平。</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全省/</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阿里犀牛智造等</w:t>
            </w:r>
          </w:p>
        </w:tc>
      </w:tr>
      <w:tr>
        <w:tblPrEx>
          <w:tblCellMar>
            <w:top w:w="0" w:type="dxa"/>
            <w:left w:w="0" w:type="dxa"/>
            <w:bottom w:w="0" w:type="dxa"/>
            <w:right w:w="0" w:type="dxa"/>
          </w:tblCellMar>
        </w:tblPrEx>
        <w:trPr>
          <w:gridAfter w:val="6"/>
          <w:wAfter w:w="9936" w:type="dxa"/>
          <w:trHeight w:val="5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支持阿里巴巴等数字贸易企业参与传统制造业改造，积极探索“灯塔工厂”建设标准和路径。</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全省/</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阿里巴巴集团</w:t>
            </w:r>
          </w:p>
        </w:tc>
      </w:tr>
      <w:tr>
        <w:tblPrEx>
          <w:tblCellMar>
            <w:top w:w="0" w:type="dxa"/>
            <w:left w:w="0" w:type="dxa"/>
            <w:bottom w:w="0" w:type="dxa"/>
            <w:right w:w="0" w:type="dxa"/>
          </w:tblCellMar>
        </w:tblPrEx>
        <w:trPr>
          <w:gridAfter w:val="6"/>
          <w:wAfter w:w="9936" w:type="dxa"/>
          <w:trHeight w:val="21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建设工业互联网平台体系，充分发挥supET工业互联网平台的先发优势和引领作用，培育和引进一批跨行业跨领域工业互联网平台。</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Style w:val="18"/>
                <w:rFonts w:hint="default" w:hAnsi="宋体"/>
              </w:rPr>
            </w:pPr>
            <w:r>
              <w:rPr>
                <w:rStyle w:val="18"/>
                <w:rFonts w:hint="default" w:hAnsi="宋体"/>
              </w:rPr>
              <w:t>《浙江省国家数字经济创新发展试验区建设工作方案》：</w:t>
            </w:r>
          </w:p>
          <w:p>
            <w:pPr>
              <w:widowControl/>
              <w:jc w:val="left"/>
              <w:textAlignment w:val="center"/>
              <w:rPr>
                <w:rFonts w:ascii="仿宋_GB2312" w:hAnsi="宋体" w:eastAsia="仿宋_GB2312" w:cs="仿宋_GB2312"/>
                <w:b/>
                <w:color w:val="000000"/>
                <w:sz w:val="22"/>
                <w:szCs w:val="22"/>
              </w:rPr>
            </w:pPr>
            <w:r>
              <w:rPr>
                <w:rStyle w:val="19"/>
                <w:rFonts w:hint="default" w:hAnsi="宋体"/>
              </w:rPr>
              <w:t>建设工业互联网平台体系，充分发挥supET工业互联网平台的先发优势和引领作用，培育和引进一批跨行业跨领域工业互联网平台，重点培育一批垂直行业工业互联网平台，培育一批特色区域工业互联网平台，打造一批军民融合领域的工业互联网平台。</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10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支持企业将云服务应用到生产领域，将消费者洞察、行业洞察与生产环节紧密相连，构建全球化的协同生产体系，建立基于数字技术的弹性供应链，为产品的研发和生产提供支持，构建产销一体化服务链。</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Style w:val="18"/>
                <w:rFonts w:hint="default" w:hAnsi="宋体"/>
              </w:rPr>
              <w:t>深圳前海《促进数字贸易快速发展的若干意见》：</w:t>
            </w:r>
            <w:r>
              <w:rPr>
                <w:rFonts w:hint="eastAsia" w:ascii="仿宋_GB2312" w:hAnsi="宋体" w:eastAsia="仿宋_GB2312" w:cs="仿宋_GB2312"/>
                <w:color w:val="000000"/>
                <w:kern w:val="0"/>
                <w:sz w:val="22"/>
                <w:szCs w:val="22"/>
              </w:rPr>
              <w:t>（十六）构建大湾区产销一体化服务链。</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9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发展基于工业互联网的大数据采集、储存、处理、分析、挖掘和交易等跨境服务。</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《全面深化服务贸易创新发展试点任务》第83条：</w:t>
            </w:r>
            <w:r>
              <w:rPr>
                <w:rStyle w:val="19"/>
                <w:rFonts w:hint="default" w:hAnsi="宋体"/>
              </w:rPr>
              <w:t>支持试点地区发展基于工业互联网的大数据采集、储存、处理、分析、挖掘和交易等跨境服务。</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（十一）加快推进贸易数字化场景。</w:t>
            </w:r>
          </w:p>
        </w:tc>
      </w:tr>
      <w:tr>
        <w:tblPrEx>
          <w:tblCellMar>
            <w:top w:w="0" w:type="dxa"/>
            <w:left w:w="0" w:type="dxa"/>
            <w:bottom w:w="0" w:type="dxa"/>
            <w:right w:w="0" w:type="dxa"/>
          </w:tblCellMar>
        </w:tblPrEx>
        <w:trPr>
          <w:gridAfter w:val="6"/>
          <w:wAfter w:w="9936" w:type="dxa"/>
          <w:trHeight w:val="97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推进数字技术在国际贸易交易流程中的应用，创新货物在途、在仓、交易、交付等数字化动态追踪管理模式，通过将交易双方身份、交易过程以及交易历史等关键信息和环节数字化，实现对交易方的评估和认定，为交易行为和质押融资等贸易金融模式提供多维度保障和支持。</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Style w:val="19"/>
                <w:rFonts w:hint="default" w:hAnsi="宋体"/>
              </w:rPr>
            </w:pPr>
            <w:r>
              <w:rPr>
                <w:rStyle w:val="18"/>
                <w:rFonts w:hint="default" w:hAnsi="宋体"/>
              </w:rPr>
              <w:t>中国(广东)自由贸易试验区深圳前海蛇口片区管理委员关于《促进数字贸易快速发展的若干意见》：（八）</w:t>
            </w:r>
            <w:r>
              <w:rPr>
                <w:rStyle w:val="19"/>
                <w:rFonts w:hint="default" w:hAnsi="宋体"/>
              </w:rPr>
              <w:t>突破传统国际贸易交易过程中相关方主要以形式真实方式进行互信认定的困局，通过将交易双方身份、交易过程以及交易历史等关键信息和环节数字化,结合区块链、大数据、人工智能等新科技手段，打造国际贸易全链条数字化交易体系，实现对交易方资信、交易方式以及过程的实质性评估和认定，在推动交易顺利达成的同时，为交易行为提供多维度充分保障和支持。</w:t>
            </w:r>
            <w:r>
              <w:rPr>
                <w:rStyle w:val="19"/>
                <w:rFonts w:hint="default" w:hAnsi="宋体"/>
                <w:b/>
                <w:bCs/>
              </w:rPr>
              <w:t>（十七）创建“前海·跨境在途”动态管理模式。</w:t>
            </w:r>
            <w:r>
              <w:rPr>
                <w:rStyle w:val="19"/>
                <w:rFonts w:hint="default" w:hAnsi="宋体"/>
              </w:rPr>
              <w:t>有效叠加各种数字技术工具，实现对主要贸易国家（地区）之间流转的商品进行数字化动态追踪管理，对货物在途、在仓、交易、交付等实时动态追踪管理，为创新“在途质押融资”</w:t>
            </w:r>
          </w:p>
          <w:p>
            <w:pPr>
              <w:widowControl/>
              <w:jc w:val="left"/>
              <w:textAlignment w:val="center"/>
              <w:rPr>
                <w:rFonts w:ascii="仿宋_GB2312" w:hAnsi="宋体" w:eastAsia="仿宋_GB2312" w:cs="仿宋_GB2312"/>
                <w:b/>
                <w:color w:val="000000"/>
                <w:sz w:val="22"/>
                <w:szCs w:val="22"/>
              </w:rPr>
            </w:pPr>
            <w:r>
              <w:rPr>
                <w:rStyle w:val="19"/>
                <w:rFonts w:hint="default" w:hAnsi="宋体"/>
              </w:rPr>
              <w:t>“在途货物交易”等新型国际贸易服务业态提供支撑。</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81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推动国际贸易“单一窗口”向“通关+物流”和“通关+金融”等更多服务贸易事项拓展。</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《全面深化服务贸易创新发展试点任务》第16条：</w:t>
            </w:r>
            <w:r>
              <w:rPr>
                <w:rStyle w:val="19"/>
                <w:rFonts w:hint="default" w:hAnsi="宋体"/>
              </w:rPr>
              <w:t>在试点地区，国际贸易“单一窗口”向更多服务贸易事项拓展。</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9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推动区块链技术应用于企业征信，营造有效的记录结算和信用流转的生态，提供数据征信模型，逐步实现从传统的金融征信向数据征信的转变。</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27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打造新兴数字营销场景和数字推广渠道，加强社交媒体作为虚拟电子商务营销场景的功能，依托阿里巴巴电子商务平台拓展浙江产品“卖全国”“卖全球”的数字化营销渠道。</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《上海市数字贸易发展行动方案(2019-2021年》（四）跨境电子商务：</w:t>
            </w:r>
            <w:r>
              <w:rPr>
                <w:rStyle w:val="19"/>
                <w:rFonts w:hint="default" w:hAnsi="宋体"/>
              </w:rPr>
              <w:t>推动跨境电商和新技术、新模式的深度融合发展，鼓励应用精准营销和智能营销，大力发展“社交+电商"的商业模式，加强社交媒体作为虚拟电子商务营销场景的功能，引导用户生成内容、增强现实技术应用、社交媒体广告投放、直播互动等业务有序发展，加快从“流量经济”向“信任经济”转变。</w:t>
            </w:r>
            <w:r>
              <w:rPr>
                <w:rStyle w:val="19"/>
                <w:rFonts w:hint="default" w:hAnsi="宋体"/>
              </w:rPr>
              <w:br w:type="textWrapping"/>
            </w:r>
            <w:r>
              <w:rPr>
                <w:rStyle w:val="18"/>
                <w:rFonts w:hint="default" w:hAnsi="宋体"/>
              </w:rPr>
              <w:t>《浙江省国家数字经济创新发展试验区建设工作方案》：</w:t>
            </w:r>
            <w:r>
              <w:rPr>
                <w:rStyle w:val="19"/>
                <w:rFonts w:hint="default" w:hAnsi="宋体"/>
              </w:rPr>
              <w:t>依托阿里巴巴电子商务平台构建中小企业数字化产销体系，拓展浙江制造“卖全国”“卖全球”的数字化营销渠道，联合各地打造一批地方特色数字化商贸市场和数字化产业带。</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20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65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打造数字贸易智慧结算中心，推动研发设计、采购生产、销售交易、物流仓储、结汇缴税等各环节中的结算行为数字化，推动数字贸易价值链、产业链和供应链资金集聚。</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Style w:val="18"/>
                <w:rFonts w:hint="default" w:hAnsi="宋体"/>
              </w:rPr>
            </w:pPr>
            <w:r>
              <w:rPr>
                <w:rStyle w:val="18"/>
                <w:rFonts w:hint="default" w:hAnsi="宋体"/>
              </w:rPr>
              <w:t>深圳前海《促进数字贸易快速发展的若干意见》：（十）建立数字贸易智慧化结算体系。</w:t>
            </w:r>
            <w:r>
              <w:rPr>
                <w:rStyle w:val="18"/>
                <w:rFonts w:hint="default" w:hAnsi="宋体"/>
                <w:b w:val="0"/>
                <w:bCs/>
              </w:rPr>
              <w:t>打破国际贸易结算中只关注交易支付单一环节的传统模式，建设数字贸易全价值链结算中心（包括设计、采购、生产、销售、仓储、物流、通关、金融等各环节之间的结算），探索实现“分段交易、智能结算”的数字贸易智慧化结算体系，大幅降低国际贸易各链条之间的交易成本，促使数字贸易全价值链资金向前海汇集。</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p>
        </w:tc>
      </w:tr>
      <w:tr>
        <w:tblPrEx>
          <w:tblCellMar>
            <w:top w:w="0" w:type="dxa"/>
            <w:left w:w="0" w:type="dxa"/>
            <w:bottom w:w="0" w:type="dxa"/>
            <w:right w:w="0" w:type="dxa"/>
          </w:tblCellMar>
        </w:tblPrEx>
        <w:trPr>
          <w:gridAfter w:val="6"/>
          <w:wAfter w:w="9936" w:type="dxa"/>
          <w:trHeight w:val="54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（十二）加快推进数字展览线上场景。</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w:t>
            </w:r>
          </w:p>
        </w:tc>
        <w:tc>
          <w:tcPr>
            <w:tcW w:w="4301"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加快数字贸易平台和载体建设，积极推进杭州大会展中心项目规划建设。</w:t>
            </w:r>
          </w:p>
        </w:tc>
        <w:tc>
          <w:tcPr>
            <w:tcW w:w="7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18"/>
                <w:rFonts w:hint="default" w:hAnsi="宋体"/>
              </w:rPr>
              <w:t>原创</w:t>
            </w:r>
          </w:p>
        </w:tc>
        <w:tc>
          <w:tcPr>
            <w:tcW w:w="241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杭州（钱塘新区）</w:t>
            </w:r>
          </w:p>
        </w:tc>
      </w:tr>
      <w:tr>
        <w:tblPrEx>
          <w:tblCellMar>
            <w:top w:w="0" w:type="dxa"/>
            <w:left w:w="0" w:type="dxa"/>
            <w:bottom w:w="0" w:type="dxa"/>
            <w:right w:w="0" w:type="dxa"/>
          </w:tblCellMar>
        </w:tblPrEx>
        <w:trPr>
          <w:gridAfter w:val="6"/>
          <w:wAfter w:w="9936" w:type="dxa"/>
          <w:trHeight w:val="8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w:t>
            </w:r>
          </w:p>
        </w:tc>
        <w:tc>
          <w:tcPr>
            <w:tcW w:w="4301"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举办全球数字贸易博览会，建成与广交会、京交会、上交会并列的国家级数字贸易交易会。</w:t>
            </w:r>
          </w:p>
        </w:tc>
        <w:tc>
          <w:tcPr>
            <w:tcW w:w="7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18"/>
                <w:rFonts w:hint="default" w:hAnsi="宋体"/>
              </w:rPr>
              <w:t>原创</w:t>
            </w:r>
          </w:p>
        </w:tc>
        <w:tc>
          <w:tcPr>
            <w:tcW w:w="241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计划在杭州市举办</w:t>
            </w:r>
          </w:p>
        </w:tc>
      </w:tr>
      <w:tr>
        <w:tblPrEx>
          <w:tblCellMar>
            <w:top w:w="0" w:type="dxa"/>
            <w:left w:w="0" w:type="dxa"/>
            <w:bottom w:w="0" w:type="dxa"/>
            <w:right w:w="0" w:type="dxa"/>
          </w:tblCellMar>
        </w:tblPrEx>
        <w:trPr>
          <w:gridAfter w:val="6"/>
          <w:wAfter w:w="9936" w:type="dxa"/>
          <w:trHeight w:val="6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提高展览场馆信息化水平，全面推进数字社交媒体在展览服务中的应用。</w:t>
            </w:r>
          </w:p>
        </w:tc>
        <w:tc>
          <w:tcPr>
            <w:tcW w:w="7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9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建设在线场馆，利用新兴技术提升客商画像能力，设置核心客群以及基础目标人群双查询模式，实现参展商和客商线上需求精准匹配。</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7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支持企业赴境外参加数字贸易展会，鼓励其他投资贸易类展会增设数字贸易展区。</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1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为重要展品进出境创造更大贸易便利，实现商务与海关等展览相关职能部门信息共享，实现一站式展览政务服务。</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18"/>
                <w:rFonts w:hint="default" w:hAnsi="宋体"/>
              </w:rPr>
              <w:t>《全面深化服务贸易创新发展试点任务》第10条：</w:t>
            </w:r>
            <w:r>
              <w:rPr>
                <w:rStyle w:val="19"/>
                <w:rFonts w:hint="default" w:hAnsi="宋体"/>
              </w:rPr>
              <w:t>为重要展品进出境创造更大贸易便利，对已获得我国检疫准入涉及检验检疫行政审评事项的有关展会进境动植物及产品，委托各直属海关办理。</w:t>
            </w:r>
          </w:p>
        </w:tc>
        <w:tc>
          <w:tcPr>
            <w:tcW w:w="241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六、提升数字贸易平台新能级</w:t>
            </w:r>
          </w:p>
        </w:tc>
      </w:tr>
      <w:tr>
        <w:tblPrEx>
          <w:tblCellMar>
            <w:top w:w="0" w:type="dxa"/>
            <w:left w:w="0" w:type="dxa"/>
            <w:bottom w:w="0" w:type="dxa"/>
            <w:right w:w="0" w:type="dxa"/>
          </w:tblCellMar>
        </w:tblPrEx>
        <w:trPr>
          <w:gridAfter w:val="6"/>
          <w:wAfter w:w="9936" w:type="dxa"/>
          <w:trHeight w:val="496"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序号</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具体措施</w:t>
            </w:r>
          </w:p>
        </w:tc>
        <w:tc>
          <w:tcPr>
            <w:tcW w:w="7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制度来源</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承接地区或企业项目</w:t>
            </w:r>
          </w:p>
        </w:tc>
      </w:tr>
      <w:tr>
        <w:tblPrEx>
          <w:tblCellMar>
            <w:top w:w="0" w:type="dxa"/>
            <w:left w:w="0" w:type="dxa"/>
            <w:bottom w:w="0" w:type="dxa"/>
            <w:right w:w="0" w:type="dxa"/>
          </w:tblCellMar>
        </w:tblPrEx>
        <w:trPr>
          <w:gridAfter w:val="6"/>
          <w:wAfter w:w="9936" w:type="dxa"/>
          <w:trHeight w:val="48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（十三）打造国家级数字服务出口核心平台</w:t>
            </w:r>
          </w:p>
        </w:tc>
      </w:tr>
      <w:tr>
        <w:tblPrEx>
          <w:tblCellMar>
            <w:top w:w="0" w:type="dxa"/>
            <w:left w:w="0" w:type="dxa"/>
            <w:bottom w:w="0" w:type="dxa"/>
            <w:right w:w="0" w:type="dxa"/>
          </w:tblCellMar>
        </w:tblPrEx>
        <w:trPr>
          <w:gridAfter w:val="6"/>
          <w:wAfter w:w="9936" w:type="dxa"/>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围绕数字安防技术、网络信息安全、区块链技术、数字云服务、数字内容、数字金融六大领域，提升高新区（滨江）物联网产业园竞争力，引领带动数字服务出口。</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高新区（滨江）</w:t>
            </w:r>
          </w:p>
        </w:tc>
      </w:tr>
      <w:tr>
        <w:tblPrEx>
          <w:tblCellMar>
            <w:top w:w="0" w:type="dxa"/>
            <w:left w:w="0" w:type="dxa"/>
            <w:bottom w:w="0" w:type="dxa"/>
            <w:right w:w="0" w:type="dxa"/>
          </w:tblCellMar>
        </w:tblPrEx>
        <w:trPr>
          <w:gridAfter w:val="6"/>
          <w:wAfter w:w="9936" w:type="dxa"/>
          <w:trHeight w:val="11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建设全球数字安防产业平台，重点发展视频监控AI芯片、终端设备以及解决方案，依托重点骨干企业打造数字识别（安防）全产业链。</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22"/>
                <w:rFonts w:hint="default" w:hAnsi="宋体"/>
              </w:rPr>
              <w:t>原创</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高新区（滨江）</w:t>
            </w:r>
          </w:p>
        </w:tc>
      </w:tr>
      <w:tr>
        <w:tblPrEx>
          <w:tblCellMar>
            <w:top w:w="0" w:type="dxa"/>
            <w:left w:w="0" w:type="dxa"/>
            <w:bottom w:w="0" w:type="dxa"/>
            <w:right w:w="0" w:type="dxa"/>
          </w:tblCellMar>
        </w:tblPrEx>
        <w:trPr>
          <w:gridAfter w:val="6"/>
          <w:wAfter w:w="9936" w:type="dxa"/>
          <w:trHeight w:val="68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建设数字一体化监管产业平台，充分利用大数据、人工智能、区块链、5G等先进信息技术，对涉及关键技术、平台安全、数据安全和个人隐私安全的服务贸易，加大综合监管。</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Style w:val="23"/>
                <w:rFonts w:hint="default" w:hAnsi="宋体"/>
              </w:rPr>
            </w:pPr>
            <w:r>
              <w:rPr>
                <w:rStyle w:val="22"/>
                <w:rFonts w:hint="default" w:hAnsi="宋体"/>
              </w:rPr>
              <w:t>全面深化服务贸易创新发展试点总方案：</w:t>
            </w:r>
            <w:r>
              <w:rPr>
                <w:rStyle w:val="23"/>
                <w:rFonts w:hint="default" w:hAnsi="宋体"/>
              </w:rPr>
              <w:br w:type="textWrapping"/>
            </w:r>
            <w:r>
              <w:rPr>
                <w:rStyle w:val="23"/>
                <w:rFonts w:hint="default" w:hAnsi="宋体"/>
              </w:rPr>
              <w:t>商务部116点：在数字服务出口基地，对涉及关键技术、平台安全、数据安全和个人隐私安全的服务贸易，加强综合监管，形成制度性成果。</w:t>
            </w:r>
          </w:p>
          <w:p>
            <w:pPr>
              <w:widowControl/>
              <w:jc w:val="left"/>
              <w:textAlignment w:val="center"/>
              <w:rPr>
                <w:rFonts w:ascii="仿宋_GB2312" w:hAnsi="宋体" w:eastAsia="仿宋_GB2312" w:cs="仿宋_GB2312"/>
                <w:b/>
                <w:color w:val="000000"/>
                <w:sz w:val="22"/>
                <w:szCs w:val="22"/>
              </w:rPr>
            </w:pPr>
            <w:r>
              <w:rPr>
                <w:rFonts w:ascii="仿宋_GB2312" w:hAnsi="宋体" w:eastAsia="仿宋_GB2312" w:cs="仿宋_GB2312"/>
                <w:b/>
                <w:color w:val="000000"/>
                <w:sz w:val="22"/>
                <w:szCs w:val="22"/>
              </w:rPr>
              <w:t>《中国（浙江）自由贸易试验区扩展区域方案》</w:t>
            </w:r>
            <w:r>
              <w:rPr>
                <w:rStyle w:val="23"/>
                <w:rFonts w:hint="default" w:hAnsi="宋体"/>
              </w:rPr>
              <w:t>：</w:t>
            </w:r>
            <w:r>
              <w:rPr>
                <w:rStyle w:val="23"/>
                <w:rFonts w:hint="default" w:hAnsi="宋体"/>
              </w:rPr>
              <w:br w:type="textWrapping"/>
            </w:r>
            <w:r>
              <w:rPr>
                <w:rStyle w:val="23"/>
                <w:rFonts w:hint="default" w:hAnsi="宋体"/>
              </w:rPr>
              <w:t>28条：打造数字一体化监管服务平台。充分利用大数据、人工智能、区块链、5G等先进信息技术，建设高标准智能化监管平台。在数字服务出口基地，对涉及关键技术、平台安全、数据安全和个人隐私安全的服务贸易，加强综合监管。</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5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建设跨境数字贸易区块链产业平台，注重源头管理，支持海关、税务机构、外汇管理机构、商业银行、电商平台等多方单位实现基于数据的综合服务与创新应用，提高各类交易和数据流通安全可信度。</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22"/>
                <w:rFonts w:hint="default" w:hAnsi="宋体"/>
              </w:rPr>
              <w:t>原创</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2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设立云端数据平台，深入实施企业“上云用云”行动，推广设备联网上云、数据集成上云等深度用云，以“业务+数据”双中台为核心技术，驱动企业数字化转型。</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Fonts w:ascii="仿宋_GB2312" w:hAnsi="宋体" w:eastAsia="仿宋_GB2312" w:cs="仿宋_GB2312"/>
                <w:b/>
                <w:color w:val="000000"/>
                <w:sz w:val="22"/>
                <w:szCs w:val="22"/>
              </w:rPr>
              <w:t>《浙江省国家数字经济创新发展试验区建设工作方案》</w:t>
            </w:r>
            <w:r>
              <w:rPr>
                <w:rStyle w:val="22"/>
                <w:rFonts w:hint="default" w:hAnsi="宋体"/>
              </w:rPr>
              <w:t>：</w:t>
            </w:r>
            <w:r>
              <w:rPr>
                <w:rStyle w:val="23"/>
                <w:rFonts w:hint="default" w:hAnsi="宋体"/>
              </w:rPr>
              <w:br w:type="textWrapping"/>
            </w:r>
            <w:r>
              <w:rPr>
                <w:rStyle w:val="23"/>
                <w:rFonts w:hint="default" w:hAnsi="宋体"/>
              </w:rPr>
              <w:t>35点：深入实施“企业上云”行动。</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3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建设数字文化产业平台，促进网络游戏、网络视听、网络文艺、数字影视、数字阅读、数字动漫、数字创意、互动新媒体等文化贸易创新发展。</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Fonts w:ascii="仿宋_GB2312" w:hAnsi="宋体" w:eastAsia="仿宋_GB2312" w:cs="仿宋_GB2312"/>
                <w:b/>
                <w:color w:val="000000"/>
                <w:sz w:val="22"/>
                <w:szCs w:val="22"/>
              </w:rPr>
              <w:t>《浙江省国家数字经济创新发展试验区建设工作方案》</w:t>
            </w:r>
            <w:r>
              <w:rPr>
                <w:rStyle w:val="22"/>
                <w:rFonts w:hint="default" w:hAnsi="宋体"/>
              </w:rPr>
              <w:t>：</w:t>
            </w:r>
            <w:r>
              <w:rPr>
                <w:rStyle w:val="23"/>
                <w:rFonts w:hint="default" w:hAnsi="宋体"/>
              </w:rPr>
              <w:br w:type="textWrapping"/>
            </w:r>
            <w:r>
              <w:rPr>
                <w:rStyle w:val="23"/>
                <w:rFonts w:hint="default" w:hAnsi="宋体"/>
              </w:rPr>
              <w:t>38点：发展数字文化产业。</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高新区（滨江）</w:t>
            </w:r>
          </w:p>
        </w:tc>
      </w:tr>
      <w:tr>
        <w:tblPrEx>
          <w:tblCellMar>
            <w:top w:w="0" w:type="dxa"/>
            <w:left w:w="0" w:type="dxa"/>
            <w:bottom w:w="0" w:type="dxa"/>
            <w:right w:w="0" w:type="dxa"/>
          </w:tblCellMar>
        </w:tblPrEx>
        <w:trPr>
          <w:gridAfter w:val="6"/>
          <w:wAfter w:w="9936" w:type="dxa"/>
          <w:trHeight w:val="12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建立立足杭州、覆盖浙江、辐射长三角地区的资本市场普惠金融产业平台，为境内外客户提供跨境支付、银行卡清算、跨境电商等服务。</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trHeight w:val="50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（十四）打造高能级数字贸易创新平台</w:t>
            </w:r>
          </w:p>
        </w:tc>
        <w:tc>
          <w:tcPr>
            <w:tcW w:w="3312" w:type="dxa"/>
            <w:gridSpan w:val="3"/>
          </w:tcPr>
          <w:p>
            <w:pPr>
              <w:widowControl/>
              <w:jc w:val="left"/>
            </w:pPr>
          </w:p>
        </w:tc>
        <w:tc>
          <w:tcPr>
            <w:tcW w:w="3312" w:type="dxa"/>
            <w:gridSpan w:val="2"/>
          </w:tcPr>
          <w:p>
            <w:pPr>
              <w:widowControl/>
              <w:jc w:val="left"/>
            </w:pP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余杭区</w:t>
            </w:r>
          </w:p>
          <w:p>
            <w:pPr>
              <w:widowControl/>
              <w:jc w:val="left"/>
            </w:pPr>
            <w:r>
              <w:rPr>
                <w:rFonts w:hint="eastAsia" w:ascii="仿宋_GB2312" w:hAnsi="宋体" w:eastAsia="仿宋_GB2312" w:cs="仿宋_GB2312"/>
                <w:color w:val="000000"/>
                <w:kern w:val="0"/>
                <w:sz w:val="22"/>
                <w:szCs w:val="22"/>
              </w:rPr>
              <w:t>阿里巴巴余杭区、阿里巴巴</w:t>
            </w:r>
          </w:p>
        </w:tc>
      </w:tr>
      <w:tr>
        <w:tblPrEx>
          <w:tblCellMar>
            <w:top w:w="0" w:type="dxa"/>
            <w:left w:w="0" w:type="dxa"/>
            <w:bottom w:w="0" w:type="dxa"/>
            <w:right w:w="0" w:type="dxa"/>
          </w:tblCellMar>
        </w:tblPrEx>
        <w:trPr>
          <w:gridAfter w:val="6"/>
          <w:wAfter w:w="9936" w:type="dxa"/>
          <w:trHeight w:val="205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建设科技研发中心，建设重大科研平台，大力推动之江实验室纳入国家实验室布局，加快培育省实验室、新型研发机构、技术创新中心等承接国家重大创新任务的战略科技力量</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商务部全面深化服务贸易创新发展试点总方案：</w:t>
            </w:r>
            <w:r>
              <w:rPr>
                <w:rStyle w:val="23"/>
                <w:rFonts w:hint="default" w:hAnsi="宋体"/>
              </w:rPr>
              <w:br w:type="textWrapping"/>
            </w:r>
            <w:r>
              <w:rPr>
                <w:rStyle w:val="23"/>
                <w:rFonts w:hint="default" w:hAnsi="宋体"/>
              </w:rPr>
              <w:t>（1）79点：支持创建粤港澳大湾区、</w:t>
            </w:r>
            <w:r>
              <w:rPr>
                <w:rStyle w:val="23"/>
                <w:rFonts w:hint="eastAsia" w:hAnsi="宋体" w:eastAsia="仿宋_GB2312"/>
                <w:lang w:eastAsia="zh-CN"/>
              </w:rPr>
              <w:t>京津冀</w:t>
            </w:r>
            <w:r>
              <w:rPr>
                <w:rStyle w:val="23"/>
                <w:rFonts w:hint="default" w:hAnsi="宋体"/>
              </w:rPr>
              <w:t>、长三角大数据技术国家工程实验室，推进大数据中心项目建设。探索建立粤港澳、</w:t>
            </w:r>
            <w:r>
              <w:rPr>
                <w:rStyle w:val="23"/>
                <w:rFonts w:hint="eastAsia" w:hAnsi="宋体" w:eastAsia="仿宋_GB2312"/>
                <w:lang w:eastAsia="zh-CN"/>
              </w:rPr>
              <w:t>京津冀</w:t>
            </w:r>
            <w:r>
              <w:rPr>
                <w:rStyle w:val="23"/>
                <w:rFonts w:hint="default" w:hAnsi="宋体"/>
              </w:rPr>
              <w:t>、长三角数据流动机制。</w:t>
            </w:r>
            <w:r>
              <w:rPr>
                <w:rStyle w:val="23"/>
                <w:rFonts w:hint="default" w:hAnsi="宋体"/>
              </w:rPr>
              <w:br w:type="textWrapping"/>
            </w:r>
            <w:r>
              <w:rPr>
                <w:rFonts w:ascii="仿宋_GB2312" w:hAnsi="宋体" w:eastAsia="仿宋_GB2312" w:cs="仿宋_GB2312"/>
                <w:b/>
                <w:color w:val="000000"/>
                <w:sz w:val="22"/>
                <w:szCs w:val="22"/>
              </w:rPr>
              <w:t>《浙江省国家数字经济创新发展试验区建设工作方案》</w:t>
            </w:r>
            <w:r>
              <w:rPr>
                <w:rStyle w:val="22"/>
                <w:rFonts w:hint="default" w:hAnsi="宋体"/>
              </w:rPr>
              <w:t>：</w:t>
            </w:r>
            <w:r>
              <w:rPr>
                <w:rStyle w:val="23"/>
                <w:rFonts w:hint="default" w:hAnsi="宋体"/>
              </w:rPr>
              <w:br w:type="textWrapping"/>
            </w:r>
            <w:r>
              <w:rPr>
                <w:rStyle w:val="23"/>
                <w:rFonts w:hint="default" w:hAnsi="宋体"/>
              </w:rPr>
              <w:t>（1）17点：建设高能级创新载体。</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1220" w:hRule="atLeast"/>
        </w:trPr>
        <w:tc>
          <w:tcPr>
            <w:tcW w:w="58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w:t>
            </w:r>
          </w:p>
        </w:tc>
        <w:tc>
          <w:tcPr>
            <w:tcW w:w="430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建设创新试验验证中心，推进名校大院建设，在数字技术领域建成一批具有国际先进水平的重大科研装置，部署一批网络安全攻防靶场、智能网联汽车测试场等关键技术验证平台。</w:t>
            </w:r>
          </w:p>
        </w:tc>
        <w:tc>
          <w:tcPr>
            <w:tcW w:w="7181"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Fonts w:ascii="仿宋_GB2312" w:hAnsi="宋体" w:eastAsia="仿宋_GB2312" w:cs="仿宋_GB2312"/>
                <w:b/>
                <w:color w:val="000000"/>
                <w:sz w:val="22"/>
                <w:szCs w:val="22"/>
              </w:rPr>
              <w:t>《浙江省国家数字经济创新发展试验区建设工作方案》</w:t>
            </w:r>
            <w:r>
              <w:rPr>
                <w:rStyle w:val="22"/>
                <w:rFonts w:hint="default" w:hAnsi="宋体"/>
              </w:rPr>
              <w:t>：</w:t>
            </w:r>
            <w:r>
              <w:rPr>
                <w:rStyle w:val="23"/>
                <w:rFonts w:hint="default" w:hAnsi="宋体"/>
              </w:rPr>
              <w:br w:type="textWrapping"/>
            </w:r>
            <w:r>
              <w:rPr>
                <w:rStyle w:val="23"/>
                <w:rFonts w:hint="default" w:hAnsi="宋体"/>
              </w:rPr>
              <w:t>（1）18点：打造创新试验验证平台。</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45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w:t>
            </w:r>
          </w:p>
        </w:tc>
        <w:tc>
          <w:tcPr>
            <w:tcW w:w="4301"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建设政企合作中心，鼓励支持民营科技企业承担政府科研项目和创新平台建设，与中国联通、华为、阿里云等知名云服务运营商建立技术合作关系。</w:t>
            </w:r>
          </w:p>
        </w:tc>
        <w:tc>
          <w:tcPr>
            <w:tcW w:w="7181"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rPr>
              <w:t>原创</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2530" w:hRule="atLeast"/>
        </w:trPr>
        <w:tc>
          <w:tcPr>
            <w:tcW w:w="582" w:type="dxa"/>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w:t>
            </w:r>
          </w:p>
        </w:tc>
        <w:tc>
          <w:tcPr>
            <w:tcW w:w="430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建设工业互联网应用中心，提升完善“1+N”工业互联网平台，推进长三角工业互联网一体化发展示范区等国家级平台建设。</w:t>
            </w:r>
          </w:p>
        </w:tc>
        <w:tc>
          <w:tcPr>
            <w:tcW w:w="7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Fonts w:ascii="仿宋_GB2312" w:hAnsi="宋体" w:eastAsia="仿宋_GB2312" w:cs="仿宋_GB2312"/>
                <w:b/>
                <w:color w:val="000000"/>
                <w:sz w:val="22"/>
                <w:szCs w:val="22"/>
              </w:rPr>
              <w:t>《浙江省国家数字经济创新发展试验区建设工作方案》</w:t>
            </w:r>
            <w:r>
              <w:rPr>
                <w:rStyle w:val="22"/>
                <w:rFonts w:hint="default" w:hAnsi="宋体"/>
              </w:rPr>
              <w:t>：</w:t>
            </w:r>
            <w:r>
              <w:rPr>
                <w:rStyle w:val="23"/>
                <w:rFonts w:hint="default" w:hAnsi="宋体"/>
              </w:rPr>
              <w:br w:type="textWrapping"/>
            </w:r>
            <w:r>
              <w:rPr>
                <w:rStyle w:val="23"/>
                <w:rFonts w:hint="default" w:hAnsi="宋体"/>
              </w:rPr>
              <w:t>33点：提升完善“1+N”工业互联网平台体系。</w:t>
            </w:r>
            <w:r>
              <w:rPr>
                <w:rStyle w:val="23"/>
                <w:rFonts w:hint="default" w:hAnsi="宋体"/>
              </w:rPr>
              <w:br w:type="textWrapping"/>
            </w:r>
            <w:r>
              <w:rPr>
                <w:rFonts w:ascii="仿宋_GB2312" w:hAnsi="宋体" w:eastAsia="仿宋_GB2312" w:cs="仿宋_GB2312"/>
                <w:b/>
                <w:color w:val="000000"/>
                <w:sz w:val="22"/>
                <w:szCs w:val="22"/>
              </w:rPr>
              <w:t>《浙江省国家数字经济创新发展试验区建设工作方案》</w:t>
            </w:r>
            <w:r>
              <w:rPr>
                <w:rStyle w:val="23"/>
                <w:rFonts w:hint="default" w:hAnsi="宋体"/>
              </w:rPr>
              <w:t>：</w:t>
            </w:r>
            <w:r>
              <w:rPr>
                <w:rStyle w:val="23"/>
                <w:rFonts w:hint="default" w:hAnsi="宋体"/>
              </w:rPr>
              <w:br w:type="textWrapping"/>
            </w:r>
            <w:r>
              <w:rPr>
                <w:rStyle w:val="23"/>
                <w:rFonts w:hint="default" w:hAnsi="宋体"/>
              </w:rPr>
              <w:t>28点：建设数字自贸区。</w:t>
            </w:r>
            <w:r>
              <w:rPr>
                <w:rStyle w:val="23"/>
                <w:rFonts w:hint="default" w:hAnsi="宋体"/>
              </w:rPr>
              <w:br w:type="textWrapping"/>
            </w:r>
            <w:r>
              <w:rPr>
                <w:rStyle w:val="23"/>
                <w:rFonts w:hint="default" w:hAnsi="宋体"/>
              </w:rPr>
              <w:t>50点：建设长三角工业互联网一体化示范区。</w:t>
            </w:r>
            <w:r>
              <w:rPr>
                <w:rStyle w:val="23"/>
                <w:rFonts w:hint="default" w:hAnsi="宋体"/>
              </w:rPr>
              <w:br w:type="textWrapping"/>
            </w:r>
            <w:r>
              <w:rPr>
                <w:rStyle w:val="22"/>
                <w:rFonts w:hint="default" w:hAnsi="宋体"/>
              </w:rPr>
              <w:t>中国（湖南）自贸区方案：</w:t>
            </w:r>
            <w:r>
              <w:rPr>
                <w:rStyle w:val="23"/>
                <w:rFonts w:hint="default" w:hAnsi="宋体"/>
              </w:rPr>
              <w:br w:type="textWrapping"/>
            </w:r>
            <w:r>
              <w:rPr>
                <w:rStyle w:val="23"/>
                <w:rFonts w:hint="default" w:hAnsi="宋体"/>
              </w:rPr>
              <w:t>第20点：促进制造业数字化智能化转型，支持建设工业互联网平台，加大信息技术应用创新适配中心和运维服务等公共服务平台建设力度。</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全省</w:t>
            </w:r>
          </w:p>
        </w:tc>
      </w:tr>
      <w:tr>
        <w:tblPrEx>
          <w:tblCellMar>
            <w:top w:w="0" w:type="dxa"/>
            <w:left w:w="0" w:type="dxa"/>
            <w:bottom w:w="0" w:type="dxa"/>
            <w:right w:w="0" w:type="dxa"/>
          </w:tblCellMar>
        </w:tblPrEx>
        <w:trPr>
          <w:gridAfter w:val="6"/>
          <w:wAfter w:w="9936" w:type="dxa"/>
          <w:trHeight w:val="18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w:t>
            </w:r>
          </w:p>
        </w:tc>
        <w:tc>
          <w:tcPr>
            <w:tcW w:w="430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建设全国大数据交换系统贸易网，打造枢纽型国际化贸易数据交流中心，共建支付、金融等数字化生态圈。</w:t>
            </w:r>
          </w:p>
        </w:tc>
        <w:tc>
          <w:tcPr>
            <w:tcW w:w="7181"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商务部全面深化服务贸易创新发展试点总方案：</w:t>
            </w:r>
            <w:r>
              <w:rPr>
                <w:rStyle w:val="23"/>
                <w:rFonts w:hint="default" w:hAnsi="宋体"/>
              </w:rPr>
              <w:br w:type="textWrapping"/>
            </w:r>
            <w:r>
              <w:rPr>
                <w:rStyle w:val="23"/>
                <w:rFonts w:hint="default" w:hAnsi="宋体"/>
              </w:rPr>
              <w:t>79点：探索建立粤港澳、</w:t>
            </w:r>
            <w:r>
              <w:rPr>
                <w:rStyle w:val="23"/>
                <w:rFonts w:hint="eastAsia" w:hAnsi="宋体" w:eastAsia="仿宋_GB2312"/>
                <w:lang w:eastAsia="zh-CN"/>
              </w:rPr>
              <w:t>京津冀</w:t>
            </w:r>
            <w:r>
              <w:rPr>
                <w:rStyle w:val="23"/>
                <w:rFonts w:hint="default" w:hAnsi="宋体"/>
              </w:rPr>
              <w:t>、长三角数据流动机制。</w:t>
            </w:r>
            <w:r>
              <w:rPr>
                <w:rStyle w:val="23"/>
                <w:rFonts w:hint="default" w:hAnsi="宋体"/>
              </w:rPr>
              <w:br w:type="textWrapping"/>
            </w:r>
            <w:r>
              <w:rPr>
                <w:rStyle w:val="23"/>
                <w:rFonts w:hint="default" w:hAnsi="宋体"/>
              </w:rPr>
              <w:t>浙江省国家经济创新发展试验区：</w:t>
            </w:r>
            <w:r>
              <w:rPr>
                <w:rStyle w:val="22"/>
                <w:rFonts w:hint="default" w:hAnsi="宋体"/>
              </w:rPr>
              <w:t>上海市数字贸易发展行动方案（2019-2021年）：</w:t>
            </w:r>
            <w:r>
              <w:rPr>
                <w:rStyle w:val="23"/>
                <w:rFonts w:hint="default" w:hAnsi="宋体"/>
              </w:rPr>
              <w:br w:type="textWrapping"/>
            </w:r>
            <w:r>
              <w:rPr>
                <w:rStyle w:val="23"/>
                <w:rFonts w:hint="default" w:hAnsi="宋体"/>
              </w:rPr>
              <w:t>3点：加快打造“数字贸易国际枢纽港”的总部集聚功能。</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190" w:hRule="atLeast"/>
        </w:trPr>
        <w:tc>
          <w:tcPr>
            <w:tcW w:w="58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建设科技创新中心，加强三省一市科技、人才、产业对接和优势整合，研究谋划区域科技协同创新的新政策、新平台、新路径，共同打造具有全球影响力的科技创新中心。</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Fonts w:ascii="仿宋_GB2312" w:hAnsi="宋体" w:eastAsia="仿宋_GB2312" w:cs="仿宋_GB2312"/>
                <w:b/>
                <w:color w:val="000000"/>
                <w:sz w:val="22"/>
                <w:szCs w:val="22"/>
              </w:rPr>
              <w:t>《浙江省国家数字经济创新发展试验区建设工作方案》</w:t>
            </w:r>
            <w:r>
              <w:rPr>
                <w:rStyle w:val="22"/>
                <w:rFonts w:hint="default" w:hAnsi="宋体"/>
              </w:rPr>
              <w:t>：</w:t>
            </w:r>
            <w:r>
              <w:rPr>
                <w:rStyle w:val="23"/>
                <w:rFonts w:hint="default" w:hAnsi="宋体"/>
              </w:rPr>
              <w:br w:type="textWrapping"/>
            </w:r>
            <w:r>
              <w:rPr>
                <w:rStyle w:val="23"/>
                <w:rFonts w:hint="default" w:hAnsi="宋体"/>
              </w:rPr>
              <w:t>（1）53点：打造长三角协同创新共同体</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228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建设金融科技中心，支持人民银行数字货币研究所在杭设立金融科技中心，积极争取开展央行数字货币（DC/EP）试点，探索建设法定数字货币试验区。</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全面深化服务贸易创新发展试点总方案：</w:t>
            </w:r>
            <w:r>
              <w:rPr>
                <w:rStyle w:val="23"/>
                <w:rFonts w:hint="default" w:hAnsi="宋体"/>
              </w:rPr>
              <w:br w:type="textWrapping"/>
            </w:r>
            <w:r>
              <w:rPr>
                <w:rStyle w:val="23"/>
                <w:rFonts w:hint="default" w:hAnsi="宋体"/>
              </w:rPr>
              <w:t>商务部93点：在</w:t>
            </w:r>
            <w:r>
              <w:rPr>
                <w:rStyle w:val="23"/>
                <w:rFonts w:hint="eastAsia" w:hAnsi="宋体" w:eastAsia="仿宋_GB2312"/>
                <w:lang w:eastAsia="zh-CN"/>
              </w:rPr>
              <w:t>京津冀</w:t>
            </w:r>
            <w:r>
              <w:rPr>
                <w:rStyle w:val="23"/>
                <w:rFonts w:hint="default" w:hAnsi="宋体"/>
              </w:rPr>
              <w:t>、长三角、粤港澳大湾区及中西部具备条件的试点地区开展数字人民币施试点。</w:t>
            </w:r>
            <w:r>
              <w:rPr>
                <w:rStyle w:val="23"/>
                <w:rFonts w:hint="default" w:hAnsi="宋体"/>
              </w:rPr>
              <w:br w:type="textWrapping"/>
            </w:r>
            <w:r>
              <w:rPr>
                <w:rStyle w:val="22"/>
                <w:rFonts w:hint="default" w:hAnsi="宋体"/>
              </w:rPr>
              <w:t>中国（北京）自贸区方案：</w:t>
            </w:r>
            <w:r>
              <w:rPr>
                <w:rStyle w:val="23"/>
                <w:rFonts w:hint="default" w:hAnsi="宋体"/>
              </w:rPr>
              <w:br w:type="textWrapping"/>
            </w:r>
            <w:r>
              <w:rPr>
                <w:rStyle w:val="23"/>
                <w:rFonts w:hint="default" w:hAnsi="宋体"/>
              </w:rPr>
              <w:t>第5点：支持人民银行数字货币研究所设立金融科技中心，建设法定数字货币试验区和数字金融体系，依托人民银行贸易金融区块链平台，形成贸易金融区块链标准体系，加强监管创新。</w:t>
            </w:r>
          </w:p>
        </w:tc>
        <w:tc>
          <w:tcPr>
            <w:tcW w:w="24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积极争取杭州纳入数字货币试点</w:t>
            </w:r>
          </w:p>
        </w:tc>
      </w:tr>
      <w:tr>
        <w:tblPrEx>
          <w:tblCellMar>
            <w:top w:w="0" w:type="dxa"/>
            <w:left w:w="0" w:type="dxa"/>
            <w:bottom w:w="0" w:type="dxa"/>
            <w:right w:w="0" w:type="dxa"/>
          </w:tblCellMar>
        </w:tblPrEx>
        <w:trPr>
          <w:gridAfter w:val="6"/>
          <w:wAfter w:w="9936" w:type="dxa"/>
          <w:trHeight w:val="1280" w:hRule="atLeast"/>
        </w:trPr>
        <w:tc>
          <w:tcPr>
            <w:tcW w:w="58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建设数字贸易资源配置和项目对接中心，加快推进数字化市场网络建设，以“一带一路”沿线国家重要城市以及友好城市的数字贸易采购商和服务商为对象，推动建立全球数字合作城市联盟。</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上海市数字贸易发展行动方案（2019-2021年）：</w:t>
            </w:r>
            <w:r>
              <w:rPr>
                <w:rStyle w:val="23"/>
                <w:rFonts w:hint="default" w:hAnsi="宋体"/>
              </w:rPr>
              <w:br w:type="textWrapping"/>
            </w:r>
            <w:r>
              <w:rPr>
                <w:rStyle w:val="23"/>
                <w:rFonts w:hint="default" w:hAnsi="宋体"/>
              </w:rPr>
              <w:t>（1）第12点：推动建立数字合作城市联盟。</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547" w:hRule="atLeast"/>
        </w:trPr>
        <w:tc>
          <w:tcPr>
            <w:tcW w:w="14474" w:type="dxa"/>
            <w:gridSpan w:val="6"/>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b/>
                <w:color w:val="000000"/>
                <w:kern w:val="0"/>
                <w:szCs w:val="21"/>
              </w:rPr>
              <w:t>（十五）打造数字贸易服务促进平台</w:t>
            </w:r>
          </w:p>
        </w:tc>
      </w:tr>
      <w:tr>
        <w:tblPrEx>
          <w:tblCellMar>
            <w:top w:w="0" w:type="dxa"/>
            <w:left w:w="0" w:type="dxa"/>
            <w:bottom w:w="0" w:type="dxa"/>
            <w:right w:w="0" w:type="dxa"/>
          </w:tblCellMar>
        </w:tblPrEx>
        <w:trPr>
          <w:gridAfter w:val="6"/>
          <w:wAfter w:w="9936" w:type="dxa"/>
          <w:trHeight w:val="21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设立数字贸易线上线下服务平台，搭载企业展示、海外推介、信息共享、项目对接、版权服务、影视文化、金融服务等核心功能，实现数字贸易功能的集聚。</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22"/>
                <w:rFonts w:hint="default" w:hAnsi="宋体"/>
              </w:rPr>
              <w:t>原创</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54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联动政府部门、企事业单位、贸易物流企业、国内外</w:t>
            </w:r>
            <w:r>
              <w:rPr>
                <w:rFonts w:hint="eastAsia" w:ascii="仿宋_GB2312" w:hAnsi="宋体" w:eastAsia="仿宋_GB2312" w:cs="仿宋_GB2312"/>
                <w:color w:val="000000"/>
                <w:kern w:val="0"/>
                <w:sz w:val="22"/>
                <w:szCs w:val="22"/>
              </w:rPr>
              <w:t>数字服务</w:t>
            </w:r>
            <w:r>
              <w:rPr>
                <w:rFonts w:ascii="仿宋_GB2312" w:hAnsi="宋体" w:eastAsia="仿宋_GB2312" w:cs="仿宋_GB2312"/>
                <w:color w:val="000000"/>
                <w:kern w:val="0"/>
                <w:sz w:val="22"/>
                <w:szCs w:val="22"/>
              </w:rPr>
              <w:t>企业等各方资源和数据，建设</w:t>
            </w:r>
            <w:r>
              <w:rPr>
                <w:rFonts w:hint="eastAsia" w:ascii="仿宋_GB2312" w:hAnsi="宋体" w:eastAsia="仿宋_GB2312" w:cs="仿宋_GB2312"/>
                <w:color w:val="000000"/>
                <w:kern w:val="0"/>
                <w:sz w:val="22"/>
                <w:szCs w:val="22"/>
              </w:rPr>
              <w:t>数字贸易产业促进联盟，形成“政产学研用”的合作平台。</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深圳前海</w:t>
            </w:r>
            <w:r>
              <w:rPr>
                <w:rStyle w:val="18"/>
                <w:rFonts w:hint="default" w:hAnsi="宋体"/>
              </w:rPr>
              <w:t>《促进数字贸易快速发展的若干意见》：</w:t>
            </w:r>
            <w:r>
              <w:rPr>
                <w:rStyle w:val="22"/>
                <w:rFonts w:hint="default" w:hAnsi="宋体"/>
              </w:rPr>
              <w:t>（二十）</w:t>
            </w:r>
            <w:r>
              <w:rPr>
                <w:rStyle w:val="22"/>
                <w:rFonts w:hint="default" w:hAnsi="宋体"/>
                <w:b w:val="0"/>
              </w:rPr>
              <w:t>组建前海数字贸易产业促进联盟。</w:t>
            </w:r>
            <w:r>
              <w:rPr>
                <w:rStyle w:val="22"/>
                <w:rFonts w:hint="default" w:hAnsi="宋体"/>
                <w:b w:val="0"/>
                <w:bCs/>
              </w:rPr>
              <w:t>组建前海数字贸易产业促进联盟，整合前海优质国际贸易产业数字化资源，打造以满足前海国际贸易高质量发展为核心，集整体形象展示、前海模式复制推广、国际贸易产业数字化、数字贸易标准制定、专业人才培训等于一体的“政、产、学、研、用”合作平台。</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9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搭建境外数字贸易网络，联动“走出去”重点企业，建设具备“海外仓”、“体验店”、采购、仓储等功能的境外网络服务平台。</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深圳前海</w:t>
            </w:r>
            <w:r>
              <w:rPr>
                <w:rFonts w:ascii="仿宋_GB2312" w:hAnsi="宋体" w:eastAsia="仿宋_GB2312" w:cs="仿宋_GB2312"/>
                <w:b/>
                <w:color w:val="000000"/>
                <w:sz w:val="22"/>
                <w:szCs w:val="22"/>
              </w:rPr>
              <w:t>《促进数字贸易快速发展的若干意见》</w:t>
            </w:r>
            <w:r>
              <w:rPr>
                <w:rStyle w:val="22"/>
                <w:rFonts w:hint="default" w:hAnsi="宋体"/>
              </w:rPr>
              <w:t>：</w:t>
            </w:r>
            <w:r>
              <w:rPr>
                <w:rStyle w:val="23"/>
                <w:rFonts w:hint="default" w:hAnsi="宋体"/>
              </w:rPr>
              <w:br w:type="textWrapping"/>
            </w:r>
            <w:r>
              <w:rPr>
                <w:rStyle w:val="23"/>
                <w:rFonts w:hint="default" w:hAnsi="宋体"/>
              </w:rPr>
              <w:t>（1）第十八条：搭建“前海</w:t>
            </w:r>
            <w:r>
              <w:rPr>
                <w:rStyle w:val="24"/>
                <w:rFonts w:eastAsia="仿宋_GB2312"/>
              </w:rPr>
              <w:t>·</w:t>
            </w:r>
            <w:r>
              <w:rPr>
                <w:rStyle w:val="23"/>
                <w:rFonts w:hint="default" w:hAnsi="宋体"/>
              </w:rPr>
              <w:t>丝路E站”数字贸易网络。</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22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全数字贸易政策和服务体系，支持设立一批信息技术、文化贸易、旅游服务等专业服务平台，为“一带一路”沿线乃至全球范围内的数字内容、服务与产品的展示、交流和对接等提供国际化、专业化、便利化服务。</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中国（湖南）自贸区方案：</w:t>
            </w:r>
            <w:r>
              <w:rPr>
                <w:rStyle w:val="23"/>
                <w:rFonts w:hint="default" w:hAnsi="宋体"/>
              </w:rPr>
              <w:br w:type="textWrapping"/>
            </w:r>
            <w:r>
              <w:rPr>
                <w:rStyle w:val="23"/>
                <w:rFonts w:hint="default" w:hAnsi="宋体"/>
              </w:rPr>
              <w:t>第5点：健全对外投资政策和服务体系，建立湖南省“一带一路”投资综合服务平台。</w:t>
            </w:r>
            <w:r>
              <w:rPr>
                <w:rStyle w:val="23"/>
                <w:rFonts w:hint="default" w:hAnsi="宋体"/>
              </w:rPr>
              <w:br w:type="textWrapping"/>
            </w:r>
            <w:r>
              <w:rPr>
                <w:rStyle w:val="22"/>
                <w:rFonts w:hint="default" w:hAnsi="宋体"/>
              </w:rPr>
              <w:t>上海市数字贸易发展行动方案（2019-2021年）：</w:t>
            </w:r>
            <w:r>
              <w:rPr>
                <w:rStyle w:val="23"/>
                <w:rFonts w:hint="default" w:hAnsi="宋体"/>
              </w:rPr>
              <w:br w:type="textWrapping"/>
            </w:r>
            <w:r>
              <w:rPr>
                <w:rStyle w:val="23"/>
                <w:rFonts w:hint="default" w:hAnsi="宋体"/>
              </w:rPr>
              <w:t>（1）第10点：支持一批信息技术、文化贸易、专业服务、旅游服务合作平台，为“一带一路”沿线乃至全球范围内的数字内容、服务与产品的展示、交流和对接等提供国际化、专业化、便利化服务。</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40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打造数据对接服务平台，联动示范区内政府部门、企事业单位、贸易物流企业各方信息系统资源和数据资源，依法依规加快推动公共数据开放，建设国际贸易信息化体系，推动政务数据与社会化数据的对接。</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Style w:val="23"/>
                <w:rFonts w:hint="default" w:hAnsi="宋体"/>
              </w:rPr>
            </w:pPr>
            <w:r>
              <w:rPr>
                <w:rStyle w:val="22"/>
                <w:rFonts w:hint="default" w:hAnsi="宋体"/>
              </w:rPr>
              <w:t>北京市新一轮服务业扩大开放综合试点方案：</w:t>
            </w:r>
            <w:r>
              <w:rPr>
                <w:rStyle w:val="23"/>
                <w:rFonts w:hint="default" w:hAnsi="宋体"/>
              </w:rPr>
              <w:br w:type="textWrapping"/>
            </w:r>
            <w:r>
              <w:rPr>
                <w:rStyle w:val="23"/>
                <w:rFonts w:hint="default" w:hAnsi="宋体"/>
              </w:rPr>
              <w:t>（1）第2点：加快推动公共数据开放，引导社会机构依法开放自由数据，支持北京市再特定领域开展央地数据合作，推动政务数据与社会化数据平台对接。</w:t>
            </w:r>
          </w:p>
          <w:p>
            <w:pPr>
              <w:widowControl/>
              <w:jc w:val="left"/>
              <w:textAlignment w:val="center"/>
              <w:rPr>
                <w:rStyle w:val="23"/>
                <w:rFonts w:hint="default" w:hAnsi="宋体"/>
              </w:rPr>
            </w:pPr>
            <w:r>
              <w:rPr>
                <w:rStyle w:val="18"/>
                <w:rFonts w:hint="default" w:hAnsi="宋体"/>
              </w:rPr>
              <w:t>深圳前海《促进数字贸易快速发展的若干意见》：</w:t>
            </w:r>
            <w:r>
              <w:rPr>
                <w:rStyle w:val="18"/>
                <w:rFonts w:hint="default" w:hAnsi="宋体"/>
                <w:b w:val="0"/>
              </w:rPr>
              <w:t>（五）建设数字贸易综合服务平台。</w:t>
            </w:r>
            <w:r>
              <w:rPr>
                <w:rStyle w:val="18"/>
                <w:rFonts w:hint="default" w:hAnsi="宋体"/>
                <w:b w:val="0"/>
                <w:bCs/>
              </w:rPr>
              <w:t>前海数字贸易综合服务平台是前海数字贸易生态的核心载体，在夯实前海国际贸易信息化的基础上，重点引入人工智能、物联网、区块链、5G、云计算等新技术，全面提升前海国际贸易产业发展基础。联动深圳市及前海蛇口自贸片区内政府部门、企事业单位、贸易物流企业等各方信息系统资源和数据资源，建设前海国际贸易信息化体系，最终形成前海贸易产业数字化底盘。</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2"/>
          <w:wAfter w:w="5466" w:type="dxa"/>
          <w:trHeight w:val="567"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七、完善数字贸易治理新体系</w:t>
            </w:r>
          </w:p>
        </w:tc>
        <w:tc>
          <w:tcPr>
            <w:tcW w:w="1490" w:type="dxa"/>
          </w:tcPr>
          <w:p>
            <w:pPr>
              <w:widowControl/>
              <w:jc w:val="left"/>
            </w:pPr>
          </w:p>
        </w:tc>
        <w:tc>
          <w:tcPr>
            <w:tcW w:w="1490" w:type="dxa"/>
          </w:tcPr>
          <w:p>
            <w:pPr>
              <w:widowControl/>
              <w:jc w:val="left"/>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r>
              <w:rPr>
                <w:rFonts w:hint="eastAsia" w:ascii="仿宋_GB2312" w:hAnsi="宋体" w:eastAsia="仿宋_GB2312" w:cs="仿宋_GB2312"/>
                <w:b/>
                <w:color w:val="000000"/>
                <w:kern w:val="0"/>
                <w:szCs w:val="21"/>
              </w:rPr>
              <w:t>承接地区或企业项目</w:t>
            </w:r>
          </w:p>
        </w:tc>
      </w:tr>
      <w:tr>
        <w:tblPrEx>
          <w:tblCellMar>
            <w:top w:w="0" w:type="dxa"/>
            <w:left w:w="0" w:type="dxa"/>
            <w:bottom w:w="0" w:type="dxa"/>
            <w:right w:w="0" w:type="dxa"/>
          </w:tblCellMar>
        </w:tblPrEx>
        <w:trPr>
          <w:gridAfter w:val="6"/>
          <w:wAfter w:w="9936" w:type="dxa"/>
          <w:trHeight w:val="4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序号</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具体措施</w:t>
            </w:r>
          </w:p>
        </w:tc>
        <w:tc>
          <w:tcPr>
            <w:tcW w:w="7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制度来源</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承接地区或企业项目</w:t>
            </w:r>
          </w:p>
        </w:tc>
      </w:tr>
      <w:tr>
        <w:tblPrEx>
          <w:tblCellMar>
            <w:top w:w="0" w:type="dxa"/>
            <w:left w:w="0" w:type="dxa"/>
            <w:bottom w:w="0" w:type="dxa"/>
            <w:right w:w="0" w:type="dxa"/>
          </w:tblCellMar>
        </w:tblPrEx>
        <w:trPr>
          <w:gridAfter w:val="6"/>
          <w:wAfter w:w="9936" w:type="dxa"/>
          <w:trHeight w:val="420" w:hRule="atLeast"/>
        </w:trPr>
        <w:tc>
          <w:tcPr>
            <w:tcW w:w="14474" w:type="dxa"/>
            <w:gridSpan w:val="6"/>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Cs w:val="21"/>
              </w:rPr>
            </w:pPr>
            <w:r>
              <w:rPr>
                <w:rFonts w:hint="eastAsia" w:ascii="仿宋_GB2312" w:hAnsi="宋体" w:eastAsia="仿宋_GB2312" w:cs="仿宋_GB2312"/>
                <w:b/>
                <w:color w:val="000000"/>
                <w:kern w:val="0"/>
                <w:szCs w:val="21"/>
              </w:rPr>
              <w:t>（十六）推动数字贸易制度体系建设。</w:t>
            </w:r>
          </w:p>
        </w:tc>
      </w:tr>
      <w:tr>
        <w:tblPrEx>
          <w:tblCellMar>
            <w:top w:w="0" w:type="dxa"/>
            <w:left w:w="0" w:type="dxa"/>
            <w:bottom w:w="0" w:type="dxa"/>
            <w:right w:w="0" w:type="dxa"/>
          </w:tblCellMar>
        </w:tblPrEx>
        <w:trPr>
          <w:gridAfter w:val="6"/>
          <w:wAfter w:w="9936" w:type="dxa"/>
          <w:trHeight w:val="760" w:hRule="atLeast"/>
        </w:trPr>
        <w:tc>
          <w:tcPr>
            <w:tcW w:w="58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92</w:t>
            </w:r>
          </w:p>
        </w:tc>
        <w:tc>
          <w:tcPr>
            <w:tcW w:w="430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进一步丰富国际贸易“单一窗口”功能，将服务贸易管理事项纳入“单一窗口”管理。</w:t>
            </w:r>
          </w:p>
        </w:tc>
        <w:tc>
          <w:tcPr>
            <w:tcW w:w="7181" w:type="dxa"/>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b/>
                <w:color w:val="000000"/>
                <w:szCs w:val="21"/>
              </w:rPr>
            </w:pPr>
            <w:r>
              <w:rPr>
                <w:rFonts w:ascii="仿宋_GB2312" w:hAnsi="宋体" w:eastAsia="仿宋_GB2312" w:cs="仿宋_GB2312"/>
                <w:b/>
                <w:color w:val="000000"/>
                <w:szCs w:val="21"/>
              </w:rPr>
              <w:t>《中国（浙江）自由贸易试验区扩展区域方案》</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16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全面深化服务贸易创新发展试点，推动服务外包向高技术、高品质、高效益、高附加值转型升级，加快信息服务、文化贸易、技术贸易等新兴服务贸易发展，探索以高端服务为先导的“数字+服务”新业态新模式</w:t>
            </w:r>
          </w:p>
        </w:tc>
        <w:tc>
          <w:tcPr>
            <w:tcW w:w="7181" w:type="dxa"/>
            <w:vMerge w:val="restart"/>
            <w:tcBorders>
              <w:top w:val="single" w:color="000000" w:sz="4" w:space="0"/>
              <w:left w:val="single" w:color="000000" w:sz="4" w:space="0"/>
              <w:right w:val="single" w:color="auto" w:sz="4" w:space="0"/>
            </w:tcBorders>
            <w:shd w:val="clear" w:color="auto" w:fill="FFFFFF"/>
            <w:tcMar>
              <w:top w:w="15" w:type="dxa"/>
              <w:left w:w="15" w:type="dxa"/>
              <w:right w:w="15" w:type="dxa"/>
            </w:tcMar>
            <w:vAlign w:val="center"/>
          </w:tcPr>
          <w:p>
            <w:pPr>
              <w:jc w:val="left"/>
              <w:rPr>
                <w:rFonts w:ascii="仿宋_GB2312" w:hAnsi="宋体" w:eastAsia="仿宋_GB2312" w:cs="仿宋_GB2312"/>
                <w:b/>
                <w:color w:val="000000"/>
                <w:szCs w:val="21"/>
              </w:rPr>
            </w:pPr>
            <w:r>
              <w:rPr>
                <w:rFonts w:ascii="仿宋_GB2312" w:hAnsi="宋体" w:eastAsia="仿宋_GB2312" w:cs="仿宋_GB2312"/>
                <w:b/>
                <w:color w:val="000000"/>
                <w:szCs w:val="21"/>
              </w:rPr>
              <w:t>《中国（浙江）自由贸易试验区扩展区域方案》</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10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建立国际投资“单一窗口”，进一步减少或取消外商投资准入限制，进一步放宽数字贸易领域投资和经营限制。</w:t>
            </w:r>
          </w:p>
        </w:tc>
        <w:tc>
          <w:tcPr>
            <w:tcW w:w="7181" w:type="dxa"/>
            <w:vMerge w:val="continue"/>
            <w:tcBorders>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jc w:val="left"/>
              <w:rPr>
                <w:rFonts w:ascii="仿宋_GB2312" w:hAnsi="宋体" w:eastAsia="仿宋_GB2312" w:cs="仿宋_GB2312"/>
                <w:b/>
                <w:color w:val="000000"/>
                <w:szCs w:val="21"/>
              </w:rPr>
            </w:pP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236"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允许外资企业申请电子商务行业相关的特殊许可资质，放开对外资股比条件限制。</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22"/>
                <w:rFonts w:hint="default" w:hAnsi="宋体"/>
              </w:rPr>
              <w:t>原创</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65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96</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允许面向港澳的信息通信高级工程师等水平评价类职业资格认可。</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《全面深化服务贸易创新发展试点》：</w:t>
            </w:r>
            <w:r>
              <w:rPr>
                <w:rStyle w:val="23"/>
                <w:rFonts w:hint="default" w:hAnsi="宋体"/>
              </w:rPr>
              <w:t>38.支持试点地区开展面向港澳的高级经济师、信息通信高级工程师等水平评价类职业资格认可。</w:t>
            </w:r>
          </w:p>
        </w:tc>
        <w:tc>
          <w:tcPr>
            <w:tcW w:w="2410"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9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97</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支持符合条件的港澳银行业、保险企业在浙设立分支机构，支持境外发起的私募基金参与数字贸易企业融资。</w:t>
            </w:r>
          </w:p>
        </w:tc>
        <w:tc>
          <w:tcPr>
            <w:tcW w:w="718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《全面深化服务贸易创新发展试点》：</w:t>
            </w:r>
            <w:r>
              <w:rPr>
                <w:rStyle w:val="23"/>
                <w:rFonts w:hint="default" w:hAnsi="宋体"/>
              </w:rPr>
              <w:t>23.支持符合条件的港澳银行业、保险业企业在杭州设立分支机构。</w:t>
            </w: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56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（十七）探索数字贸易标准体系建设。</w:t>
            </w:r>
          </w:p>
        </w:tc>
        <w:tc>
          <w:tcPr>
            <w:tcW w:w="3312" w:type="dxa"/>
            <w:gridSpan w:val="3"/>
          </w:tcPr>
          <w:p>
            <w:pPr>
              <w:widowControl/>
              <w:jc w:val="left"/>
            </w:pPr>
          </w:p>
        </w:tc>
        <w:tc>
          <w:tcPr>
            <w:tcW w:w="3312" w:type="dxa"/>
            <w:gridSpan w:val="2"/>
          </w:tcPr>
          <w:p>
            <w:pPr>
              <w:widowControl/>
              <w:jc w:val="left"/>
            </w:pP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pPr>
            <w:r>
              <w:rPr>
                <w:rFonts w:hint="eastAsia" w:ascii="仿宋_GB2312" w:hAnsi="宋体" w:eastAsia="仿宋_GB2312" w:cs="仿宋_GB2312"/>
                <w:color w:val="000000"/>
                <w:kern w:val="0"/>
                <w:sz w:val="22"/>
                <w:szCs w:val="22"/>
              </w:rPr>
              <w:t>省国际数字贸易协会、中国计量大学省国际数字贸易协会</w:t>
            </w:r>
          </w:p>
        </w:tc>
      </w:tr>
      <w:tr>
        <w:tblPrEx>
          <w:tblCellMar>
            <w:top w:w="0" w:type="dxa"/>
            <w:left w:w="0" w:type="dxa"/>
            <w:bottom w:w="0" w:type="dxa"/>
            <w:right w:w="0" w:type="dxa"/>
          </w:tblCellMar>
        </w:tblPrEx>
        <w:trPr>
          <w:gridAfter w:val="6"/>
          <w:wAfter w:w="9936" w:type="dxa"/>
          <w:trHeight w:val="11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98</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建设浙江省数字贸易标准化技术委员会，并支持申报国家级数字贸易标准化技术委员会，推进数字贸易领域在电子合同制定、签署、档案管理、业务信息系统建设等关键环节的标准规范和指引的研究制定。</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Style w:val="18"/>
                <w:rFonts w:hint="default" w:hAnsi="宋体"/>
              </w:rPr>
              <w:t>深圳前海《促进数字贸易快速发展的若干意见》：（二十一）探索建立数字贸易“前海标准”。</w:t>
            </w:r>
            <w:r>
              <w:rPr>
                <w:rStyle w:val="18"/>
                <w:rFonts w:hint="default" w:hAnsi="宋体"/>
                <w:b w:val="0"/>
                <w:bCs/>
              </w:rPr>
              <w:t>组织实施数字贸易标准化建设工作，抓取数字贸易的关键要素探索建立数字贸易标准体系。支撑落实国家NQI（国家质量基础设施）“跨境电子商务便利化共性技术标准研究”，推动前海牵头制定跨境电子商务等数字贸易产业领域在电子合同制定、签署、档案管理、业务信息系统建设等关键环节相关标准规范及指引。</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省国际数字贸易协会、中国计量大学</w:t>
            </w:r>
          </w:p>
        </w:tc>
      </w:tr>
      <w:tr>
        <w:tblPrEx>
          <w:tblCellMar>
            <w:top w:w="0" w:type="dxa"/>
            <w:left w:w="0" w:type="dxa"/>
            <w:bottom w:w="0" w:type="dxa"/>
            <w:right w:w="0" w:type="dxa"/>
          </w:tblCellMar>
        </w:tblPrEx>
        <w:trPr>
          <w:gridAfter w:val="6"/>
          <w:wAfter w:w="9936" w:type="dxa"/>
          <w:trHeight w:val="11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99</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构建兼顾安全和效率的数字贸易规则，简化数据要素流动管理程序，推动规则、标准行业互信互认，加强产业间的知识和技术要素的共享。</w:t>
            </w:r>
          </w:p>
        </w:tc>
        <w:tc>
          <w:tcPr>
            <w:tcW w:w="7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2"/>
                <w:szCs w:val="22"/>
              </w:rPr>
            </w:pPr>
            <w:r>
              <w:rPr>
                <w:rStyle w:val="22"/>
                <w:rFonts w:hint="default" w:hAnsi="宋体"/>
              </w:rPr>
              <w:t>原创</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8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100</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探索在数据交互、业务互通、监管互认、服务共享等方面的国际合作及数字确权等数字贸易的规则研究。</w:t>
            </w:r>
          </w:p>
        </w:tc>
        <w:tc>
          <w:tcPr>
            <w:tcW w:w="7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b/>
                <w:color w:val="000000"/>
                <w:sz w:val="22"/>
                <w:szCs w:val="22"/>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省国际数字贸易协会、省钱塘数字贸易研究院等</w:t>
            </w:r>
          </w:p>
        </w:tc>
      </w:tr>
      <w:tr>
        <w:tblPrEx>
          <w:tblCellMar>
            <w:top w:w="0" w:type="dxa"/>
            <w:left w:w="0" w:type="dxa"/>
            <w:bottom w:w="0" w:type="dxa"/>
            <w:right w:w="0" w:type="dxa"/>
          </w:tblCellMar>
        </w:tblPrEx>
        <w:trPr>
          <w:gridAfter w:val="6"/>
          <w:wAfter w:w="9936" w:type="dxa"/>
          <w:trHeight w:val="17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_GB2312" w:hAnsi="宋体" w:eastAsia="仿宋_GB2312" w:cs="仿宋_GB2312"/>
                <w:color w:val="000000"/>
                <w:sz w:val="18"/>
                <w:szCs w:val="21"/>
              </w:rPr>
            </w:pPr>
            <w:r>
              <w:rPr>
                <w:rFonts w:hint="eastAsia" w:ascii="仿宋_GB2312" w:hAnsi="宋体" w:eastAsia="仿宋_GB2312" w:cs="仿宋_GB2312"/>
                <w:color w:val="000000"/>
                <w:kern w:val="0"/>
                <w:szCs w:val="21"/>
              </w:rPr>
              <w:t>101</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推动数字证书、电子签名等的国际互认，试点数据跨境流动，建设国际信息产业和数字贸易港，探索建立以软件实名认证、数据产地标签识别为基础的监管体系。</w:t>
            </w:r>
          </w:p>
        </w:tc>
        <w:tc>
          <w:tcPr>
            <w:tcW w:w="7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《深化北京市新一轮服务业扩大开放综合试点建设国家服务业扩大开放综合示范区工作方案》：</w:t>
            </w:r>
            <w:r>
              <w:rPr>
                <w:rStyle w:val="23"/>
                <w:rFonts w:hint="default" w:hAnsi="宋体"/>
              </w:rPr>
              <w:t>11.以“一园一区”等为基础，打造数字贸易发展引领区。立足中关村软件园，推动数字证书、电子签名等的国际互认，试点数据跨境流动，建设国际信息产业和数字贸易港，探索建立以软件实名认证、数据产地标签识别为基础的监管体系。</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501"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b/>
                <w:color w:val="000000"/>
                <w:kern w:val="0"/>
                <w:szCs w:val="21"/>
              </w:rPr>
              <w:t>（十八）加强数字资源保护体系建设。</w:t>
            </w:r>
          </w:p>
        </w:tc>
      </w:tr>
      <w:tr>
        <w:tblPrEx>
          <w:tblCellMar>
            <w:top w:w="0" w:type="dxa"/>
            <w:left w:w="0" w:type="dxa"/>
            <w:bottom w:w="0" w:type="dxa"/>
            <w:right w:w="0" w:type="dxa"/>
          </w:tblCellMar>
        </w:tblPrEx>
        <w:trPr>
          <w:gridAfter w:val="6"/>
          <w:wAfter w:w="9936" w:type="dxa"/>
          <w:trHeight w:val="17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102</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探索构建安全便利的国际互联网数据专用通道，依托区块链技术应用，整合高精尖制造业企业信息和信用数据，打造高效便捷的通关模式。</w:t>
            </w:r>
          </w:p>
        </w:tc>
        <w:tc>
          <w:tcPr>
            <w:tcW w:w="718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《中国（北京）自由贸易试验区总体方案》：</w:t>
            </w:r>
            <w:r>
              <w:rPr>
                <w:rStyle w:val="23"/>
                <w:rFonts w:hint="default" w:hAnsi="宋体"/>
              </w:rPr>
              <w:t>三、主要任务和措施（四）创新数字经济发展环境。11.鼓励发展数字经济新业态新模式。加快新一代信息基础设施建设，探索构建安全便利的国际互联网数据专用通道。应用区块链等数字技术系统规范跨境贸易、法律合规、技术标准的实施，保障跨境贸易多边合作的无纸化、动态化、标准化。依托区块链技术应用，整合高精尖制造业企业信息和信用数据，打造高效便捷的通关模式。探索建立允许相关机构在可控范围内对新产品、新业务进行测试的监管机制。</w:t>
            </w:r>
          </w:p>
        </w:tc>
        <w:tc>
          <w:tcPr>
            <w:tcW w:w="2410"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6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103</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探索建立允许相关机构在可控范围内对新产品、新业务进行测试的监管机制。</w:t>
            </w:r>
          </w:p>
        </w:tc>
        <w:tc>
          <w:tcPr>
            <w:tcW w:w="718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ascii="仿宋_GB2312" w:hAnsi="宋体" w:eastAsia="仿宋_GB2312" w:cs="仿宋_GB2312"/>
                <w:b/>
                <w:color w:val="000000"/>
                <w:sz w:val="22"/>
                <w:szCs w:val="22"/>
              </w:rPr>
            </w:pPr>
          </w:p>
        </w:tc>
        <w:tc>
          <w:tcPr>
            <w:tcW w:w="2410"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13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104</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在保护知识产权、保护个人隐私等方面加快探索和国际通行规则接轨的数字贸易监管举措，同时在数据流通、数据安全，网络内容监管等方面形成有本地特色的监管体系，开展事中事后监管技术建设和试点示范。</w:t>
            </w:r>
          </w:p>
        </w:tc>
        <w:tc>
          <w:tcPr>
            <w:tcW w:w="7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《上海市数字贸易发展行动方案（2019-2021）》：</w:t>
            </w:r>
            <w:r>
              <w:rPr>
                <w:rStyle w:val="23"/>
                <w:rFonts w:hint="default" w:hAnsi="宋体"/>
              </w:rPr>
              <w:t>三、工作任务（一）2.加快打造“数字贸易国际枢纽港”的高水平监管体系。在保护知识产权、保护个人隐私等方面加快探索和国际通行规则接轨的数字贸易监管举措，同时在数据流通、数据安全，网络内容监管等方面形成有本地特色的监管体系，并在示范区开展事中事后监管技术建设和试点示范。探索推动与各国数字贸易相关管理机构以及主要城市就数字贸易规则、监管、便利化等方面形成谅解和合作，加快搭建数字知识产权海外维权渠道和争议解决机制。</w:t>
            </w:r>
          </w:p>
        </w:tc>
        <w:tc>
          <w:tcPr>
            <w:tcW w:w="2410" w:type="dxa"/>
            <w:gridSpan w:val="2"/>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全省</w:t>
            </w:r>
          </w:p>
        </w:tc>
      </w:tr>
      <w:tr>
        <w:tblPrEx>
          <w:tblCellMar>
            <w:top w:w="0" w:type="dxa"/>
            <w:left w:w="0" w:type="dxa"/>
            <w:bottom w:w="0" w:type="dxa"/>
            <w:right w:w="0" w:type="dxa"/>
          </w:tblCellMar>
        </w:tblPrEx>
        <w:trPr>
          <w:gridAfter w:val="6"/>
          <w:wAfter w:w="9936" w:type="dxa"/>
          <w:trHeight w:val="10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105</w:t>
            </w:r>
          </w:p>
        </w:tc>
        <w:tc>
          <w:tcPr>
            <w:tcW w:w="4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探索推动与各国数字贸易相关管理机构以及主要城市就数字贸易规则、监管、便利化等方面形成谅解和合作，加快搭建数字知识产权海外维权渠道和争议解决机制。</w:t>
            </w:r>
          </w:p>
        </w:tc>
        <w:tc>
          <w:tcPr>
            <w:tcW w:w="7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b/>
                <w:color w:val="000000"/>
                <w:sz w:val="22"/>
                <w:szCs w:val="22"/>
              </w:rPr>
            </w:pPr>
          </w:p>
        </w:tc>
        <w:tc>
          <w:tcPr>
            <w:tcW w:w="241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gridAfter w:val="6"/>
          <w:wAfter w:w="9936" w:type="dxa"/>
          <w:trHeight w:val="550" w:hRule="atLeast"/>
        </w:trPr>
        <w:tc>
          <w:tcPr>
            <w:tcW w:w="14474"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b/>
                <w:color w:val="000000"/>
                <w:kern w:val="0"/>
                <w:szCs w:val="21"/>
              </w:rPr>
              <w:t>（十九）探索数字贸易统计体系建设。</w:t>
            </w:r>
          </w:p>
        </w:tc>
      </w:tr>
      <w:tr>
        <w:tblPrEx>
          <w:tblCellMar>
            <w:top w:w="0" w:type="dxa"/>
            <w:left w:w="0" w:type="dxa"/>
            <w:bottom w:w="0" w:type="dxa"/>
            <w:right w:w="0" w:type="dxa"/>
          </w:tblCellMar>
        </w:tblPrEx>
        <w:trPr>
          <w:gridAfter w:val="6"/>
          <w:wAfter w:w="9936" w:type="dxa"/>
          <w:trHeight w:val="7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106</w:t>
            </w:r>
          </w:p>
        </w:tc>
        <w:tc>
          <w:tcPr>
            <w:tcW w:w="4301"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建立大数据运行监控体系,实时进行数据监控、统计、分析、发布。</w:t>
            </w:r>
          </w:p>
        </w:tc>
        <w:tc>
          <w:tcPr>
            <w:tcW w:w="71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
                <w:color w:val="000000"/>
                <w:sz w:val="22"/>
                <w:szCs w:val="22"/>
              </w:rPr>
            </w:pPr>
            <w:r>
              <w:rPr>
                <w:rStyle w:val="22"/>
                <w:rFonts w:hint="default" w:hAnsi="宋体"/>
              </w:rPr>
              <w:t>深圳前海片《促进数字贸易快速发展的若干意见》：</w:t>
            </w:r>
            <w:r>
              <w:rPr>
                <w:rStyle w:val="23"/>
                <w:rFonts w:hint="default" w:hAnsi="宋体"/>
              </w:rPr>
              <w:t>五、构筑数字贸易支撑服务体系(二十二)研究发布数字贸易发展“前海指数”。建立大数据运行监控体系,实时进行数据监控、统计、分析、发布。研究构建数字贸易发展测度评估模型,适时发布前海数字贸易发展白皮书及数字贸易“前海指数”,开展数字贸易发展统计分析,科学测度和分析数字贸易发展情况和成效，为新型经济发展提供辅助决策参考。</w:t>
            </w:r>
          </w:p>
        </w:tc>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 w:val="22"/>
                <w:szCs w:val="22"/>
              </w:rPr>
              <w:t>省国际数字贸易协会、省钱塘数字贸易研究院等</w:t>
            </w:r>
          </w:p>
        </w:tc>
      </w:tr>
      <w:tr>
        <w:tblPrEx>
          <w:tblCellMar>
            <w:top w:w="0" w:type="dxa"/>
            <w:left w:w="0" w:type="dxa"/>
            <w:bottom w:w="0" w:type="dxa"/>
            <w:right w:w="0" w:type="dxa"/>
          </w:tblCellMar>
        </w:tblPrEx>
        <w:trPr>
          <w:gridAfter w:val="6"/>
          <w:wAfter w:w="9936" w:type="dxa"/>
          <w:trHeight w:val="6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107</w:t>
            </w:r>
          </w:p>
        </w:tc>
        <w:tc>
          <w:tcPr>
            <w:tcW w:w="4301"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研究构建数字贸易发展测度评估模型，适时发布杭州数字贸易发展白皮书及数字贸易“杭州指数”。</w:t>
            </w:r>
          </w:p>
        </w:tc>
        <w:tc>
          <w:tcPr>
            <w:tcW w:w="71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仿宋_GB2312" w:hAnsi="宋体" w:eastAsia="仿宋_GB2312" w:cs="仿宋_GB2312"/>
                <w:b/>
                <w:color w:val="000000"/>
                <w:sz w:val="22"/>
                <w:szCs w:val="22"/>
              </w:rPr>
            </w:pPr>
          </w:p>
        </w:tc>
        <w:tc>
          <w:tcPr>
            <w:tcW w:w="241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gridAfter w:val="6"/>
          <w:wAfter w:w="9936" w:type="dxa"/>
          <w:trHeight w:val="81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108</w:t>
            </w:r>
          </w:p>
        </w:tc>
        <w:tc>
          <w:tcPr>
            <w:tcW w:w="4301"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建设浙江省数字贸易统计监测系统，开展数字贸易企业数据直报工作，定期开展数据统计分析，科学测度和分析数字贸易发展情况和成效。</w:t>
            </w:r>
          </w:p>
        </w:tc>
        <w:tc>
          <w:tcPr>
            <w:tcW w:w="71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仿宋_GB2312" w:hAnsi="宋体" w:eastAsia="仿宋_GB2312" w:cs="仿宋_GB2312"/>
                <w:b/>
                <w:color w:val="000000"/>
                <w:sz w:val="22"/>
                <w:szCs w:val="22"/>
              </w:rPr>
            </w:pPr>
          </w:p>
        </w:tc>
        <w:tc>
          <w:tcPr>
            <w:tcW w:w="241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p>
        </w:tc>
      </w:tr>
    </w:tbl>
    <w:p>
      <w:pPr>
        <w:pStyle w:val="16"/>
        <w:spacing w:line="240" w:lineRule="auto"/>
        <w:ind w:firstLine="640"/>
      </w:pPr>
    </w:p>
    <w:p>
      <w:pPr>
        <w:pStyle w:val="16"/>
        <w:spacing w:line="240" w:lineRule="auto"/>
        <w:ind w:firstLine="0" w:firstLineChars="0"/>
        <w:sectPr>
          <w:footerReference r:id="rId3" w:type="default"/>
          <w:endnotePr>
            <w:numFmt w:val="decimal"/>
          </w:endnote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Q0i1sLgIAAFIEAAAOAAAAZHJzL2Uyb0RvYy54bWytVMtuEzEU3SPx&#10;D5b3ZJI0L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J2MYOCyjizevh4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UNItbC4CAABSBAAADgAAAAAAAAABACAAAAAgAQAAZHJzL2Uyb0RvYy54bWxQSwUGAAAA&#10;AAYABgBZAQAAw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TE3YmI2NGY2YzU0ZTM5Mzg4MzY0ZGRhNzM1YjIifQ=="/>
  </w:docVars>
  <w:rsids>
    <w:rsidRoot w:val="1F4D6284"/>
    <w:rsid w:val="000035C5"/>
    <w:rsid w:val="000532FA"/>
    <w:rsid w:val="00063FE5"/>
    <w:rsid w:val="000A5CC1"/>
    <w:rsid w:val="000D6FAD"/>
    <w:rsid w:val="000E3BCA"/>
    <w:rsid w:val="000F7DD9"/>
    <w:rsid w:val="0010482F"/>
    <w:rsid w:val="00124FF6"/>
    <w:rsid w:val="001349E3"/>
    <w:rsid w:val="00152D5D"/>
    <w:rsid w:val="00155005"/>
    <w:rsid w:val="00162C62"/>
    <w:rsid w:val="001701C3"/>
    <w:rsid w:val="001739A1"/>
    <w:rsid w:val="00177E7D"/>
    <w:rsid w:val="00185D31"/>
    <w:rsid w:val="001A5D73"/>
    <w:rsid w:val="001B6354"/>
    <w:rsid w:val="001E573F"/>
    <w:rsid w:val="001E6D57"/>
    <w:rsid w:val="001F0541"/>
    <w:rsid w:val="00214E1D"/>
    <w:rsid w:val="00232C1D"/>
    <w:rsid w:val="00235ADE"/>
    <w:rsid w:val="00265ED6"/>
    <w:rsid w:val="002675BC"/>
    <w:rsid w:val="00272453"/>
    <w:rsid w:val="002A1E86"/>
    <w:rsid w:val="002A6322"/>
    <w:rsid w:val="002B014D"/>
    <w:rsid w:val="002F03CF"/>
    <w:rsid w:val="002F2E40"/>
    <w:rsid w:val="00306820"/>
    <w:rsid w:val="0033258C"/>
    <w:rsid w:val="0034033A"/>
    <w:rsid w:val="0034217D"/>
    <w:rsid w:val="00342F4E"/>
    <w:rsid w:val="00352A06"/>
    <w:rsid w:val="00354D56"/>
    <w:rsid w:val="003B4DB3"/>
    <w:rsid w:val="003C1F22"/>
    <w:rsid w:val="003C71A5"/>
    <w:rsid w:val="003D57A8"/>
    <w:rsid w:val="003E019C"/>
    <w:rsid w:val="0041219A"/>
    <w:rsid w:val="00412A82"/>
    <w:rsid w:val="004166D6"/>
    <w:rsid w:val="00453BF3"/>
    <w:rsid w:val="004570A0"/>
    <w:rsid w:val="004725BB"/>
    <w:rsid w:val="00476C4A"/>
    <w:rsid w:val="00482FBF"/>
    <w:rsid w:val="00497C4D"/>
    <w:rsid w:val="004A444E"/>
    <w:rsid w:val="004A784D"/>
    <w:rsid w:val="004B1033"/>
    <w:rsid w:val="004B111E"/>
    <w:rsid w:val="004B243F"/>
    <w:rsid w:val="004C023A"/>
    <w:rsid w:val="004D18E5"/>
    <w:rsid w:val="004D2DD4"/>
    <w:rsid w:val="004D35E2"/>
    <w:rsid w:val="004D6DFC"/>
    <w:rsid w:val="004E519E"/>
    <w:rsid w:val="0051115C"/>
    <w:rsid w:val="00511FAB"/>
    <w:rsid w:val="00514B3A"/>
    <w:rsid w:val="00523C16"/>
    <w:rsid w:val="00535DBF"/>
    <w:rsid w:val="00555FED"/>
    <w:rsid w:val="00560C01"/>
    <w:rsid w:val="00567C19"/>
    <w:rsid w:val="005904A7"/>
    <w:rsid w:val="005904F2"/>
    <w:rsid w:val="005E2F8D"/>
    <w:rsid w:val="005E4E81"/>
    <w:rsid w:val="006147A6"/>
    <w:rsid w:val="00633656"/>
    <w:rsid w:val="00635CB2"/>
    <w:rsid w:val="006905E2"/>
    <w:rsid w:val="006A4287"/>
    <w:rsid w:val="006C3178"/>
    <w:rsid w:val="006D1B73"/>
    <w:rsid w:val="006F6395"/>
    <w:rsid w:val="006F6E14"/>
    <w:rsid w:val="00724821"/>
    <w:rsid w:val="007453D0"/>
    <w:rsid w:val="007464FD"/>
    <w:rsid w:val="00751FA5"/>
    <w:rsid w:val="00754E1A"/>
    <w:rsid w:val="00756848"/>
    <w:rsid w:val="00783835"/>
    <w:rsid w:val="007C4394"/>
    <w:rsid w:val="007D7461"/>
    <w:rsid w:val="007F080E"/>
    <w:rsid w:val="007F6656"/>
    <w:rsid w:val="00803B9F"/>
    <w:rsid w:val="008142FF"/>
    <w:rsid w:val="008353A3"/>
    <w:rsid w:val="00835634"/>
    <w:rsid w:val="00846D9C"/>
    <w:rsid w:val="00855781"/>
    <w:rsid w:val="00866F0E"/>
    <w:rsid w:val="00870C34"/>
    <w:rsid w:val="00883793"/>
    <w:rsid w:val="00884374"/>
    <w:rsid w:val="00896B2E"/>
    <w:rsid w:val="008B59FB"/>
    <w:rsid w:val="008C255B"/>
    <w:rsid w:val="008C7F35"/>
    <w:rsid w:val="008D37BB"/>
    <w:rsid w:val="008D39E0"/>
    <w:rsid w:val="008D7226"/>
    <w:rsid w:val="008E39DD"/>
    <w:rsid w:val="008F186E"/>
    <w:rsid w:val="008F620D"/>
    <w:rsid w:val="00904B12"/>
    <w:rsid w:val="009209A0"/>
    <w:rsid w:val="009212CC"/>
    <w:rsid w:val="00925F6A"/>
    <w:rsid w:val="009415C2"/>
    <w:rsid w:val="009417D8"/>
    <w:rsid w:val="00943009"/>
    <w:rsid w:val="009A44D4"/>
    <w:rsid w:val="00A07EFD"/>
    <w:rsid w:val="00A262CD"/>
    <w:rsid w:val="00A30607"/>
    <w:rsid w:val="00A469CB"/>
    <w:rsid w:val="00A73E19"/>
    <w:rsid w:val="00A96E92"/>
    <w:rsid w:val="00AA425B"/>
    <w:rsid w:val="00AB37C2"/>
    <w:rsid w:val="00AC77BB"/>
    <w:rsid w:val="00AD5E32"/>
    <w:rsid w:val="00AE200F"/>
    <w:rsid w:val="00B01CE3"/>
    <w:rsid w:val="00B13F79"/>
    <w:rsid w:val="00B82683"/>
    <w:rsid w:val="00B90CB9"/>
    <w:rsid w:val="00B91E5B"/>
    <w:rsid w:val="00BB228E"/>
    <w:rsid w:val="00BD31EB"/>
    <w:rsid w:val="00BD72C0"/>
    <w:rsid w:val="00BE685D"/>
    <w:rsid w:val="00BF65F2"/>
    <w:rsid w:val="00C06828"/>
    <w:rsid w:val="00C21F58"/>
    <w:rsid w:val="00C353FA"/>
    <w:rsid w:val="00C51A0F"/>
    <w:rsid w:val="00C55897"/>
    <w:rsid w:val="00C75C27"/>
    <w:rsid w:val="00C846FD"/>
    <w:rsid w:val="00CA1D98"/>
    <w:rsid w:val="00CA2E5D"/>
    <w:rsid w:val="00CA505B"/>
    <w:rsid w:val="00CB5604"/>
    <w:rsid w:val="00CC4A8C"/>
    <w:rsid w:val="00CD4D5A"/>
    <w:rsid w:val="00CE2EE5"/>
    <w:rsid w:val="00CE30E7"/>
    <w:rsid w:val="00CE68EE"/>
    <w:rsid w:val="00CF5F6E"/>
    <w:rsid w:val="00D0749E"/>
    <w:rsid w:val="00D166AA"/>
    <w:rsid w:val="00D23D64"/>
    <w:rsid w:val="00D43A5C"/>
    <w:rsid w:val="00D5498E"/>
    <w:rsid w:val="00D553E2"/>
    <w:rsid w:val="00D57303"/>
    <w:rsid w:val="00D574D6"/>
    <w:rsid w:val="00D66AE4"/>
    <w:rsid w:val="00D76787"/>
    <w:rsid w:val="00D82B3B"/>
    <w:rsid w:val="00D9772A"/>
    <w:rsid w:val="00DA1EEC"/>
    <w:rsid w:val="00DC2DCA"/>
    <w:rsid w:val="00DD2A88"/>
    <w:rsid w:val="00E03896"/>
    <w:rsid w:val="00E07295"/>
    <w:rsid w:val="00E074D8"/>
    <w:rsid w:val="00E44190"/>
    <w:rsid w:val="00E45217"/>
    <w:rsid w:val="00E46C74"/>
    <w:rsid w:val="00E86765"/>
    <w:rsid w:val="00E91F3B"/>
    <w:rsid w:val="00E9472A"/>
    <w:rsid w:val="00EC3597"/>
    <w:rsid w:val="00EC7EBE"/>
    <w:rsid w:val="00ED6FE1"/>
    <w:rsid w:val="00F06D30"/>
    <w:rsid w:val="00F111E2"/>
    <w:rsid w:val="00F161AB"/>
    <w:rsid w:val="00F216B3"/>
    <w:rsid w:val="00F46319"/>
    <w:rsid w:val="00F72574"/>
    <w:rsid w:val="00F775FF"/>
    <w:rsid w:val="00FB60B1"/>
    <w:rsid w:val="00FC7D5F"/>
    <w:rsid w:val="00FF032E"/>
    <w:rsid w:val="01174CA9"/>
    <w:rsid w:val="018D481B"/>
    <w:rsid w:val="02381D35"/>
    <w:rsid w:val="02780921"/>
    <w:rsid w:val="04437E9F"/>
    <w:rsid w:val="04D076E7"/>
    <w:rsid w:val="055A4F85"/>
    <w:rsid w:val="06002D66"/>
    <w:rsid w:val="060F0915"/>
    <w:rsid w:val="06796B96"/>
    <w:rsid w:val="06D53729"/>
    <w:rsid w:val="078C6100"/>
    <w:rsid w:val="07ED08EA"/>
    <w:rsid w:val="090B4452"/>
    <w:rsid w:val="090F5075"/>
    <w:rsid w:val="095A550A"/>
    <w:rsid w:val="09C9778D"/>
    <w:rsid w:val="0A02150E"/>
    <w:rsid w:val="0A3702D1"/>
    <w:rsid w:val="0B156CAF"/>
    <w:rsid w:val="0B333497"/>
    <w:rsid w:val="0BD01B51"/>
    <w:rsid w:val="0CF6330B"/>
    <w:rsid w:val="0D1412B8"/>
    <w:rsid w:val="0DE4639F"/>
    <w:rsid w:val="0E0D5B21"/>
    <w:rsid w:val="0E1667E4"/>
    <w:rsid w:val="0E646F71"/>
    <w:rsid w:val="0EBB224E"/>
    <w:rsid w:val="0F020D4C"/>
    <w:rsid w:val="108C089D"/>
    <w:rsid w:val="114E498D"/>
    <w:rsid w:val="1436500B"/>
    <w:rsid w:val="14414FCB"/>
    <w:rsid w:val="14801F1A"/>
    <w:rsid w:val="14C8182E"/>
    <w:rsid w:val="14F558BD"/>
    <w:rsid w:val="150B0A0E"/>
    <w:rsid w:val="154059A9"/>
    <w:rsid w:val="16F068C1"/>
    <w:rsid w:val="174A6515"/>
    <w:rsid w:val="184D75EA"/>
    <w:rsid w:val="18EC6228"/>
    <w:rsid w:val="1ABA4A22"/>
    <w:rsid w:val="1B4266EC"/>
    <w:rsid w:val="1B845FFD"/>
    <w:rsid w:val="1B8C26D4"/>
    <w:rsid w:val="1C506649"/>
    <w:rsid w:val="1D4004CE"/>
    <w:rsid w:val="1D586A54"/>
    <w:rsid w:val="1D891678"/>
    <w:rsid w:val="1E9873CF"/>
    <w:rsid w:val="1EAB5B67"/>
    <w:rsid w:val="1EB04E9C"/>
    <w:rsid w:val="1F1D5525"/>
    <w:rsid w:val="1F4D6284"/>
    <w:rsid w:val="1F5B299A"/>
    <w:rsid w:val="1F73236D"/>
    <w:rsid w:val="200A46D2"/>
    <w:rsid w:val="20DF7B91"/>
    <w:rsid w:val="217627DF"/>
    <w:rsid w:val="219A548F"/>
    <w:rsid w:val="21B803E2"/>
    <w:rsid w:val="21FC1317"/>
    <w:rsid w:val="227B4E09"/>
    <w:rsid w:val="23A87C63"/>
    <w:rsid w:val="24297052"/>
    <w:rsid w:val="251C3D4B"/>
    <w:rsid w:val="263C277C"/>
    <w:rsid w:val="26A763C3"/>
    <w:rsid w:val="26B66220"/>
    <w:rsid w:val="27325086"/>
    <w:rsid w:val="27494A33"/>
    <w:rsid w:val="27B52C9E"/>
    <w:rsid w:val="27FB3696"/>
    <w:rsid w:val="299822EC"/>
    <w:rsid w:val="29B5533C"/>
    <w:rsid w:val="2A4479E3"/>
    <w:rsid w:val="2B1B21B1"/>
    <w:rsid w:val="2B6A653E"/>
    <w:rsid w:val="2BFE4833"/>
    <w:rsid w:val="2C225E57"/>
    <w:rsid w:val="2D577E1C"/>
    <w:rsid w:val="2DF1108E"/>
    <w:rsid w:val="2E577FBC"/>
    <w:rsid w:val="2E9858DF"/>
    <w:rsid w:val="2FE109A2"/>
    <w:rsid w:val="30893EB1"/>
    <w:rsid w:val="31222615"/>
    <w:rsid w:val="32082AFD"/>
    <w:rsid w:val="330D5710"/>
    <w:rsid w:val="33DC0095"/>
    <w:rsid w:val="340E7B72"/>
    <w:rsid w:val="34671C47"/>
    <w:rsid w:val="34944C64"/>
    <w:rsid w:val="35397315"/>
    <w:rsid w:val="353E2139"/>
    <w:rsid w:val="356230CD"/>
    <w:rsid w:val="358304BF"/>
    <w:rsid w:val="377E7721"/>
    <w:rsid w:val="37A6722F"/>
    <w:rsid w:val="38066FA1"/>
    <w:rsid w:val="383F622B"/>
    <w:rsid w:val="38EB3289"/>
    <w:rsid w:val="397D2F8F"/>
    <w:rsid w:val="3A0A4790"/>
    <w:rsid w:val="3A50438D"/>
    <w:rsid w:val="3A880F55"/>
    <w:rsid w:val="3BE15A35"/>
    <w:rsid w:val="3C25277A"/>
    <w:rsid w:val="3C25324E"/>
    <w:rsid w:val="3CD42B34"/>
    <w:rsid w:val="3D0E018D"/>
    <w:rsid w:val="3EA46CDE"/>
    <w:rsid w:val="3F5120CE"/>
    <w:rsid w:val="3F591B35"/>
    <w:rsid w:val="3F734E0F"/>
    <w:rsid w:val="3F7C7B3D"/>
    <w:rsid w:val="40164DAA"/>
    <w:rsid w:val="40172A55"/>
    <w:rsid w:val="40881222"/>
    <w:rsid w:val="40AC40B7"/>
    <w:rsid w:val="40BE0350"/>
    <w:rsid w:val="410A4531"/>
    <w:rsid w:val="419D2EA5"/>
    <w:rsid w:val="42402668"/>
    <w:rsid w:val="429164BB"/>
    <w:rsid w:val="42F141B5"/>
    <w:rsid w:val="433A045C"/>
    <w:rsid w:val="439E0BF2"/>
    <w:rsid w:val="43AE7944"/>
    <w:rsid w:val="449114D8"/>
    <w:rsid w:val="45715824"/>
    <w:rsid w:val="467019EE"/>
    <w:rsid w:val="46AC5919"/>
    <w:rsid w:val="47526FDD"/>
    <w:rsid w:val="479344F1"/>
    <w:rsid w:val="48F15979"/>
    <w:rsid w:val="494B63D1"/>
    <w:rsid w:val="4977376E"/>
    <w:rsid w:val="49CC003D"/>
    <w:rsid w:val="4A076585"/>
    <w:rsid w:val="4A313281"/>
    <w:rsid w:val="4ACB7190"/>
    <w:rsid w:val="4B881029"/>
    <w:rsid w:val="4BD33C90"/>
    <w:rsid w:val="4C4611CA"/>
    <w:rsid w:val="4D0A05FB"/>
    <w:rsid w:val="4D5F1D5F"/>
    <w:rsid w:val="4E303B03"/>
    <w:rsid w:val="4E85203B"/>
    <w:rsid w:val="4F330288"/>
    <w:rsid w:val="4F465904"/>
    <w:rsid w:val="4FD16716"/>
    <w:rsid w:val="516E19E6"/>
    <w:rsid w:val="51A62426"/>
    <w:rsid w:val="52BC0C73"/>
    <w:rsid w:val="52D22F52"/>
    <w:rsid w:val="52D97A57"/>
    <w:rsid w:val="53341EE5"/>
    <w:rsid w:val="53922941"/>
    <w:rsid w:val="53A5345E"/>
    <w:rsid w:val="548B2493"/>
    <w:rsid w:val="5583611E"/>
    <w:rsid w:val="55A55F99"/>
    <w:rsid w:val="561F203B"/>
    <w:rsid w:val="56256D76"/>
    <w:rsid w:val="56DE766B"/>
    <w:rsid w:val="581E1DAB"/>
    <w:rsid w:val="587B2B85"/>
    <w:rsid w:val="588633BB"/>
    <w:rsid w:val="59337101"/>
    <w:rsid w:val="59B71E1F"/>
    <w:rsid w:val="5B035BFD"/>
    <w:rsid w:val="5BA23625"/>
    <w:rsid w:val="5C8F0895"/>
    <w:rsid w:val="5D284502"/>
    <w:rsid w:val="5DCC7C28"/>
    <w:rsid w:val="5E0512B0"/>
    <w:rsid w:val="5F3F0823"/>
    <w:rsid w:val="5F563840"/>
    <w:rsid w:val="5FDA0A50"/>
    <w:rsid w:val="5FF25FAE"/>
    <w:rsid w:val="609A2DDD"/>
    <w:rsid w:val="60F6490E"/>
    <w:rsid w:val="6157210F"/>
    <w:rsid w:val="61C173A5"/>
    <w:rsid w:val="61FE546D"/>
    <w:rsid w:val="636319D6"/>
    <w:rsid w:val="644012F1"/>
    <w:rsid w:val="648D3CAF"/>
    <w:rsid w:val="64B9441A"/>
    <w:rsid w:val="65687197"/>
    <w:rsid w:val="65EF0ECE"/>
    <w:rsid w:val="66AB0FE0"/>
    <w:rsid w:val="66B94C35"/>
    <w:rsid w:val="66C43071"/>
    <w:rsid w:val="67382072"/>
    <w:rsid w:val="67563B98"/>
    <w:rsid w:val="67AD75B1"/>
    <w:rsid w:val="686D684E"/>
    <w:rsid w:val="68C142D3"/>
    <w:rsid w:val="69514767"/>
    <w:rsid w:val="69527AC8"/>
    <w:rsid w:val="69841B38"/>
    <w:rsid w:val="6A890AEA"/>
    <w:rsid w:val="6A8A7C77"/>
    <w:rsid w:val="6ADA2DF9"/>
    <w:rsid w:val="6B1A5E23"/>
    <w:rsid w:val="6B316EF4"/>
    <w:rsid w:val="6B8A30D1"/>
    <w:rsid w:val="6B8B54EF"/>
    <w:rsid w:val="6C211677"/>
    <w:rsid w:val="6CD82188"/>
    <w:rsid w:val="6D1749D0"/>
    <w:rsid w:val="6DD43C6F"/>
    <w:rsid w:val="6F8B366F"/>
    <w:rsid w:val="701B0238"/>
    <w:rsid w:val="708904F4"/>
    <w:rsid w:val="70C4201F"/>
    <w:rsid w:val="71362250"/>
    <w:rsid w:val="71FC798C"/>
    <w:rsid w:val="72BA2794"/>
    <w:rsid w:val="73D33A6A"/>
    <w:rsid w:val="745C036F"/>
    <w:rsid w:val="745C6718"/>
    <w:rsid w:val="74A21895"/>
    <w:rsid w:val="751F6CE7"/>
    <w:rsid w:val="752D6CB5"/>
    <w:rsid w:val="75363125"/>
    <w:rsid w:val="75653602"/>
    <w:rsid w:val="78E96967"/>
    <w:rsid w:val="79A315BF"/>
    <w:rsid w:val="7A577641"/>
    <w:rsid w:val="7A8365A3"/>
    <w:rsid w:val="7AA65B82"/>
    <w:rsid w:val="7ABD5BC0"/>
    <w:rsid w:val="7AE86E35"/>
    <w:rsid w:val="7C367553"/>
    <w:rsid w:val="7C494047"/>
    <w:rsid w:val="7CB05FBD"/>
    <w:rsid w:val="7E086CAB"/>
    <w:rsid w:val="7E1A322B"/>
    <w:rsid w:val="7E2C1F1C"/>
    <w:rsid w:val="7E3F433F"/>
    <w:rsid w:val="7F071DA4"/>
    <w:rsid w:val="7F424965"/>
    <w:rsid w:val="7F7272EA"/>
    <w:rsid w:val="7FB1526F"/>
    <w:rsid w:val="7FFC7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endnote text"/>
    <w:basedOn w:val="1"/>
    <w:link w:val="27"/>
    <w:qFormat/>
    <w:uiPriority w:val="0"/>
    <w:pPr>
      <w:snapToGrid w:val="0"/>
      <w:jc w:val="left"/>
    </w:pPr>
  </w:style>
  <w:style w:type="paragraph" w:styleId="4">
    <w:name w:val="Balloon Text"/>
    <w:basedOn w:val="1"/>
    <w:link w:val="2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paragraph" w:styleId="8">
    <w:name w:val="Title"/>
    <w:basedOn w:val="1"/>
    <w:qFormat/>
    <w:uiPriority w:val="0"/>
    <w:pPr>
      <w:jc w:val="center"/>
      <w:outlineLvl w:val="0"/>
    </w:pPr>
    <w:rPr>
      <w:rFonts w:ascii="Arial" w:hAnsi="Arial"/>
      <w:b/>
      <w:sz w:val="32"/>
    </w:rPr>
  </w:style>
  <w:style w:type="character" w:styleId="11">
    <w:name w:val="endnote reference"/>
    <w:basedOn w:val="10"/>
    <w:qFormat/>
    <w:uiPriority w:val="0"/>
    <w:rPr>
      <w:vertAlign w:val="superscript"/>
    </w:rPr>
  </w:style>
  <w:style w:type="character" w:styleId="12">
    <w:name w:val="annotation reference"/>
    <w:basedOn w:val="10"/>
    <w:semiHidden/>
    <w:unhideWhenUsed/>
    <w:qFormat/>
    <w:uiPriority w:val="0"/>
    <w:rPr>
      <w:sz w:val="21"/>
      <w:szCs w:val="21"/>
    </w:rPr>
  </w:style>
  <w:style w:type="paragraph" w:customStyle="1" w:styleId="13">
    <w:name w:val="公文标题"/>
    <w:basedOn w:val="8"/>
    <w:qFormat/>
    <w:uiPriority w:val="0"/>
    <w:rPr>
      <w:rFonts w:ascii="Times New Roman" w:hAnsi="Times New Roman" w:eastAsia="方正小标宋简体" w:cs="Times New Roman"/>
      <w:sz w:val="44"/>
      <w:szCs w:val="22"/>
    </w:rPr>
  </w:style>
  <w:style w:type="paragraph" w:customStyle="1" w:styleId="14">
    <w:name w:val="一级标题"/>
    <w:basedOn w:val="1"/>
    <w:qFormat/>
    <w:uiPriority w:val="0"/>
    <w:pPr>
      <w:spacing w:line="560" w:lineRule="exact"/>
      <w:ind w:firstLine="880" w:firstLineChars="200"/>
    </w:pPr>
    <w:rPr>
      <w:rFonts w:eastAsia="黑体" w:asciiTheme="minorHAnsi" w:hAnsiTheme="minorHAnsi"/>
      <w:sz w:val="32"/>
      <w:szCs w:val="22"/>
    </w:rPr>
  </w:style>
  <w:style w:type="paragraph" w:customStyle="1" w:styleId="15">
    <w:name w:val="二级标题"/>
    <w:basedOn w:val="16"/>
    <w:link w:val="17"/>
    <w:qFormat/>
    <w:uiPriority w:val="0"/>
    <w:rPr>
      <w:rFonts w:eastAsia="楷体_GB2312"/>
    </w:rPr>
  </w:style>
  <w:style w:type="paragraph" w:customStyle="1" w:styleId="16">
    <w:name w:val="公文正文"/>
    <w:qFormat/>
    <w:uiPriority w:val="0"/>
    <w:pPr>
      <w:spacing w:line="560" w:lineRule="exact"/>
      <w:ind w:firstLine="880" w:firstLineChars="200"/>
    </w:pPr>
    <w:rPr>
      <w:rFonts w:ascii="Times New Roman" w:hAnsi="Times New Roman" w:eastAsia="仿宋_GB2312" w:cstheme="minorBidi"/>
      <w:sz w:val="32"/>
      <w:lang w:val="en-US" w:eastAsia="zh-CN" w:bidi="ar-SA"/>
    </w:rPr>
  </w:style>
  <w:style w:type="character" w:customStyle="1" w:styleId="17">
    <w:name w:val="二级标题 Char"/>
    <w:link w:val="15"/>
    <w:qFormat/>
    <w:uiPriority w:val="0"/>
    <w:rPr>
      <w:rFonts w:ascii="Times New Roman" w:hAnsi="Times New Roman" w:eastAsia="楷体_GB2312" w:cstheme="minorBidi"/>
      <w:sz w:val="32"/>
    </w:rPr>
  </w:style>
  <w:style w:type="character" w:customStyle="1" w:styleId="18">
    <w:name w:val="font81"/>
    <w:basedOn w:val="10"/>
    <w:qFormat/>
    <w:uiPriority w:val="0"/>
    <w:rPr>
      <w:rFonts w:hint="eastAsia" w:ascii="仿宋_GB2312" w:eastAsia="仿宋_GB2312" w:cs="仿宋_GB2312"/>
      <w:b/>
      <w:color w:val="000000"/>
      <w:sz w:val="22"/>
      <w:szCs w:val="22"/>
      <w:u w:val="none"/>
    </w:rPr>
  </w:style>
  <w:style w:type="character" w:customStyle="1" w:styleId="19">
    <w:name w:val="font101"/>
    <w:basedOn w:val="10"/>
    <w:qFormat/>
    <w:uiPriority w:val="0"/>
    <w:rPr>
      <w:rFonts w:hint="eastAsia" w:ascii="仿宋_GB2312" w:eastAsia="仿宋_GB2312" w:cs="仿宋_GB2312"/>
      <w:color w:val="000000"/>
      <w:sz w:val="22"/>
      <w:szCs w:val="22"/>
      <w:u w:val="none"/>
    </w:rPr>
  </w:style>
  <w:style w:type="character" w:customStyle="1" w:styleId="20">
    <w:name w:val="font112"/>
    <w:basedOn w:val="10"/>
    <w:qFormat/>
    <w:uiPriority w:val="0"/>
    <w:rPr>
      <w:rFonts w:hint="eastAsia" w:ascii="仿宋_GB2312" w:eastAsia="仿宋_GB2312" w:cs="仿宋_GB2312"/>
      <w:b/>
      <w:color w:val="000000"/>
      <w:sz w:val="22"/>
      <w:szCs w:val="22"/>
      <w:u w:val="none"/>
    </w:rPr>
  </w:style>
  <w:style w:type="character" w:customStyle="1" w:styleId="21">
    <w:name w:val="font41"/>
    <w:basedOn w:val="10"/>
    <w:qFormat/>
    <w:uiPriority w:val="0"/>
    <w:rPr>
      <w:rFonts w:hint="eastAsia" w:ascii="仿宋_GB2312" w:eastAsia="仿宋_GB2312" w:cs="仿宋_GB2312"/>
      <w:color w:val="000000"/>
      <w:sz w:val="22"/>
      <w:szCs w:val="22"/>
      <w:u w:val="none"/>
    </w:rPr>
  </w:style>
  <w:style w:type="character" w:customStyle="1" w:styleId="22">
    <w:name w:val="font11"/>
    <w:basedOn w:val="10"/>
    <w:qFormat/>
    <w:uiPriority w:val="0"/>
    <w:rPr>
      <w:rFonts w:hint="eastAsia" w:ascii="仿宋_GB2312" w:eastAsia="仿宋_GB2312" w:cs="仿宋_GB2312"/>
      <w:b/>
      <w:color w:val="000000"/>
      <w:sz w:val="22"/>
      <w:szCs w:val="22"/>
      <w:u w:val="none"/>
    </w:rPr>
  </w:style>
  <w:style w:type="character" w:customStyle="1" w:styleId="23">
    <w:name w:val="font71"/>
    <w:basedOn w:val="10"/>
    <w:qFormat/>
    <w:uiPriority w:val="0"/>
    <w:rPr>
      <w:rFonts w:hint="eastAsia" w:ascii="仿宋_GB2312" w:eastAsia="仿宋_GB2312" w:cs="仿宋_GB2312"/>
      <w:color w:val="000000"/>
      <w:sz w:val="22"/>
      <w:szCs w:val="22"/>
      <w:u w:val="none"/>
    </w:rPr>
  </w:style>
  <w:style w:type="character" w:customStyle="1" w:styleId="24">
    <w:name w:val="font51"/>
    <w:basedOn w:val="10"/>
    <w:qFormat/>
    <w:uiPriority w:val="0"/>
    <w:rPr>
      <w:rFonts w:ascii="Calibri" w:hAnsi="Calibri" w:cs="Calibri"/>
      <w:color w:val="000000"/>
      <w:sz w:val="22"/>
      <w:szCs w:val="22"/>
      <w:u w:val="none"/>
    </w:rPr>
  </w:style>
  <w:style w:type="character" w:customStyle="1" w:styleId="25">
    <w:name w:val="font31"/>
    <w:basedOn w:val="10"/>
    <w:qFormat/>
    <w:uiPriority w:val="0"/>
    <w:rPr>
      <w:rFonts w:hint="eastAsia" w:ascii="仿宋_GB2312" w:eastAsia="仿宋_GB2312" w:cs="仿宋_GB2312"/>
      <w:b/>
      <w:color w:val="000000"/>
      <w:sz w:val="21"/>
      <w:szCs w:val="21"/>
      <w:u w:val="none"/>
    </w:rPr>
  </w:style>
  <w:style w:type="character" w:customStyle="1" w:styleId="26">
    <w:name w:val="font61"/>
    <w:basedOn w:val="10"/>
    <w:qFormat/>
    <w:uiPriority w:val="0"/>
    <w:rPr>
      <w:rFonts w:hint="eastAsia" w:ascii="仿宋_GB2312" w:eastAsia="仿宋_GB2312" w:cs="仿宋_GB2312"/>
      <w:color w:val="000000"/>
      <w:sz w:val="21"/>
      <w:szCs w:val="21"/>
      <w:u w:val="none"/>
    </w:rPr>
  </w:style>
  <w:style w:type="character" w:customStyle="1" w:styleId="27">
    <w:name w:val="尾注文本 Char"/>
    <w:basedOn w:val="10"/>
    <w:link w:val="3"/>
    <w:qFormat/>
    <w:uiPriority w:val="0"/>
    <w:rPr>
      <w:rFonts w:ascii="Calibri" w:hAnsi="Calibri" w:cs="宋体"/>
      <w:kern w:val="2"/>
      <w:sz w:val="21"/>
      <w:szCs w:val="24"/>
    </w:rPr>
  </w:style>
  <w:style w:type="character" w:customStyle="1" w:styleId="28">
    <w:name w:val="批注框文本 Char"/>
    <w:basedOn w:val="10"/>
    <w:link w:val="4"/>
    <w:qFormat/>
    <w:uiPriority w:val="0"/>
    <w:rPr>
      <w:rFonts w:ascii="Calibri" w:hAnsi="Calibri" w:eastAsia="宋体" w:cs="宋体"/>
      <w:kern w:val="2"/>
      <w:sz w:val="18"/>
      <w:szCs w:val="18"/>
    </w:rPr>
  </w:style>
  <w:style w:type="paragraph" w:customStyle="1" w:styleId="29">
    <w:name w:val="修订1"/>
    <w:hidden/>
    <w:unhideWhenUsed/>
    <w:qFormat/>
    <w:uiPriority w:val="99"/>
    <w:rPr>
      <w:rFonts w:ascii="Calibri" w:hAnsi="Calibri" w:eastAsia="宋体" w:cs="宋体"/>
      <w:kern w:val="2"/>
      <w:sz w:val="21"/>
      <w:szCs w:val="24"/>
      <w:lang w:val="en-US" w:eastAsia="zh-CN" w:bidi="ar-SA"/>
    </w:rPr>
  </w:style>
  <w:style w:type="paragraph" w:customStyle="1" w:styleId="30">
    <w:name w:val="Revision"/>
    <w:hidden/>
    <w:unhideWhenUsed/>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F7798-0D59-48E4-BB01-3B22E7E9633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40</Pages>
  <Words>3915</Words>
  <Characters>22321</Characters>
  <Lines>186</Lines>
  <Paragraphs>52</Paragraphs>
  <TotalTime>2</TotalTime>
  <ScaleCrop>false</ScaleCrop>
  <LinksUpToDate>false</LinksUpToDate>
  <CharactersWithSpaces>26184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2020-11-02T07:29:00Z</dcterms:created>
  <dc:creator>孟祖凯</dc:creator>
  <cp:lastModifiedBy>星辰大海</cp:lastModifiedBy>
  <cp:lastPrinted>2020-10-20T00:15:00Z</cp:lastPrinted>
  <dcterms:modified xsi:type="dcterms:W3CDTF">2023-11-17T03:58:38Z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795F617D79C44B01B0FC5DC5D66C8E83_12</vt:lpwstr>
  </property>
</Properties>
</file>