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spacing w:after="0" w:line="560" w:lineRule="exact"/>
        <w:rPr>
          <w:b/>
          <w:sz w:val="44"/>
          <w:szCs w:val="44"/>
          <w:lang w:eastAsia="zh-CN"/>
        </w:rPr>
      </w:pPr>
      <w:bookmarkStart w:id="0" w:name="bookmark13"/>
      <w:bookmarkStart w:id="1" w:name="bookmark15"/>
      <w:bookmarkStart w:id="2" w:name="bookmark14"/>
      <w:bookmarkStart w:id="16" w:name="_GoBack"/>
      <w:r>
        <w:rPr>
          <w:rFonts w:hint="eastAsia"/>
          <w:b/>
          <w:sz w:val="44"/>
          <w:szCs w:val="44"/>
          <w:lang w:eastAsia="zh-CN"/>
        </w:rPr>
        <w:t>诸暨经济开发区管理委员会</w:t>
      </w:r>
      <w:r>
        <w:rPr>
          <w:rFonts w:hint="eastAsia"/>
          <w:b/>
          <w:sz w:val="44"/>
          <w:szCs w:val="44"/>
        </w:rPr>
        <w:t>实施柴油移动源</w:t>
      </w:r>
    </w:p>
    <w:p>
      <w:pPr>
        <w:pStyle w:val="6"/>
        <w:keepNext/>
        <w:keepLines/>
        <w:spacing w:after="0" w:line="560" w:lineRule="exact"/>
        <w:rPr>
          <w:b/>
          <w:sz w:val="44"/>
          <w:szCs w:val="44"/>
        </w:rPr>
      </w:pPr>
      <w:r>
        <w:rPr>
          <w:rFonts w:hint="eastAsia"/>
          <w:b/>
          <w:sz w:val="44"/>
          <w:szCs w:val="44"/>
        </w:rPr>
        <w:t>排放分类管理的考核评价细则</w:t>
      </w:r>
      <w:bookmarkEnd w:id="0"/>
      <w:bookmarkEnd w:id="1"/>
      <w:bookmarkEnd w:id="2"/>
    </w:p>
    <w:bookmarkEnd w:id="16"/>
    <w:p>
      <w:pPr>
        <w:pStyle w:val="7"/>
        <w:spacing w:line="400" w:lineRule="exact"/>
        <w:ind w:firstLine="618"/>
        <w:jc w:val="both"/>
        <w:rPr>
          <w:rFonts w:ascii="仿宋_GB2312" w:eastAsia="仿宋_GB2312"/>
          <w:sz w:val="32"/>
          <w:szCs w:val="32"/>
          <w:lang w:eastAsia="zh-CN"/>
        </w:rPr>
      </w:pPr>
    </w:p>
    <w:p>
      <w:pPr>
        <w:pStyle w:val="7"/>
        <w:spacing w:line="560" w:lineRule="exact"/>
        <w:ind w:firstLine="620"/>
        <w:jc w:val="both"/>
        <w:rPr>
          <w:rFonts w:ascii="仿宋_GB2312" w:eastAsia="仿宋_GB2312"/>
          <w:sz w:val="32"/>
          <w:szCs w:val="32"/>
        </w:rPr>
      </w:pPr>
      <w:r>
        <w:rPr>
          <w:rFonts w:hint="eastAsia" w:ascii="仿宋_GB2312" w:eastAsia="仿宋_GB2312"/>
          <w:sz w:val="32"/>
          <w:szCs w:val="32"/>
        </w:rPr>
        <w:t>为巩固蓝天保卫战成果，深入实施细颗粒物</w:t>
      </w:r>
      <w:r>
        <w:rPr>
          <w:rFonts w:hint="eastAsia" w:ascii="仿宋_GB2312" w:eastAsia="仿宋_GB2312"/>
          <w:b/>
          <w:bCs/>
          <w:sz w:val="32"/>
          <w:szCs w:val="32"/>
          <w:lang w:val="en-US" w:eastAsia="zh-CN"/>
        </w:rPr>
        <w:t>（</w:t>
      </w:r>
      <w:r>
        <w:rPr>
          <w:rFonts w:ascii="仿宋_GB2312" w:eastAsia="仿宋_GB2312"/>
          <w:b/>
          <w:bCs/>
          <w:sz w:val="32"/>
          <w:szCs w:val="32"/>
          <w:lang w:val="en-US" w:eastAsia="zh-CN"/>
        </w:rPr>
        <w:t xml:space="preserve">PM2.5 </w:t>
      </w:r>
      <w:r>
        <w:rPr>
          <w:rFonts w:hint="eastAsia" w:ascii="仿宋_GB2312" w:eastAsia="仿宋_GB2312"/>
          <w:b/>
          <w:bCs/>
          <w:sz w:val="32"/>
          <w:szCs w:val="32"/>
        </w:rPr>
        <w:t>）</w:t>
      </w:r>
      <w:r>
        <w:rPr>
          <w:rFonts w:hint="eastAsia" w:ascii="仿宋_GB2312" w:eastAsia="仿宋_GB2312"/>
          <w:sz w:val="32"/>
          <w:szCs w:val="32"/>
        </w:rPr>
        <w:t>和臭氧</w:t>
      </w:r>
      <w:r>
        <w:rPr>
          <w:rFonts w:hint="eastAsia" w:ascii="仿宋_GB2312" w:eastAsia="仿宋_GB2312"/>
          <w:b/>
          <w:bCs/>
          <w:sz w:val="32"/>
          <w:szCs w:val="32"/>
        </w:rPr>
        <w:t>（</w:t>
      </w:r>
      <w:r>
        <w:rPr>
          <w:rFonts w:ascii="仿宋_GB2312" w:eastAsia="仿宋_GB2312"/>
          <w:b/>
          <w:bCs/>
          <w:sz w:val="32"/>
          <w:szCs w:val="32"/>
          <w:lang w:val="en-US" w:eastAsia="zh-CN"/>
        </w:rPr>
        <w:t>O</w:t>
      </w:r>
      <w:r>
        <w:rPr>
          <w:rFonts w:hint="eastAsia" w:ascii="仿宋_GB2312" w:hAnsi="MS Mincho" w:eastAsia="MS Mincho" w:cs="MS Mincho"/>
          <w:b/>
          <w:bCs/>
          <w:sz w:val="32"/>
          <w:szCs w:val="32"/>
          <w:lang w:val="en-US" w:eastAsia="zh-CN"/>
        </w:rPr>
        <w:t>₃</w:t>
      </w:r>
      <w:r>
        <w:rPr>
          <w:rFonts w:hint="eastAsia" w:ascii="仿宋_GB2312" w:eastAsia="仿宋_GB2312"/>
          <w:b/>
          <w:bCs/>
          <w:sz w:val="32"/>
          <w:szCs w:val="32"/>
          <w:lang w:val="en-US" w:eastAsia="zh-CN"/>
        </w:rPr>
        <w:t>）</w:t>
      </w:r>
      <w:r>
        <w:rPr>
          <w:rFonts w:hint="eastAsia" w:ascii="仿宋_GB2312" w:eastAsia="仿宋_GB2312"/>
          <w:sz w:val="32"/>
          <w:szCs w:val="32"/>
          <w:lang w:val="zh-CN" w:eastAsia="zh-CN"/>
        </w:rPr>
        <w:t>“双控</w:t>
      </w:r>
      <w:r>
        <w:rPr>
          <w:rFonts w:hint="eastAsia" w:ascii="仿宋_GB2312" w:eastAsia="仿宋_GB2312"/>
          <w:sz w:val="32"/>
          <w:szCs w:val="32"/>
        </w:rPr>
        <w:t>双减”，根据</w:t>
      </w:r>
      <w:r>
        <w:rPr>
          <w:rFonts w:hint="eastAsia" w:ascii="仿宋_GB2312" w:eastAsia="仿宋_GB2312"/>
          <w:sz w:val="32"/>
          <w:szCs w:val="32"/>
          <w:lang w:eastAsia="zh-CN"/>
        </w:rPr>
        <w:t>《绍兴市打赢蓝天保卫战领导小组综合协调办公室关于推进柴油动力移动源绿色水平的通知》、</w:t>
      </w:r>
      <w:r>
        <w:rPr>
          <w:rFonts w:hint="eastAsia" w:ascii="仿宋_GB2312" w:eastAsia="仿宋_GB2312"/>
          <w:sz w:val="32"/>
          <w:szCs w:val="32"/>
        </w:rPr>
        <w:t>《绍兴市柴油动力移动源环保分类认定办法》和《</w:t>
      </w:r>
      <w:r>
        <w:rPr>
          <w:rFonts w:hint="eastAsia" w:ascii="仿宋_GB2312" w:eastAsia="仿宋_GB2312"/>
          <w:sz w:val="32"/>
          <w:szCs w:val="32"/>
          <w:lang w:eastAsia="zh-CN"/>
        </w:rPr>
        <w:t>诸暨经济开发区管理委员会</w:t>
      </w:r>
      <w:r>
        <w:rPr>
          <w:rFonts w:hint="eastAsia" w:ascii="仿宋_GB2312" w:eastAsia="仿宋_GB2312"/>
          <w:sz w:val="32"/>
          <w:szCs w:val="32"/>
        </w:rPr>
        <w:t>实施柴油移动源排放分类管理的引导方案》要求，做好柴油移动源排放分类管理，</w:t>
      </w:r>
      <w:r>
        <w:rPr>
          <w:rFonts w:hint="eastAsia" w:ascii="仿宋_GB2312" w:eastAsia="仿宋_GB2312"/>
          <w:sz w:val="32"/>
          <w:szCs w:val="32"/>
          <w:lang w:eastAsia="zh-CN"/>
        </w:rPr>
        <w:t>开发区区域</w:t>
      </w:r>
      <w:r>
        <w:rPr>
          <w:rFonts w:hint="eastAsia" w:ascii="仿宋_GB2312" w:eastAsia="仿宋_GB2312"/>
          <w:sz w:val="32"/>
          <w:szCs w:val="32"/>
        </w:rPr>
        <w:t>实际</w:t>
      </w:r>
      <w:r>
        <w:rPr>
          <w:rFonts w:hint="eastAsia" w:ascii="仿宋_GB2312" w:eastAsia="仿宋_GB2312"/>
          <w:sz w:val="32"/>
          <w:szCs w:val="32"/>
          <w:lang w:eastAsia="zh-CN"/>
        </w:rPr>
        <w:t>情况</w:t>
      </w:r>
      <w:r>
        <w:rPr>
          <w:rFonts w:hint="eastAsia" w:ascii="仿宋_GB2312" w:eastAsia="仿宋_GB2312"/>
          <w:sz w:val="32"/>
          <w:szCs w:val="32"/>
        </w:rPr>
        <w:t>，特制定考核评价细则。</w:t>
      </w:r>
    </w:p>
    <w:p>
      <w:pPr>
        <w:pStyle w:val="7"/>
        <w:spacing w:line="560" w:lineRule="exact"/>
        <w:ind w:firstLine="0"/>
        <w:jc w:val="center"/>
        <w:rPr>
          <w:rFonts w:ascii="黑体" w:hAnsi="黑体" w:eastAsia="黑体"/>
          <w:sz w:val="32"/>
          <w:szCs w:val="32"/>
        </w:rPr>
      </w:pPr>
      <w:r>
        <w:rPr>
          <w:rFonts w:hint="eastAsia" w:ascii="黑体" w:hAnsi="黑体" w:eastAsia="黑体"/>
          <w:bCs/>
          <w:sz w:val="32"/>
          <w:szCs w:val="32"/>
        </w:rPr>
        <w:t>第一章考核评价目的</w:t>
      </w:r>
    </w:p>
    <w:p>
      <w:pPr>
        <w:pStyle w:val="7"/>
        <w:tabs>
          <w:tab w:val="left" w:pos="1589"/>
        </w:tabs>
        <w:spacing w:line="560" w:lineRule="exact"/>
        <w:ind w:firstLine="0"/>
        <w:rPr>
          <w:rFonts w:ascii="仿宋_GB2312" w:eastAsia="仿宋_GB2312"/>
          <w:sz w:val="32"/>
          <w:szCs w:val="32"/>
        </w:rPr>
      </w:pPr>
      <w:bookmarkStart w:id="3" w:name="bookmark16"/>
      <w:r>
        <w:rPr>
          <w:rFonts w:hint="eastAsia" w:ascii="仿宋_GB2312" w:eastAsia="仿宋_GB2312"/>
          <w:sz w:val="32"/>
          <w:szCs w:val="32"/>
        </w:rPr>
        <w:t>（</w:t>
      </w:r>
      <w:bookmarkEnd w:id="3"/>
      <w:r>
        <w:rPr>
          <w:rFonts w:hint="eastAsia" w:ascii="仿宋_GB2312" w:eastAsia="仿宋_GB2312"/>
          <w:sz w:val="32"/>
          <w:szCs w:val="32"/>
        </w:rPr>
        <w:t>一）加强柴油移动源排放分类管理</w:t>
      </w:r>
    </w:p>
    <w:p>
      <w:pPr>
        <w:pStyle w:val="7"/>
        <w:spacing w:line="560" w:lineRule="exact"/>
        <w:ind w:firstLine="620"/>
        <w:jc w:val="both"/>
        <w:rPr>
          <w:rFonts w:ascii="仿宋_GB2312" w:eastAsia="仿宋_GB2312"/>
          <w:sz w:val="32"/>
          <w:szCs w:val="32"/>
        </w:rPr>
      </w:pPr>
      <w:r>
        <w:rPr>
          <w:rFonts w:hint="eastAsia" w:ascii="仿宋_GB2312" w:eastAsia="仿宋_GB2312"/>
          <w:sz w:val="32"/>
          <w:szCs w:val="32"/>
          <w:lang w:eastAsia="zh-CN"/>
        </w:rPr>
        <w:t>各个项目</w:t>
      </w:r>
      <w:r>
        <w:rPr>
          <w:rFonts w:hint="eastAsia" w:ascii="仿宋_GB2312" w:eastAsia="仿宋_GB2312"/>
          <w:sz w:val="32"/>
          <w:szCs w:val="32"/>
        </w:rPr>
        <w:t>现场严格落实柴油移动源排放分类管理，建立柴油移动源督查考核机制，完善柴油移动源排放分类管理考核办法。</w:t>
      </w:r>
    </w:p>
    <w:p>
      <w:pPr>
        <w:pStyle w:val="7"/>
        <w:tabs>
          <w:tab w:val="left" w:pos="1589"/>
        </w:tabs>
        <w:spacing w:line="560" w:lineRule="exact"/>
        <w:ind w:firstLine="0"/>
        <w:jc w:val="both"/>
        <w:rPr>
          <w:rFonts w:ascii="仿宋_GB2312" w:eastAsia="仿宋_GB2312"/>
          <w:sz w:val="32"/>
          <w:szCs w:val="32"/>
        </w:rPr>
      </w:pPr>
      <w:bookmarkStart w:id="4" w:name="bookmark17"/>
      <w:r>
        <w:rPr>
          <w:rFonts w:hint="eastAsia" w:ascii="仿宋_GB2312" w:eastAsia="仿宋_GB2312"/>
          <w:sz w:val="32"/>
          <w:szCs w:val="32"/>
        </w:rPr>
        <w:t>（</w:t>
      </w:r>
      <w:bookmarkEnd w:id="4"/>
      <w:r>
        <w:rPr>
          <w:rFonts w:hint="eastAsia" w:ascii="仿宋_GB2312" w:eastAsia="仿宋_GB2312"/>
          <w:sz w:val="32"/>
          <w:szCs w:val="32"/>
        </w:rPr>
        <w:t>二）优化柴油移动源结构</w:t>
      </w:r>
    </w:p>
    <w:p>
      <w:pPr>
        <w:pStyle w:val="7"/>
        <w:spacing w:line="560" w:lineRule="exact"/>
        <w:ind w:firstLine="620"/>
        <w:jc w:val="both"/>
        <w:rPr>
          <w:rFonts w:ascii="仿宋_GB2312" w:eastAsia="仿宋_GB2312"/>
          <w:sz w:val="32"/>
          <w:szCs w:val="32"/>
        </w:rPr>
      </w:pPr>
      <w:r>
        <w:rPr>
          <w:rFonts w:hint="eastAsia" w:ascii="仿宋_GB2312" w:eastAsia="仿宋_GB2312"/>
          <w:sz w:val="32"/>
          <w:szCs w:val="32"/>
        </w:rPr>
        <w:t>开展柴油移动源摸底调查，加快推进老旧工程机械高排放移动源改造治理淘汰工作，优化</w:t>
      </w:r>
      <w:r>
        <w:rPr>
          <w:rFonts w:hint="eastAsia" w:ascii="仿宋_GB2312" w:eastAsia="仿宋_GB2312"/>
          <w:sz w:val="32"/>
          <w:szCs w:val="32"/>
          <w:lang w:eastAsia="zh-CN"/>
        </w:rPr>
        <w:t>各项目</w:t>
      </w:r>
      <w:r>
        <w:rPr>
          <w:rFonts w:hint="eastAsia" w:ascii="仿宋_GB2312" w:eastAsia="仿宋_GB2312"/>
          <w:sz w:val="32"/>
          <w:szCs w:val="32"/>
        </w:rPr>
        <w:t>柴油移动源结构。</w:t>
      </w:r>
    </w:p>
    <w:p>
      <w:pPr>
        <w:pStyle w:val="7"/>
        <w:spacing w:line="560" w:lineRule="exact"/>
        <w:ind w:firstLine="0"/>
        <w:jc w:val="center"/>
        <w:rPr>
          <w:rFonts w:ascii="黑体" w:hAnsi="黑体" w:eastAsia="黑体"/>
          <w:sz w:val="32"/>
          <w:szCs w:val="32"/>
        </w:rPr>
      </w:pPr>
      <w:r>
        <w:rPr>
          <w:rFonts w:hint="eastAsia" w:ascii="黑体" w:hAnsi="黑体" w:eastAsia="黑体"/>
          <w:bCs/>
          <w:sz w:val="32"/>
          <w:szCs w:val="32"/>
        </w:rPr>
        <w:t>第二章考核评价内容</w:t>
      </w:r>
    </w:p>
    <w:p>
      <w:pPr>
        <w:pStyle w:val="7"/>
        <w:spacing w:line="560" w:lineRule="exact"/>
        <w:ind w:firstLine="640" w:firstLineChars="200"/>
        <w:jc w:val="both"/>
        <w:rPr>
          <w:rFonts w:ascii="仿宋_GB2312" w:eastAsia="仿宋_GB2312"/>
          <w:sz w:val="32"/>
          <w:szCs w:val="32"/>
        </w:rPr>
      </w:pPr>
      <w:bookmarkStart w:id="5" w:name="bookmark18"/>
      <w:r>
        <w:rPr>
          <w:rFonts w:hint="eastAsia" w:ascii="仿宋_GB2312" w:eastAsia="仿宋_GB2312"/>
          <w:sz w:val="32"/>
          <w:szCs w:val="32"/>
        </w:rPr>
        <w:t>（</w:t>
      </w:r>
      <w:bookmarkEnd w:id="5"/>
      <w:r>
        <w:rPr>
          <w:rFonts w:hint="eastAsia" w:ascii="仿宋_GB2312" w:eastAsia="仿宋_GB2312"/>
          <w:sz w:val="32"/>
          <w:szCs w:val="32"/>
        </w:rPr>
        <w:t>一）要求加强组织管理，成立柴油移动源排放分类管理组织机构，有专职或兼职人员负责现场柴油移动源排放分类管理工作，开展相关柴油移动源排放分类管理并制定相应管理制度。定期开展相关方面的自检自查，发现问题及时整改，建立柴油移动源排放分类管理工作台账。</w:t>
      </w:r>
    </w:p>
    <w:p>
      <w:pPr>
        <w:pStyle w:val="7"/>
        <w:tabs>
          <w:tab w:val="left" w:pos="1621"/>
        </w:tabs>
        <w:spacing w:line="560" w:lineRule="exact"/>
        <w:ind w:firstLine="780"/>
        <w:jc w:val="both"/>
        <w:rPr>
          <w:rFonts w:ascii="仿宋_GB2312" w:eastAsia="仿宋_GB2312"/>
          <w:sz w:val="32"/>
          <w:szCs w:val="32"/>
        </w:rPr>
      </w:pPr>
      <w:bookmarkStart w:id="6" w:name="bookmark19"/>
      <w:r>
        <w:rPr>
          <w:rFonts w:hint="eastAsia" w:ascii="仿宋_GB2312" w:eastAsia="仿宋_GB2312"/>
          <w:sz w:val="32"/>
          <w:szCs w:val="32"/>
        </w:rPr>
        <w:t>（</w:t>
      </w:r>
      <w:bookmarkEnd w:id="6"/>
      <w:r>
        <w:rPr>
          <w:rFonts w:hint="eastAsia" w:ascii="仿宋_GB2312" w:eastAsia="仿宋_GB2312"/>
          <w:sz w:val="32"/>
          <w:szCs w:val="32"/>
        </w:rPr>
        <w:t>二）全面排查梳理本项目所有柴油移动源清单，并建立柴油移动源基础清单，包括柴油移动源的进场出场、使用道路场所范围、申请认定情况、重新改造治理情况、分类认定颜色、认定有效期等内容，并动态更新清单内容。</w:t>
      </w:r>
    </w:p>
    <w:p>
      <w:pPr>
        <w:pStyle w:val="7"/>
        <w:tabs>
          <w:tab w:val="left" w:pos="1621"/>
        </w:tabs>
        <w:spacing w:line="560" w:lineRule="exact"/>
        <w:ind w:firstLine="780"/>
        <w:jc w:val="both"/>
        <w:rPr>
          <w:rFonts w:ascii="仿宋_GB2312" w:eastAsia="仿宋_GB2312"/>
          <w:sz w:val="32"/>
          <w:szCs w:val="32"/>
        </w:rPr>
      </w:pPr>
      <w:bookmarkStart w:id="7" w:name="bookmark20"/>
      <w:r>
        <w:rPr>
          <w:rFonts w:hint="eastAsia" w:ascii="仿宋_GB2312" w:eastAsia="仿宋_GB2312"/>
          <w:sz w:val="32"/>
          <w:szCs w:val="32"/>
        </w:rPr>
        <w:t>（</w:t>
      </w:r>
      <w:bookmarkEnd w:id="7"/>
      <w:r>
        <w:rPr>
          <w:rFonts w:hint="eastAsia" w:ascii="仿宋_GB2312" w:eastAsia="仿宋_GB2312"/>
          <w:sz w:val="32"/>
          <w:szCs w:val="32"/>
        </w:rPr>
        <w:t>三）把柴油移动源检查纳入到日常扬尘检查中，切实做到问题隐患发现一台、登记一台、治理（清退）一台，做到检查治理闭环管控管理，确保柴油移动源排放分类管理。</w:t>
      </w:r>
    </w:p>
    <w:p>
      <w:pPr>
        <w:pStyle w:val="7"/>
        <w:tabs>
          <w:tab w:val="left" w:pos="1616"/>
        </w:tabs>
        <w:spacing w:line="560" w:lineRule="exact"/>
        <w:ind w:firstLine="780"/>
        <w:jc w:val="both"/>
        <w:rPr>
          <w:rFonts w:ascii="仿宋_GB2312" w:eastAsia="仿宋_GB2312"/>
          <w:sz w:val="32"/>
          <w:szCs w:val="32"/>
        </w:rPr>
      </w:pPr>
      <w:bookmarkStart w:id="8" w:name="bookmark21"/>
      <w:r>
        <w:rPr>
          <w:rFonts w:hint="eastAsia" w:ascii="仿宋_GB2312" w:eastAsia="仿宋_GB2312"/>
          <w:sz w:val="32"/>
          <w:szCs w:val="32"/>
        </w:rPr>
        <w:t>（</w:t>
      </w:r>
      <w:bookmarkEnd w:id="8"/>
      <w:r>
        <w:rPr>
          <w:rFonts w:hint="eastAsia" w:ascii="仿宋_GB2312" w:eastAsia="仿宋_GB2312"/>
          <w:sz w:val="32"/>
          <w:szCs w:val="32"/>
        </w:rPr>
        <w:t>四）在前期柴油移动源摸排梳理的基础上，及时按照认定流程开展申请认定工作，对需要治理改造的柴油移动源要尽快按照要求委托治理单位实施改造。同时，做好每年提前递交延续认定申请，确保柴油移动源始终挂牌赋码并符合排放标准。</w:t>
      </w:r>
    </w:p>
    <w:p>
      <w:pPr>
        <w:pStyle w:val="7"/>
        <w:tabs>
          <w:tab w:val="left" w:pos="1606"/>
        </w:tabs>
        <w:spacing w:line="560" w:lineRule="exact"/>
        <w:ind w:firstLine="780"/>
        <w:jc w:val="both"/>
        <w:rPr>
          <w:rFonts w:ascii="仿宋_GB2312" w:eastAsia="仿宋_GB2312"/>
          <w:sz w:val="32"/>
          <w:szCs w:val="32"/>
        </w:rPr>
      </w:pPr>
      <w:bookmarkStart w:id="9" w:name="bookmark22"/>
      <w:r>
        <w:rPr>
          <w:rFonts w:hint="eastAsia" w:ascii="仿宋_GB2312" w:eastAsia="仿宋_GB2312"/>
          <w:sz w:val="32"/>
          <w:szCs w:val="32"/>
        </w:rPr>
        <w:t>（</w:t>
      </w:r>
      <w:bookmarkEnd w:id="9"/>
      <w:r>
        <w:rPr>
          <w:rFonts w:hint="eastAsia" w:ascii="仿宋_GB2312" w:eastAsia="仿宋_GB2312"/>
          <w:sz w:val="32"/>
          <w:szCs w:val="32"/>
        </w:rPr>
        <w:t>五）分阶段、分步骤推进柴油移动源分类管理，要求在</w:t>
      </w:r>
      <w:r>
        <w:rPr>
          <w:rFonts w:ascii="仿宋_GB2312" w:hAnsi="Times New Roman" w:eastAsia="仿宋_GB2312" w:cs="Times New Roman"/>
          <w:b/>
          <w:bCs/>
          <w:sz w:val="32"/>
          <w:szCs w:val="32"/>
        </w:rPr>
        <w:t xml:space="preserve">7 </w:t>
      </w:r>
      <w:r>
        <w:rPr>
          <w:rFonts w:hint="eastAsia" w:ascii="仿宋_GB2312" w:eastAsia="仿宋_GB2312"/>
          <w:sz w:val="32"/>
          <w:szCs w:val="32"/>
        </w:rPr>
        <w:t>月底前完成所有柴油移动源摸底排查，并建立本项目柴油移动源清单，对不符合的及时治理改造，于</w:t>
      </w:r>
      <w:r>
        <w:rPr>
          <w:rFonts w:ascii="仿宋_GB2312" w:hAnsi="Times New Roman" w:eastAsia="仿宋_GB2312" w:cs="Times New Roman"/>
          <w:b/>
          <w:bCs/>
          <w:sz w:val="32"/>
          <w:szCs w:val="32"/>
        </w:rPr>
        <w:t>9</w:t>
      </w:r>
      <w:r>
        <w:rPr>
          <w:rFonts w:hint="eastAsia" w:ascii="仿宋_GB2312" w:eastAsia="仿宋_GB2312"/>
          <w:sz w:val="32"/>
          <w:szCs w:val="32"/>
        </w:rPr>
        <w:t>月底前完成所有柴油移动源申请认定，分类管理。</w:t>
      </w:r>
    </w:p>
    <w:p>
      <w:pPr>
        <w:pStyle w:val="7"/>
        <w:spacing w:line="560" w:lineRule="exact"/>
        <w:ind w:firstLine="0"/>
        <w:jc w:val="center"/>
        <w:rPr>
          <w:rFonts w:ascii="黑体" w:hAnsi="黑体" w:eastAsia="黑体"/>
          <w:sz w:val="32"/>
          <w:szCs w:val="32"/>
        </w:rPr>
      </w:pPr>
      <w:r>
        <w:rPr>
          <w:rFonts w:hint="eastAsia" w:ascii="黑体" w:hAnsi="黑体" w:eastAsia="黑体"/>
          <w:bCs/>
          <w:sz w:val="32"/>
          <w:szCs w:val="32"/>
        </w:rPr>
        <w:t>第三章奖惩机制</w:t>
      </w:r>
    </w:p>
    <w:p>
      <w:pPr>
        <w:pStyle w:val="7"/>
        <w:tabs>
          <w:tab w:val="left" w:pos="1606"/>
        </w:tabs>
        <w:spacing w:line="560" w:lineRule="exact"/>
        <w:ind w:firstLine="780"/>
        <w:jc w:val="both"/>
        <w:rPr>
          <w:rFonts w:ascii="仿宋_GB2312" w:eastAsia="仿宋_GB2312"/>
          <w:sz w:val="32"/>
          <w:szCs w:val="32"/>
        </w:rPr>
      </w:pPr>
      <w:bookmarkStart w:id="10" w:name="bookmark23"/>
      <w:r>
        <w:rPr>
          <w:rFonts w:hint="eastAsia" w:ascii="仿宋_GB2312" w:eastAsia="仿宋_GB2312"/>
          <w:sz w:val="32"/>
          <w:szCs w:val="32"/>
        </w:rPr>
        <w:t>（</w:t>
      </w:r>
      <w:bookmarkEnd w:id="10"/>
      <w:r>
        <w:rPr>
          <w:rFonts w:hint="eastAsia" w:ascii="仿宋_GB2312" w:eastAsia="仿宋_GB2312"/>
          <w:sz w:val="32"/>
          <w:szCs w:val="32"/>
        </w:rPr>
        <w:t>一）柴油移动源分类管理考核成绩纳入</w:t>
      </w:r>
      <w:r>
        <w:rPr>
          <w:rFonts w:hint="eastAsia" w:ascii="仿宋_GB2312" w:eastAsia="仿宋_GB2312"/>
          <w:sz w:val="32"/>
          <w:szCs w:val="32"/>
          <w:lang w:eastAsia="zh-CN"/>
        </w:rPr>
        <w:t>开发委</w:t>
      </w:r>
      <w:r>
        <w:rPr>
          <w:rFonts w:hint="eastAsia" w:ascii="仿宋_GB2312" w:eastAsia="仿宋_GB2312"/>
          <w:sz w:val="32"/>
          <w:szCs w:val="32"/>
        </w:rPr>
        <w:t>对</w:t>
      </w:r>
      <w:r>
        <w:rPr>
          <w:rFonts w:hint="eastAsia" w:ascii="仿宋_GB2312" w:eastAsia="仿宋_GB2312"/>
          <w:sz w:val="32"/>
          <w:szCs w:val="32"/>
          <w:lang w:eastAsia="zh-CN"/>
        </w:rPr>
        <w:t>各单位</w:t>
      </w:r>
      <w:r>
        <w:rPr>
          <w:rFonts w:hint="eastAsia" w:ascii="仿宋_GB2312" w:eastAsia="仿宋_GB2312"/>
          <w:sz w:val="32"/>
          <w:szCs w:val="32"/>
        </w:rPr>
        <w:t>有关扬尘治理管控的年度考核。</w:t>
      </w:r>
    </w:p>
    <w:p>
      <w:pPr>
        <w:pStyle w:val="7"/>
        <w:tabs>
          <w:tab w:val="left" w:pos="1616"/>
        </w:tabs>
        <w:spacing w:line="560" w:lineRule="exact"/>
        <w:ind w:firstLine="780"/>
        <w:jc w:val="both"/>
        <w:rPr>
          <w:rFonts w:ascii="仿宋_GB2312" w:eastAsia="仿宋_GB2312"/>
          <w:sz w:val="32"/>
          <w:szCs w:val="32"/>
        </w:rPr>
        <w:sectPr>
          <w:pgSz w:w="11900" w:h="16840"/>
          <w:pgMar w:top="2054" w:right="1498" w:bottom="1876" w:left="1536" w:header="0" w:footer="3" w:gutter="0"/>
          <w:cols w:space="720" w:num="1"/>
          <w:docGrid w:linePitch="360" w:charSpace="0"/>
        </w:sectPr>
      </w:pPr>
      <w:bookmarkStart w:id="11" w:name="bookmark24"/>
      <w:r>
        <w:rPr>
          <w:rFonts w:hint="eastAsia" w:ascii="仿宋_GB2312" w:eastAsia="仿宋_GB2312"/>
          <w:sz w:val="32"/>
          <w:szCs w:val="32"/>
        </w:rPr>
        <w:t>（</w:t>
      </w:r>
      <w:bookmarkEnd w:id="11"/>
      <w:r>
        <w:rPr>
          <w:rFonts w:hint="eastAsia" w:ascii="仿宋_GB2312" w:eastAsia="仿宋_GB2312"/>
          <w:sz w:val="32"/>
          <w:szCs w:val="32"/>
        </w:rPr>
        <w:t>二）根据考核评分结果，对存在的问题予以通报，适时组织</w:t>
      </w:r>
      <w:r>
        <w:rPr>
          <w:rFonts w:hint="eastAsia" w:ascii="仿宋_GB2312" w:eastAsia="仿宋_GB2312"/>
          <w:sz w:val="32"/>
          <w:szCs w:val="32"/>
          <w:lang w:val="zh-CN" w:eastAsia="zh-CN"/>
        </w:rPr>
        <w:t>“回</w:t>
      </w:r>
      <w:r>
        <w:rPr>
          <w:rFonts w:hint="eastAsia" w:ascii="仿宋_GB2312" w:eastAsia="仿宋_GB2312"/>
          <w:sz w:val="32"/>
          <w:szCs w:val="32"/>
        </w:rPr>
        <w:t>头看”复查，督促问题整改到位；对逾期不整改或整改不到位的纳入</w:t>
      </w:r>
      <w:r>
        <w:rPr>
          <w:rFonts w:hint="eastAsia" w:ascii="仿宋_GB2312" w:eastAsia="仿宋_GB2312"/>
          <w:sz w:val="32"/>
          <w:szCs w:val="32"/>
          <w:lang w:eastAsia="zh-CN"/>
        </w:rPr>
        <w:t>开发委</w:t>
      </w:r>
      <w:r>
        <w:rPr>
          <w:rFonts w:hint="eastAsia" w:ascii="仿宋_GB2312" w:eastAsia="仿宋_GB2312"/>
          <w:sz w:val="32"/>
          <w:szCs w:val="32"/>
        </w:rPr>
        <w:t>年度信用评价考核。</w:t>
      </w:r>
    </w:p>
    <w:p>
      <w:pPr>
        <w:pStyle w:val="7"/>
        <w:tabs>
          <w:tab w:val="left" w:pos="1616"/>
        </w:tabs>
        <w:spacing w:line="560" w:lineRule="exact"/>
        <w:ind w:firstLine="780"/>
        <w:rPr>
          <w:rFonts w:ascii="仿宋_GB2312" w:eastAsia="仿宋_GB2312"/>
          <w:sz w:val="32"/>
          <w:szCs w:val="32"/>
        </w:rPr>
      </w:pPr>
      <w:bookmarkStart w:id="12" w:name="bookmark25"/>
      <w:r>
        <w:rPr>
          <w:rFonts w:hint="eastAsia" w:ascii="仿宋_GB2312" w:eastAsia="仿宋_GB2312"/>
          <w:sz w:val="32"/>
          <w:szCs w:val="32"/>
        </w:rPr>
        <w:t>（</w:t>
      </w:r>
      <w:bookmarkEnd w:id="12"/>
      <w:r>
        <w:rPr>
          <w:rFonts w:hint="eastAsia" w:ascii="仿宋_GB2312" w:eastAsia="仿宋_GB2312"/>
          <w:sz w:val="32"/>
          <w:szCs w:val="32"/>
        </w:rPr>
        <w:t>三）将柴油移动源实现绿色化作为开展政策扶持、资金支持、评优评先等活动的前置条件。</w:t>
      </w:r>
    </w:p>
    <w:p>
      <w:pPr>
        <w:pStyle w:val="7"/>
        <w:tabs>
          <w:tab w:val="left" w:pos="1611"/>
        </w:tabs>
        <w:spacing w:line="560" w:lineRule="exact"/>
        <w:ind w:firstLine="780"/>
        <w:rPr>
          <w:rFonts w:ascii="仿宋_GB2312" w:eastAsia="仿宋_GB2312"/>
          <w:sz w:val="32"/>
          <w:szCs w:val="32"/>
        </w:rPr>
      </w:pPr>
      <w:bookmarkStart w:id="13" w:name="bookmark26"/>
      <w:r>
        <w:rPr>
          <w:rFonts w:hint="eastAsia" w:ascii="仿宋_GB2312" w:eastAsia="仿宋_GB2312"/>
          <w:sz w:val="32"/>
          <w:szCs w:val="32"/>
        </w:rPr>
        <w:t>（</w:t>
      </w:r>
      <w:bookmarkEnd w:id="13"/>
      <w:r>
        <w:rPr>
          <w:rFonts w:hint="eastAsia" w:ascii="仿宋_GB2312" w:eastAsia="仿宋_GB2312"/>
          <w:sz w:val="32"/>
          <w:szCs w:val="32"/>
        </w:rPr>
        <w:t>四）对工作敷衍、态度消极、行动迟缓或者任务指标落实不力的，将追究有关责任领导和责任负责人的责任。</w:t>
      </w:r>
    </w:p>
    <w:p>
      <w:pPr>
        <w:pStyle w:val="7"/>
        <w:spacing w:line="560" w:lineRule="exact"/>
        <w:ind w:firstLine="0"/>
        <w:jc w:val="center"/>
        <w:rPr>
          <w:rFonts w:ascii="黑体" w:hAnsi="黑体" w:eastAsia="黑体"/>
          <w:sz w:val="32"/>
          <w:szCs w:val="32"/>
        </w:rPr>
      </w:pPr>
      <w:r>
        <w:rPr>
          <w:rFonts w:hint="eastAsia" w:ascii="黑体" w:hAnsi="黑体" w:eastAsia="黑体"/>
          <w:bCs/>
          <w:sz w:val="32"/>
          <w:szCs w:val="32"/>
        </w:rPr>
        <w:t>第四章附则</w:t>
      </w:r>
    </w:p>
    <w:p>
      <w:pPr>
        <w:pStyle w:val="7"/>
        <w:tabs>
          <w:tab w:val="left" w:pos="1614"/>
        </w:tabs>
        <w:spacing w:line="560" w:lineRule="exact"/>
        <w:ind w:firstLine="780"/>
        <w:rPr>
          <w:rFonts w:ascii="仿宋_GB2312" w:eastAsia="仿宋_GB2312"/>
          <w:sz w:val="32"/>
          <w:szCs w:val="32"/>
        </w:rPr>
      </w:pPr>
      <w:bookmarkStart w:id="14" w:name="bookmark27"/>
      <w:r>
        <w:rPr>
          <w:rFonts w:hint="eastAsia" w:ascii="仿宋_GB2312" w:eastAsia="仿宋_GB2312"/>
          <w:sz w:val="32"/>
          <w:szCs w:val="32"/>
        </w:rPr>
        <w:t>（</w:t>
      </w:r>
      <w:bookmarkEnd w:id="14"/>
      <w:r>
        <w:rPr>
          <w:rFonts w:hint="eastAsia" w:ascii="仿宋_GB2312" w:eastAsia="仿宋_GB2312"/>
          <w:sz w:val="32"/>
          <w:szCs w:val="32"/>
        </w:rPr>
        <w:t>一）</w:t>
      </w:r>
      <w:r>
        <w:rPr>
          <w:rFonts w:ascii="仿宋_GB2312" w:eastAsia="仿宋_GB2312"/>
          <w:sz w:val="32"/>
          <w:szCs w:val="32"/>
        </w:rPr>
        <w:tab/>
      </w:r>
      <w:r>
        <w:rPr>
          <w:rFonts w:hint="eastAsia" w:ascii="仿宋_GB2312" w:eastAsia="仿宋_GB2312"/>
          <w:sz w:val="32"/>
          <w:szCs w:val="32"/>
        </w:rPr>
        <w:t>本细则自发布之日起实施。</w:t>
      </w:r>
    </w:p>
    <w:p>
      <w:pPr>
        <w:pStyle w:val="7"/>
        <w:tabs>
          <w:tab w:val="left" w:pos="1614"/>
        </w:tabs>
        <w:spacing w:line="560" w:lineRule="exact"/>
        <w:ind w:firstLine="780"/>
        <w:rPr>
          <w:rFonts w:ascii="仿宋_GB2312" w:eastAsia="仿宋_GB2312"/>
          <w:sz w:val="32"/>
          <w:szCs w:val="32"/>
          <w:lang w:eastAsia="zh-CN"/>
        </w:rPr>
      </w:pPr>
      <w:bookmarkStart w:id="15" w:name="bookmark28"/>
      <w:r>
        <w:rPr>
          <w:rFonts w:hint="eastAsia" w:ascii="仿宋_GB2312" w:eastAsia="仿宋_GB2312"/>
          <w:sz w:val="32"/>
          <w:szCs w:val="32"/>
        </w:rPr>
        <w:t>（</w:t>
      </w:r>
      <w:bookmarkEnd w:id="15"/>
      <w:r>
        <w:rPr>
          <w:rFonts w:hint="eastAsia" w:ascii="仿宋_GB2312" w:eastAsia="仿宋_GB2312"/>
          <w:sz w:val="32"/>
          <w:szCs w:val="32"/>
        </w:rPr>
        <w:t>二）</w:t>
      </w:r>
      <w:r>
        <w:rPr>
          <w:rFonts w:ascii="仿宋_GB2312" w:eastAsia="仿宋_GB2312"/>
          <w:sz w:val="32"/>
          <w:szCs w:val="32"/>
        </w:rPr>
        <w:tab/>
      </w:r>
      <w:r>
        <w:rPr>
          <w:rFonts w:hint="eastAsia" w:ascii="仿宋_GB2312" w:eastAsia="仿宋_GB2312"/>
          <w:sz w:val="32"/>
          <w:szCs w:val="32"/>
        </w:rPr>
        <w:t>本细则由</w:t>
      </w:r>
      <w:r>
        <w:rPr>
          <w:rFonts w:hint="eastAsia" w:ascii="仿宋_GB2312" w:eastAsia="仿宋_GB2312"/>
          <w:sz w:val="32"/>
          <w:szCs w:val="32"/>
          <w:lang w:eastAsia="zh-CN"/>
        </w:rPr>
        <w:t>诸暨经济开发区管理委员会</w:t>
      </w:r>
      <w:r>
        <w:rPr>
          <w:rFonts w:hint="eastAsia" w:ascii="仿宋_GB2312" w:eastAsia="仿宋_GB2312"/>
          <w:sz w:val="32"/>
          <w:szCs w:val="32"/>
        </w:rPr>
        <w:t>负责解释</w:t>
      </w:r>
    </w:p>
    <w:p>
      <w:pPr>
        <w:pStyle w:val="7"/>
        <w:tabs>
          <w:tab w:val="left" w:pos="1614"/>
        </w:tabs>
        <w:spacing w:line="560" w:lineRule="exact"/>
        <w:ind w:firstLine="780"/>
        <w:rPr>
          <w:rFonts w:ascii="仿宋_GB2312" w:eastAsia="仿宋_GB2312"/>
          <w:sz w:val="32"/>
          <w:szCs w:val="32"/>
          <w:lang w:eastAsia="zh-CN"/>
        </w:rPr>
      </w:pPr>
    </w:p>
    <w:p>
      <w:pPr>
        <w:pStyle w:val="7"/>
        <w:tabs>
          <w:tab w:val="left" w:pos="1614"/>
        </w:tabs>
        <w:spacing w:line="560" w:lineRule="exact"/>
        <w:ind w:firstLine="780"/>
        <w:rPr>
          <w:rFonts w:ascii="仿宋_GB2312" w:eastAsia="仿宋_GB2312"/>
          <w:sz w:val="32"/>
          <w:szCs w:val="32"/>
          <w:lang w:eastAsia="zh-CN"/>
        </w:rPr>
      </w:pPr>
    </w:p>
    <w:p>
      <w:pPr>
        <w:pStyle w:val="7"/>
        <w:tabs>
          <w:tab w:val="left" w:pos="1614"/>
        </w:tabs>
        <w:spacing w:line="560" w:lineRule="exact"/>
        <w:ind w:firstLine="780"/>
        <w:rPr>
          <w:rFonts w:ascii="仿宋_GB2312" w:eastAsia="仿宋_GB2312"/>
          <w:sz w:val="32"/>
          <w:szCs w:val="32"/>
          <w:lang w:eastAsia="zh-CN"/>
        </w:rPr>
      </w:pPr>
    </w:p>
    <w:p>
      <w:pPr>
        <w:pStyle w:val="7"/>
        <w:tabs>
          <w:tab w:val="left" w:pos="1614"/>
        </w:tabs>
        <w:spacing w:line="560" w:lineRule="exact"/>
        <w:ind w:firstLine="780"/>
        <w:rPr>
          <w:rFonts w:ascii="仿宋_GB2312" w:eastAsia="仿宋_GB2312"/>
          <w:sz w:val="32"/>
          <w:szCs w:val="32"/>
          <w:lang w:eastAsia="zh-CN"/>
        </w:rPr>
      </w:pPr>
    </w:p>
    <w:p>
      <w:pPr>
        <w:pStyle w:val="7"/>
        <w:tabs>
          <w:tab w:val="left" w:pos="1614"/>
        </w:tabs>
        <w:spacing w:line="560" w:lineRule="exact"/>
        <w:ind w:firstLine="780"/>
        <w:rPr>
          <w:rFonts w:ascii="仿宋_GB2312" w:eastAsia="仿宋_GB2312"/>
          <w:sz w:val="32"/>
          <w:szCs w:val="32"/>
          <w:lang w:eastAsia="zh-CN"/>
        </w:rPr>
      </w:pPr>
    </w:p>
    <w:p>
      <w:pPr>
        <w:pStyle w:val="7"/>
        <w:tabs>
          <w:tab w:val="left" w:pos="1614"/>
        </w:tabs>
        <w:spacing w:line="560" w:lineRule="exact"/>
        <w:ind w:firstLine="780"/>
        <w:rPr>
          <w:rFonts w:ascii="仿宋_GB2312" w:eastAsia="仿宋_GB2312"/>
          <w:sz w:val="32"/>
          <w:szCs w:val="32"/>
          <w:lang w:eastAsia="zh-CN"/>
        </w:rPr>
      </w:pPr>
    </w:p>
    <w:p>
      <w:pPr>
        <w:pStyle w:val="7"/>
        <w:tabs>
          <w:tab w:val="left" w:pos="1614"/>
        </w:tabs>
        <w:spacing w:line="560" w:lineRule="exact"/>
        <w:ind w:firstLine="780"/>
        <w:rPr>
          <w:rFonts w:ascii="仿宋_GB2312" w:eastAsia="仿宋_GB2312"/>
          <w:sz w:val="32"/>
          <w:szCs w:val="32"/>
          <w:lang w:eastAsia="zh-CN"/>
        </w:rPr>
      </w:pPr>
    </w:p>
    <w:p>
      <w:pPr>
        <w:pStyle w:val="7"/>
        <w:tabs>
          <w:tab w:val="left" w:pos="1614"/>
        </w:tabs>
        <w:spacing w:line="560" w:lineRule="exact"/>
        <w:ind w:firstLine="780"/>
        <w:rPr>
          <w:rFonts w:ascii="仿宋_GB2312" w:eastAsia="仿宋_GB2312"/>
          <w:sz w:val="32"/>
          <w:szCs w:val="32"/>
          <w:lang w:eastAsia="zh-CN"/>
        </w:rPr>
      </w:pPr>
    </w:p>
    <w:p>
      <w:pPr>
        <w:pStyle w:val="7"/>
        <w:tabs>
          <w:tab w:val="left" w:pos="1614"/>
        </w:tabs>
        <w:spacing w:line="560" w:lineRule="exact"/>
        <w:ind w:firstLine="780"/>
        <w:rPr>
          <w:rFonts w:ascii="仿宋_GB2312" w:eastAsia="仿宋_GB2312"/>
          <w:sz w:val="32"/>
          <w:szCs w:val="32"/>
          <w:lang w:eastAsia="zh-CN"/>
        </w:rPr>
      </w:pPr>
    </w:p>
    <w:p>
      <w:pPr>
        <w:pStyle w:val="7"/>
        <w:tabs>
          <w:tab w:val="left" w:pos="1614"/>
        </w:tabs>
        <w:spacing w:line="560" w:lineRule="exact"/>
        <w:ind w:firstLine="780"/>
        <w:rPr>
          <w:rFonts w:ascii="仿宋_GB2312" w:eastAsia="仿宋_GB2312"/>
          <w:sz w:val="32"/>
          <w:szCs w:val="32"/>
          <w:lang w:eastAsia="zh-CN"/>
        </w:rPr>
      </w:pPr>
    </w:p>
    <w:p>
      <w:pPr>
        <w:pStyle w:val="7"/>
        <w:tabs>
          <w:tab w:val="left" w:pos="1614"/>
        </w:tabs>
        <w:spacing w:line="560" w:lineRule="exact"/>
        <w:ind w:firstLine="780"/>
        <w:rPr>
          <w:rFonts w:ascii="仿宋_GB2312" w:eastAsia="仿宋_GB2312"/>
          <w:sz w:val="32"/>
          <w:szCs w:val="32"/>
          <w:lang w:eastAsia="zh-CN"/>
        </w:rPr>
      </w:pPr>
    </w:p>
    <w:p>
      <w:pPr>
        <w:pStyle w:val="7"/>
        <w:tabs>
          <w:tab w:val="left" w:pos="1614"/>
        </w:tabs>
        <w:spacing w:line="560" w:lineRule="exact"/>
        <w:ind w:firstLine="780"/>
        <w:rPr>
          <w:rFonts w:ascii="仿宋_GB2312" w:eastAsia="仿宋_GB2312"/>
          <w:sz w:val="32"/>
          <w:szCs w:val="32"/>
          <w:lang w:eastAsia="zh-CN"/>
        </w:rPr>
      </w:pPr>
    </w:p>
    <w:p>
      <w:pPr>
        <w:pStyle w:val="7"/>
        <w:spacing w:line="280" w:lineRule="exact"/>
        <w:ind w:firstLine="0"/>
        <w:rPr>
          <w:rFonts w:ascii="黑体" w:hAnsi="黑体" w:eastAsia="黑体"/>
          <w:lang w:eastAsia="zh-CN"/>
        </w:rPr>
      </w:pPr>
    </w:p>
    <w:p>
      <w:pPr>
        <w:pStyle w:val="7"/>
        <w:spacing w:line="280" w:lineRule="exact"/>
        <w:ind w:firstLine="0"/>
        <w:rPr>
          <w:rFonts w:ascii="黑体" w:hAnsi="黑体" w:eastAsia="黑体"/>
          <w:lang w:eastAsia="zh-CN"/>
        </w:rPr>
      </w:pPr>
    </w:p>
    <w:p>
      <w:pPr>
        <w:pStyle w:val="7"/>
        <w:spacing w:line="280" w:lineRule="exact"/>
        <w:ind w:firstLine="0"/>
        <w:rPr>
          <w:rFonts w:ascii="黑体" w:hAnsi="黑体" w:eastAsia="黑体"/>
          <w:lang w:eastAsia="zh-CN"/>
        </w:rPr>
      </w:pPr>
    </w:p>
    <w:p>
      <w:pPr>
        <w:pStyle w:val="7"/>
        <w:spacing w:line="280" w:lineRule="exact"/>
        <w:ind w:firstLine="0"/>
        <w:rPr>
          <w:rFonts w:ascii="黑体" w:hAnsi="黑体" w:eastAsia="黑体"/>
          <w:lang w:eastAsia="zh-CN"/>
        </w:rPr>
      </w:pPr>
    </w:p>
    <w:p>
      <w:pPr>
        <w:pStyle w:val="7"/>
        <w:spacing w:line="280" w:lineRule="exact"/>
        <w:ind w:firstLine="0"/>
        <w:rPr>
          <w:rFonts w:ascii="黑体" w:hAnsi="黑体" w:eastAsia="黑体"/>
          <w:lang w:eastAsia="zh-CN"/>
        </w:rPr>
      </w:pPr>
    </w:p>
    <w:p>
      <w:pPr>
        <w:pStyle w:val="7"/>
        <w:spacing w:line="280" w:lineRule="exact"/>
        <w:ind w:firstLine="0"/>
        <w:rPr>
          <w:rFonts w:ascii="黑体" w:hAnsi="黑体" w:eastAsia="黑体"/>
          <w:lang w:eastAsia="zh-CN"/>
        </w:rPr>
      </w:pPr>
    </w:p>
    <w:p>
      <w:pPr>
        <w:snapToGrid w:val="0"/>
        <w:spacing w:line="580" w:lineRule="atLeast"/>
        <w:rPr>
          <w:rFonts w:ascii="仿宋_GB2312" w:eastAsia="仿宋_GB2312"/>
          <w:sz w:val="32"/>
          <w:szCs w:val="32"/>
          <w:lang w:eastAsia="zh-CN"/>
        </w:rPr>
      </w:pPr>
      <w:r>
        <w:rPr>
          <w:lang w:eastAsia="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32pt;z-index:251658240;mso-width-relative:page;mso-height-relative:page;"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rGr49AAAAACAQAADwAAAAAAAAAB&#10;ACAAAAAiAAAAZHJzL2Rvd25yZXYueG1sUEsBAhQAFAAAAAgAh07iQK9rZ8TfAQAApAMAAA4AAAAA&#10;AAAAAQAgAAAAHwEAAGRycy9lMm9Eb2MueG1sUEsFBgAAAAAGAAYAWQEAAHAFAAAAAA==&#10;">
                <v:path arrowok="t"/>
                <v:fill focussize="0,0"/>
                <v:stroke/>
                <v:imagedata o:title=""/>
                <o:lock v:ext="edit"/>
              </v:line>
            </w:pict>
          </mc:Fallback>
        </mc:AlternateContent>
      </w:r>
      <w:r>
        <w:rPr>
          <w:sz w:val="32"/>
          <w:szCs w:val="32"/>
          <w:lang w:eastAsia="zh-CN"/>
        </w:rPr>
        <w:t xml:space="preserve"> </w:t>
      </w:r>
      <w:r>
        <w:rPr>
          <w:lang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32pt;z-index:251659264;mso-width-relative:page;mso-height-relative:page;"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6xq+PQAAAAAgEAAA8AAAAAAAAA&#10;AQAgAAAAIgAAAGRycy9kb3ducmV2LnhtbFBLAQIUABQAAAAIAIdO4kAfMKP44AEAAKQDAAAOAAAA&#10;AAAAAAEAIAAAAB8BAABkcnMvZTJvRG9jLnhtbFBLBQYAAAAABgAGAFkBAABxBQAAAAA=&#10;">
                <v:path arrowok="t"/>
                <v:fill focussize="0,0"/>
                <v:stroke/>
                <v:imagedata o:title=""/>
                <o:lock v:ext="edit"/>
              </v:line>
            </w:pict>
          </mc:Fallback>
        </mc:AlternateContent>
      </w:r>
      <w:r>
        <w:rPr>
          <w:rFonts w:hint="eastAsia" w:ascii="仿宋_GB2312" w:hAnsi="仿宋" w:eastAsia="仿宋_GB2312" w:cs="仿宋"/>
          <w:sz w:val="32"/>
          <w:szCs w:val="32"/>
          <w:lang w:eastAsia="zh-CN"/>
        </w:rPr>
        <w:t>诸暨经济开发区管理委员会</w:t>
      </w:r>
      <w:r>
        <w:rPr>
          <w:rFonts w:ascii="仿宋_GB2312" w:eastAsia="仿宋_GB2312"/>
          <w:sz w:val="32"/>
          <w:szCs w:val="32"/>
          <w:lang w:eastAsia="zh-CN"/>
        </w:rPr>
        <w:t xml:space="preserve">         2021</w:t>
      </w:r>
      <w:r>
        <w:rPr>
          <w:rFonts w:hint="eastAsia" w:ascii="仿宋_GB2312" w:eastAsia="仿宋_GB2312"/>
          <w:sz w:val="32"/>
          <w:szCs w:val="32"/>
          <w:lang w:eastAsia="zh-CN"/>
        </w:rPr>
        <w:t>年</w:t>
      </w:r>
      <w:r>
        <w:rPr>
          <w:rFonts w:ascii="仿宋_GB2312" w:eastAsia="仿宋_GB2312"/>
          <w:sz w:val="32"/>
          <w:szCs w:val="32"/>
          <w:lang w:eastAsia="zh-CN"/>
        </w:rPr>
        <w:t>7</w:t>
      </w:r>
      <w:r>
        <w:rPr>
          <w:rFonts w:hint="eastAsia" w:ascii="仿宋_GB2312" w:eastAsia="仿宋_GB2312"/>
          <w:sz w:val="32"/>
          <w:szCs w:val="32"/>
          <w:lang w:eastAsia="zh-CN"/>
        </w:rPr>
        <w:t>月</w:t>
      </w:r>
      <w:r>
        <w:rPr>
          <w:rFonts w:ascii="仿宋_GB2312" w:eastAsia="仿宋_GB2312"/>
          <w:sz w:val="32"/>
          <w:szCs w:val="32"/>
          <w:lang w:eastAsia="zh-CN"/>
        </w:rPr>
        <w:t>9</w:t>
      </w:r>
      <w:r>
        <w:rPr>
          <w:rFonts w:hint="eastAsia" w:ascii="仿宋_GB2312" w:eastAsia="仿宋_GB2312"/>
          <w:sz w:val="32"/>
          <w:szCs w:val="32"/>
          <w:lang w:eastAsia="zh-CN"/>
        </w:rPr>
        <w:t>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C5690"/>
    <w:rsid w:val="142C5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4"/>
      <w:szCs w:val="24"/>
      <w:lang w:val="en-US" w:eastAsia="en-US"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Heading #2|1"/>
    <w:basedOn w:val="1"/>
    <w:qFormat/>
    <w:uiPriority w:val="99"/>
    <w:pPr>
      <w:spacing w:after="500" w:line="586" w:lineRule="exact"/>
      <w:jc w:val="center"/>
      <w:outlineLvl w:val="1"/>
    </w:pPr>
    <w:rPr>
      <w:rFonts w:ascii="宋体" w:hAnsi="宋体" w:cs="宋体"/>
      <w:sz w:val="42"/>
      <w:szCs w:val="42"/>
      <w:lang w:val="zh-TW" w:eastAsia="zh-TW"/>
    </w:rPr>
  </w:style>
  <w:style w:type="paragraph" w:customStyle="1" w:styleId="7">
    <w:name w:val="Body text|1"/>
    <w:basedOn w:val="1"/>
    <w:uiPriority w:val="99"/>
    <w:pPr>
      <w:spacing w:line="410" w:lineRule="auto"/>
      <w:ind w:firstLine="400"/>
    </w:pPr>
    <w:rPr>
      <w:rFonts w:ascii="宋体" w:hAnsi="宋体" w:cs="宋体"/>
      <w:sz w:val="30"/>
      <w:szCs w:val="30"/>
      <w:lang w:val="zh-TW" w:eastAsia="zh-TW"/>
    </w:rPr>
  </w:style>
  <w:style w:type="paragraph" w:customStyle="1" w:styleId="8">
    <w:name w:val="Header or footer|1"/>
    <w:basedOn w:val="1"/>
    <w:qFormat/>
    <w:uiPriority w:val="99"/>
    <w:rPr>
      <w:b/>
      <w:bCs/>
      <w:sz w:val="26"/>
      <w:szCs w:val="26"/>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2021-07-12T01:47:00Z</dcterms:created>
  <dc:creator>Administrator</dc:creator>
  <cp:lastModifiedBy>Administrator</cp:lastModifiedBy>
  <dcterms:modified xsi:type="dcterms:W3CDTF">2021-07-12T01:49:03Z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