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CE" w:rsidRPr="005662D3" w:rsidRDefault="00107DCE" w:rsidP="00F86C53">
      <w:pPr>
        <w:pStyle w:val="Bodytext10"/>
        <w:spacing w:line="280" w:lineRule="exact"/>
        <w:ind w:leftChars="-301" w:left="-722" w:firstLine="0"/>
        <w:rPr>
          <w:rFonts w:ascii="黑体" w:eastAsia="黑体" w:hAnsi="黑体"/>
        </w:rPr>
      </w:pPr>
      <w:r w:rsidRPr="005662D3">
        <w:rPr>
          <w:rFonts w:ascii="黑体" w:eastAsia="黑体" w:hAnsi="黑体" w:hint="eastAsia"/>
        </w:rPr>
        <w:t>附件</w:t>
      </w:r>
      <w:r>
        <w:rPr>
          <w:rFonts w:ascii="黑体" w:eastAsia="黑体" w:hAnsi="黑体" w:hint="eastAsia"/>
        </w:rPr>
        <w:t>：</w:t>
      </w:r>
    </w:p>
    <w:p w:rsidR="00107DCE" w:rsidRPr="005662D3" w:rsidRDefault="00107DCE" w:rsidP="005662D3">
      <w:pPr>
        <w:pStyle w:val="Heading210"/>
        <w:keepNext/>
        <w:keepLines/>
        <w:spacing w:after="0" w:line="560" w:lineRule="exact"/>
        <w:rPr>
          <w:b/>
          <w:sz w:val="44"/>
          <w:szCs w:val="44"/>
          <w:lang w:eastAsia="zh-CN"/>
        </w:rPr>
      </w:pPr>
      <w:bookmarkStart w:id="0" w:name="bookmark30"/>
      <w:bookmarkStart w:id="1" w:name="bookmark31"/>
      <w:bookmarkStart w:id="2" w:name="bookmark29"/>
      <w:r w:rsidRPr="005662D3">
        <w:rPr>
          <w:rFonts w:hint="eastAsia"/>
          <w:b/>
          <w:sz w:val="44"/>
          <w:szCs w:val="44"/>
        </w:rPr>
        <w:t>柴油移动源排放分类管理考核评价表</w:t>
      </w:r>
      <w:bookmarkEnd w:id="0"/>
      <w:bookmarkEnd w:id="1"/>
      <w:bookmarkEnd w:id="2"/>
    </w:p>
    <w:p w:rsidR="00107DCE" w:rsidRDefault="00107DCE" w:rsidP="005662D3">
      <w:pPr>
        <w:pStyle w:val="Heading210"/>
        <w:keepNext/>
        <w:keepLines/>
        <w:spacing w:after="0" w:line="320" w:lineRule="exact"/>
        <w:rPr>
          <w:lang w:eastAsia="zh-CN"/>
        </w:rPr>
      </w:pPr>
    </w:p>
    <w:tbl>
      <w:tblPr>
        <w:tblW w:w="0" w:type="auto"/>
        <w:jc w:val="center"/>
        <w:tblLayout w:type="fixed"/>
        <w:tblCellMar>
          <w:left w:w="10" w:type="dxa"/>
          <w:right w:w="10" w:type="dxa"/>
        </w:tblCellMar>
        <w:tblLook w:val="00A0"/>
      </w:tblPr>
      <w:tblGrid>
        <w:gridCol w:w="725"/>
        <w:gridCol w:w="1282"/>
        <w:gridCol w:w="6501"/>
        <w:gridCol w:w="726"/>
        <w:gridCol w:w="905"/>
      </w:tblGrid>
      <w:tr w:rsidR="00107DCE" w:rsidTr="00E94B55">
        <w:trPr>
          <w:trHeight w:hRule="exact" w:val="533"/>
          <w:jc w:val="center"/>
        </w:trPr>
        <w:tc>
          <w:tcPr>
            <w:tcW w:w="2007" w:type="dxa"/>
            <w:gridSpan w:val="2"/>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0"/>
              <w:jc w:val="center"/>
              <w:rPr>
                <w:sz w:val="22"/>
                <w:szCs w:val="22"/>
              </w:rPr>
            </w:pPr>
            <w:r>
              <w:rPr>
                <w:rFonts w:hint="eastAsia"/>
                <w:b/>
                <w:bCs/>
                <w:sz w:val="22"/>
                <w:szCs w:val="22"/>
              </w:rPr>
              <w:t>考评内容</w:t>
            </w:r>
          </w:p>
        </w:tc>
        <w:tc>
          <w:tcPr>
            <w:tcW w:w="6501"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0"/>
              <w:jc w:val="center"/>
              <w:rPr>
                <w:sz w:val="22"/>
                <w:szCs w:val="22"/>
              </w:rPr>
            </w:pPr>
            <w:r>
              <w:rPr>
                <w:rFonts w:hint="eastAsia"/>
                <w:b/>
                <w:bCs/>
                <w:sz w:val="22"/>
                <w:szCs w:val="22"/>
              </w:rPr>
              <w:t>评分标准</w:t>
            </w:r>
          </w:p>
        </w:tc>
        <w:tc>
          <w:tcPr>
            <w:tcW w:w="726"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0"/>
              <w:jc w:val="center"/>
              <w:rPr>
                <w:sz w:val="22"/>
                <w:szCs w:val="22"/>
              </w:rPr>
            </w:pPr>
            <w:r>
              <w:rPr>
                <w:rFonts w:hint="eastAsia"/>
                <w:b/>
                <w:bCs/>
                <w:sz w:val="22"/>
                <w:szCs w:val="22"/>
              </w:rPr>
              <w:t>分值</w:t>
            </w:r>
          </w:p>
        </w:tc>
        <w:tc>
          <w:tcPr>
            <w:tcW w:w="905" w:type="dxa"/>
            <w:tcBorders>
              <w:top w:val="single" w:sz="4" w:space="0" w:color="auto"/>
              <w:left w:val="single" w:sz="4" w:space="0" w:color="auto"/>
              <w:right w:val="single" w:sz="4" w:space="0" w:color="auto"/>
            </w:tcBorders>
            <w:shd w:val="clear" w:color="auto" w:fill="FFFFFF"/>
            <w:vAlign w:val="center"/>
          </w:tcPr>
          <w:p w:rsidR="00107DCE" w:rsidRDefault="00107DCE" w:rsidP="005662D3">
            <w:pPr>
              <w:pStyle w:val="Other10"/>
              <w:spacing w:line="240" w:lineRule="auto"/>
              <w:ind w:right="260" w:firstLine="0"/>
              <w:jc w:val="center"/>
              <w:rPr>
                <w:sz w:val="22"/>
                <w:szCs w:val="22"/>
              </w:rPr>
            </w:pPr>
            <w:r>
              <w:rPr>
                <w:b/>
                <w:bCs/>
                <w:sz w:val="22"/>
                <w:szCs w:val="22"/>
                <w:lang w:eastAsia="zh-CN"/>
              </w:rPr>
              <w:t xml:space="preserve"> </w:t>
            </w:r>
            <w:r>
              <w:rPr>
                <w:rFonts w:hint="eastAsia"/>
                <w:b/>
                <w:bCs/>
                <w:sz w:val="22"/>
                <w:szCs w:val="22"/>
              </w:rPr>
              <w:t>得分</w:t>
            </w:r>
          </w:p>
        </w:tc>
      </w:tr>
      <w:tr w:rsidR="00107DCE" w:rsidTr="00E94B55">
        <w:trPr>
          <w:trHeight w:hRule="exact" w:val="1990"/>
          <w:jc w:val="center"/>
        </w:trPr>
        <w:tc>
          <w:tcPr>
            <w:tcW w:w="2007" w:type="dxa"/>
            <w:gridSpan w:val="2"/>
            <w:tcBorders>
              <w:top w:val="single" w:sz="4" w:space="0" w:color="auto"/>
              <w:left w:val="single" w:sz="4" w:space="0" w:color="auto"/>
            </w:tcBorders>
            <w:shd w:val="clear" w:color="auto" w:fill="FFFFFF"/>
            <w:vAlign w:val="center"/>
          </w:tcPr>
          <w:p w:rsidR="00107DCE" w:rsidRDefault="00107DCE">
            <w:pPr>
              <w:pStyle w:val="Other10"/>
              <w:spacing w:line="240" w:lineRule="auto"/>
              <w:ind w:firstLine="0"/>
              <w:jc w:val="center"/>
              <w:rPr>
                <w:sz w:val="22"/>
                <w:szCs w:val="22"/>
              </w:rPr>
            </w:pPr>
            <w:r>
              <w:rPr>
                <w:rFonts w:hint="eastAsia"/>
                <w:sz w:val="22"/>
                <w:szCs w:val="22"/>
              </w:rPr>
              <w:t>一、组织与管理</w:t>
            </w:r>
          </w:p>
        </w:tc>
        <w:tc>
          <w:tcPr>
            <w:tcW w:w="6501" w:type="dxa"/>
            <w:tcBorders>
              <w:top w:val="single" w:sz="4" w:space="0" w:color="auto"/>
              <w:left w:val="single" w:sz="4" w:space="0" w:color="auto"/>
            </w:tcBorders>
            <w:shd w:val="clear" w:color="auto" w:fill="FFFFFF"/>
            <w:vAlign w:val="center"/>
          </w:tcPr>
          <w:p w:rsidR="00107DCE" w:rsidRDefault="00107DCE" w:rsidP="005662D3">
            <w:pPr>
              <w:pStyle w:val="Other10"/>
              <w:numPr>
                <w:ilvl w:val="0"/>
                <w:numId w:val="1"/>
              </w:numPr>
              <w:tabs>
                <w:tab w:val="left" w:pos="226"/>
              </w:tabs>
              <w:spacing w:line="307" w:lineRule="exact"/>
              <w:ind w:firstLine="0"/>
              <w:jc w:val="both"/>
              <w:rPr>
                <w:sz w:val="22"/>
                <w:szCs w:val="22"/>
              </w:rPr>
            </w:pPr>
            <w:r>
              <w:rPr>
                <w:rFonts w:hint="eastAsia"/>
                <w:sz w:val="22"/>
                <w:szCs w:val="22"/>
              </w:rPr>
              <w:t>成立柴油移动源排放分类管理组织机构</w:t>
            </w:r>
          </w:p>
          <w:p w:rsidR="00107DCE" w:rsidRDefault="00107DCE" w:rsidP="005662D3">
            <w:pPr>
              <w:pStyle w:val="Other10"/>
              <w:numPr>
                <w:ilvl w:val="0"/>
                <w:numId w:val="1"/>
              </w:numPr>
              <w:tabs>
                <w:tab w:val="left" w:pos="235"/>
              </w:tabs>
              <w:spacing w:line="307" w:lineRule="exact"/>
              <w:ind w:firstLine="0"/>
              <w:jc w:val="both"/>
              <w:rPr>
                <w:sz w:val="22"/>
                <w:szCs w:val="22"/>
              </w:rPr>
            </w:pPr>
            <w:r>
              <w:rPr>
                <w:rFonts w:hint="eastAsia"/>
                <w:sz w:val="22"/>
                <w:szCs w:val="22"/>
              </w:rPr>
              <w:t>有专职或兼职人员负责现场柴油移动源排放分类管理工作</w:t>
            </w:r>
          </w:p>
          <w:p w:rsidR="00107DCE" w:rsidRDefault="00107DCE" w:rsidP="005662D3">
            <w:pPr>
              <w:pStyle w:val="Other10"/>
              <w:numPr>
                <w:ilvl w:val="0"/>
                <w:numId w:val="1"/>
              </w:numPr>
              <w:tabs>
                <w:tab w:val="left" w:pos="235"/>
              </w:tabs>
              <w:spacing w:line="307" w:lineRule="exact"/>
              <w:ind w:firstLine="0"/>
              <w:jc w:val="both"/>
              <w:rPr>
                <w:sz w:val="22"/>
                <w:szCs w:val="22"/>
              </w:rPr>
            </w:pPr>
            <w:r>
              <w:rPr>
                <w:rFonts w:hint="eastAsia"/>
                <w:sz w:val="22"/>
                <w:szCs w:val="22"/>
              </w:rPr>
              <w:t>有相关柴油移动源排放分类管理组织设计，并制定相应管理制度</w:t>
            </w:r>
          </w:p>
          <w:p w:rsidR="00107DCE" w:rsidRDefault="00107DCE" w:rsidP="005662D3">
            <w:pPr>
              <w:pStyle w:val="Other10"/>
              <w:numPr>
                <w:ilvl w:val="0"/>
                <w:numId w:val="1"/>
              </w:numPr>
              <w:tabs>
                <w:tab w:val="left" w:pos="230"/>
              </w:tabs>
              <w:spacing w:line="307" w:lineRule="exact"/>
              <w:ind w:firstLine="0"/>
              <w:jc w:val="both"/>
              <w:rPr>
                <w:sz w:val="22"/>
                <w:szCs w:val="22"/>
              </w:rPr>
            </w:pPr>
            <w:r>
              <w:rPr>
                <w:rFonts w:hint="eastAsia"/>
                <w:sz w:val="22"/>
                <w:szCs w:val="22"/>
              </w:rPr>
              <w:t>定期开展相关方面的自检自查，发现问题及时整改</w:t>
            </w:r>
          </w:p>
          <w:p w:rsidR="00107DCE" w:rsidRDefault="00107DCE" w:rsidP="005662D3">
            <w:pPr>
              <w:pStyle w:val="Other10"/>
              <w:numPr>
                <w:ilvl w:val="0"/>
                <w:numId w:val="1"/>
              </w:numPr>
              <w:tabs>
                <w:tab w:val="left" w:pos="230"/>
              </w:tabs>
              <w:spacing w:line="283" w:lineRule="exact"/>
              <w:ind w:firstLine="0"/>
              <w:jc w:val="both"/>
              <w:rPr>
                <w:sz w:val="22"/>
                <w:szCs w:val="22"/>
              </w:rPr>
            </w:pPr>
            <w:r>
              <w:rPr>
                <w:rFonts w:hint="eastAsia"/>
                <w:sz w:val="22"/>
                <w:szCs w:val="22"/>
              </w:rPr>
              <w:t>建立柴油移动源排放分类管理工作台账</w:t>
            </w:r>
          </w:p>
          <w:p w:rsidR="00107DCE" w:rsidRDefault="00107DCE" w:rsidP="005662D3">
            <w:pPr>
              <w:pStyle w:val="Other10"/>
              <w:tabs>
                <w:tab w:val="left" w:pos="230"/>
              </w:tabs>
              <w:spacing w:line="283" w:lineRule="exact"/>
              <w:ind w:firstLine="0"/>
              <w:jc w:val="both"/>
              <w:rPr>
                <w:sz w:val="22"/>
                <w:szCs w:val="22"/>
              </w:rPr>
            </w:pPr>
            <w:r>
              <w:rPr>
                <w:rFonts w:hint="eastAsia"/>
                <w:b/>
                <w:bCs/>
                <w:sz w:val="22"/>
                <w:szCs w:val="22"/>
              </w:rPr>
              <w:t>以上各项每项分值</w:t>
            </w:r>
            <w:r>
              <w:rPr>
                <w:rFonts w:ascii="Times New Roman" w:hAnsi="Times New Roman" w:cs="Times New Roman"/>
                <w:b/>
                <w:bCs/>
                <w:sz w:val="22"/>
                <w:szCs w:val="22"/>
              </w:rPr>
              <w:t>2</w:t>
            </w:r>
            <w:r>
              <w:rPr>
                <w:rFonts w:hint="eastAsia"/>
                <w:b/>
                <w:bCs/>
                <w:sz w:val="22"/>
                <w:szCs w:val="22"/>
              </w:rPr>
              <w:t>份，缺项不得分</w:t>
            </w:r>
          </w:p>
        </w:tc>
        <w:tc>
          <w:tcPr>
            <w:tcW w:w="726"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Chars="100" w:firstLine="220"/>
              <w:rPr>
                <w:sz w:val="22"/>
                <w:szCs w:val="22"/>
              </w:rPr>
            </w:pPr>
            <w:r>
              <w:rPr>
                <w:rFonts w:ascii="Times New Roman" w:hAnsi="Times New Roman" w:cs="Times New Roman"/>
                <w:sz w:val="22"/>
                <w:szCs w:val="22"/>
              </w:rPr>
              <w:t>10</w:t>
            </w:r>
          </w:p>
        </w:tc>
        <w:tc>
          <w:tcPr>
            <w:tcW w:w="905" w:type="dxa"/>
            <w:tcBorders>
              <w:top w:val="single" w:sz="4" w:space="0" w:color="auto"/>
              <w:left w:val="single" w:sz="4" w:space="0" w:color="auto"/>
              <w:right w:val="single" w:sz="4" w:space="0" w:color="auto"/>
            </w:tcBorders>
            <w:shd w:val="clear" w:color="auto" w:fill="FFFFFF"/>
            <w:vAlign w:val="center"/>
          </w:tcPr>
          <w:p w:rsidR="00107DCE" w:rsidRDefault="00107DCE" w:rsidP="005662D3">
            <w:pPr>
              <w:jc w:val="center"/>
              <w:rPr>
                <w:sz w:val="10"/>
                <w:szCs w:val="10"/>
              </w:rPr>
            </w:pPr>
          </w:p>
        </w:tc>
      </w:tr>
      <w:tr w:rsidR="00107DCE" w:rsidTr="00E94B55">
        <w:trPr>
          <w:trHeight w:hRule="exact" w:val="1602"/>
          <w:jc w:val="center"/>
        </w:trPr>
        <w:tc>
          <w:tcPr>
            <w:tcW w:w="725" w:type="dxa"/>
            <w:vMerge w:val="restart"/>
            <w:tcBorders>
              <w:top w:val="single" w:sz="4" w:space="0" w:color="auto"/>
              <w:left w:val="single" w:sz="4" w:space="0" w:color="auto"/>
            </w:tcBorders>
            <w:shd w:val="clear" w:color="auto" w:fill="FFFFFF"/>
            <w:textDirection w:val="tbRlV"/>
            <w:vAlign w:val="center"/>
          </w:tcPr>
          <w:p w:rsidR="00107DCE" w:rsidRDefault="00107DCE" w:rsidP="005662D3">
            <w:pPr>
              <w:pStyle w:val="Other20"/>
              <w:spacing w:line="560" w:lineRule="exact"/>
              <w:rPr>
                <w:lang w:eastAsia="zh-CN"/>
              </w:rPr>
            </w:pPr>
            <w:r>
              <w:rPr>
                <w:rFonts w:hint="eastAsia"/>
                <w:lang w:eastAsia="zh-CN"/>
              </w:rPr>
              <w:t>二</w:t>
            </w:r>
            <w:r>
              <w:rPr>
                <w:rFonts w:hint="eastAsia"/>
              </w:rPr>
              <w:t>、</w:t>
            </w:r>
            <w:r>
              <w:rPr>
                <w:rFonts w:hint="eastAsia"/>
                <w:lang w:eastAsia="zh-CN"/>
              </w:rPr>
              <w:t>扬尘防治措施</w:t>
            </w:r>
          </w:p>
          <w:p w:rsidR="00107DCE" w:rsidRDefault="00107DCE" w:rsidP="00E94B55">
            <w:pPr>
              <w:pStyle w:val="Other20"/>
              <w:spacing w:line="160" w:lineRule="exact"/>
              <w:rPr>
                <w:lang w:eastAsia="zh-CN"/>
              </w:rPr>
            </w:pPr>
          </w:p>
        </w:tc>
        <w:tc>
          <w:tcPr>
            <w:tcW w:w="1282" w:type="dxa"/>
            <w:tcBorders>
              <w:top w:val="single" w:sz="4" w:space="0" w:color="auto"/>
              <w:left w:val="single" w:sz="4" w:space="0" w:color="auto"/>
            </w:tcBorders>
            <w:shd w:val="clear" w:color="auto" w:fill="FFFFFF"/>
            <w:vAlign w:val="center"/>
          </w:tcPr>
          <w:p w:rsidR="00107DCE" w:rsidRDefault="00107DCE">
            <w:pPr>
              <w:pStyle w:val="Other10"/>
              <w:spacing w:line="240" w:lineRule="auto"/>
              <w:ind w:firstLine="0"/>
              <w:jc w:val="center"/>
              <w:rPr>
                <w:sz w:val="22"/>
                <w:szCs w:val="22"/>
              </w:rPr>
            </w:pPr>
            <w:r>
              <w:rPr>
                <w:rFonts w:hint="eastAsia"/>
                <w:sz w:val="22"/>
                <w:szCs w:val="22"/>
              </w:rPr>
              <w:t>摸排梳理</w:t>
            </w:r>
          </w:p>
        </w:tc>
        <w:tc>
          <w:tcPr>
            <w:tcW w:w="6501" w:type="dxa"/>
            <w:tcBorders>
              <w:top w:val="single" w:sz="4" w:space="0" w:color="auto"/>
              <w:left w:val="single" w:sz="4" w:space="0" w:color="auto"/>
            </w:tcBorders>
            <w:shd w:val="clear" w:color="auto" w:fill="FFFFFF"/>
            <w:vAlign w:val="center"/>
          </w:tcPr>
          <w:p w:rsidR="00107DCE" w:rsidRDefault="00107DCE" w:rsidP="005662D3">
            <w:pPr>
              <w:pStyle w:val="Other10"/>
              <w:spacing w:line="296" w:lineRule="exact"/>
              <w:ind w:firstLine="0"/>
              <w:jc w:val="both"/>
              <w:rPr>
                <w:sz w:val="22"/>
                <w:szCs w:val="22"/>
              </w:rPr>
            </w:pPr>
            <w:r>
              <w:rPr>
                <w:rFonts w:hint="eastAsia"/>
                <w:sz w:val="22"/>
                <w:szCs w:val="22"/>
              </w:rPr>
              <w:t>全面排查梳理本项目所有柴油移动源清单，并建立柴油移动源基础清单，包括柴油移动源的进场出场、使用道路场所范围、申请认定情况、重新改造治理情况、分类认定颜色、认定有效期等内容，并动态更新清单内容。</w:t>
            </w:r>
          </w:p>
          <w:p w:rsidR="00107DCE" w:rsidRDefault="00107DCE" w:rsidP="005662D3">
            <w:pPr>
              <w:pStyle w:val="Other10"/>
              <w:spacing w:line="296" w:lineRule="exact"/>
              <w:ind w:firstLine="0"/>
              <w:jc w:val="both"/>
              <w:rPr>
                <w:sz w:val="22"/>
                <w:szCs w:val="22"/>
              </w:rPr>
            </w:pPr>
            <w:r>
              <w:rPr>
                <w:rFonts w:hint="eastAsia"/>
                <w:b/>
                <w:bCs/>
                <w:sz w:val="22"/>
                <w:szCs w:val="22"/>
              </w:rPr>
              <w:t>未按规定摸牌梳理扣</w:t>
            </w:r>
            <w:r>
              <w:rPr>
                <w:rFonts w:ascii="Times New Roman" w:hAnsi="Times New Roman" w:cs="Times New Roman"/>
                <w:b/>
                <w:bCs/>
                <w:sz w:val="22"/>
                <w:szCs w:val="22"/>
              </w:rPr>
              <w:t>6-10</w:t>
            </w:r>
            <w:r>
              <w:rPr>
                <w:rFonts w:hint="eastAsia"/>
                <w:b/>
                <w:bCs/>
                <w:sz w:val="22"/>
                <w:szCs w:val="22"/>
              </w:rPr>
              <w:t>分，未建立基础清单并动态更新扣</w:t>
            </w:r>
            <w:r>
              <w:rPr>
                <w:rFonts w:ascii="Times New Roman" w:hAnsi="Times New Roman" w:cs="Times New Roman"/>
                <w:b/>
                <w:bCs/>
                <w:sz w:val="22"/>
                <w:szCs w:val="22"/>
                <w:lang w:val="en-US" w:eastAsia="zh-CN"/>
              </w:rPr>
              <w:t>2-5</w:t>
            </w:r>
            <w:r>
              <w:rPr>
                <w:rFonts w:hint="eastAsia"/>
                <w:b/>
                <w:bCs/>
                <w:sz w:val="22"/>
                <w:szCs w:val="22"/>
              </w:rPr>
              <w:t>分</w:t>
            </w:r>
          </w:p>
        </w:tc>
        <w:tc>
          <w:tcPr>
            <w:tcW w:w="726"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Chars="100" w:firstLine="220"/>
              <w:rPr>
                <w:sz w:val="22"/>
                <w:szCs w:val="22"/>
              </w:rPr>
            </w:pPr>
            <w:r>
              <w:rPr>
                <w:rFonts w:ascii="Times New Roman" w:hAnsi="Times New Roman" w:cs="Times New Roman"/>
                <w:sz w:val="22"/>
                <w:szCs w:val="22"/>
              </w:rPr>
              <w:t>10</w:t>
            </w:r>
          </w:p>
        </w:tc>
        <w:tc>
          <w:tcPr>
            <w:tcW w:w="905" w:type="dxa"/>
            <w:tcBorders>
              <w:top w:val="single" w:sz="4" w:space="0" w:color="auto"/>
              <w:left w:val="single" w:sz="4" w:space="0" w:color="auto"/>
              <w:right w:val="single" w:sz="4" w:space="0" w:color="auto"/>
            </w:tcBorders>
            <w:shd w:val="clear" w:color="auto" w:fill="FFFFFF"/>
            <w:vAlign w:val="center"/>
          </w:tcPr>
          <w:p w:rsidR="00107DCE" w:rsidRDefault="00107DCE" w:rsidP="005662D3">
            <w:pPr>
              <w:jc w:val="center"/>
              <w:rPr>
                <w:sz w:val="10"/>
                <w:szCs w:val="10"/>
              </w:rPr>
            </w:pPr>
          </w:p>
        </w:tc>
      </w:tr>
      <w:tr w:rsidR="00107DCE" w:rsidTr="00E94B55">
        <w:trPr>
          <w:trHeight w:hRule="exact" w:val="1788"/>
          <w:jc w:val="center"/>
        </w:trPr>
        <w:tc>
          <w:tcPr>
            <w:tcW w:w="725" w:type="dxa"/>
            <w:vMerge/>
            <w:tcBorders>
              <w:left w:val="single" w:sz="4" w:space="0" w:color="auto"/>
            </w:tcBorders>
            <w:shd w:val="clear" w:color="auto" w:fill="FFFFFF"/>
            <w:textDirection w:val="tbRlV"/>
            <w:vAlign w:val="bottom"/>
          </w:tcPr>
          <w:p w:rsidR="00107DCE" w:rsidRDefault="00107DCE"/>
        </w:tc>
        <w:tc>
          <w:tcPr>
            <w:tcW w:w="1282" w:type="dxa"/>
            <w:tcBorders>
              <w:top w:val="single" w:sz="4" w:space="0" w:color="auto"/>
              <w:left w:val="single" w:sz="4" w:space="0" w:color="auto"/>
            </w:tcBorders>
            <w:shd w:val="clear" w:color="auto" w:fill="FFFFFF"/>
            <w:vAlign w:val="center"/>
          </w:tcPr>
          <w:p w:rsidR="00107DCE" w:rsidRDefault="00107DCE">
            <w:pPr>
              <w:pStyle w:val="Other10"/>
              <w:spacing w:line="240" w:lineRule="auto"/>
              <w:ind w:firstLine="140"/>
              <w:rPr>
                <w:sz w:val="22"/>
                <w:szCs w:val="22"/>
              </w:rPr>
            </w:pPr>
            <w:r>
              <w:rPr>
                <w:rFonts w:hint="eastAsia"/>
                <w:sz w:val="22"/>
                <w:szCs w:val="22"/>
              </w:rPr>
              <w:t>日常检查</w:t>
            </w:r>
          </w:p>
        </w:tc>
        <w:tc>
          <w:tcPr>
            <w:tcW w:w="6501" w:type="dxa"/>
            <w:tcBorders>
              <w:top w:val="single" w:sz="4" w:space="0" w:color="auto"/>
              <w:left w:val="single" w:sz="4" w:space="0" w:color="auto"/>
            </w:tcBorders>
            <w:shd w:val="clear" w:color="auto" w:fill="FFFFFF"/>
            <w:vAlign w:val="center"/>
          </w:tcPr>
          <w:p w:rsidR="00107DCE" w:rsidRDefault="00107DCE" w:rsidP="005662D3">
            <w:pPr>
              <w:pStyle w:val="Other10"/>
              <w:spacing w:line="301" w:lineRule="exact"/>
              <w:ind w:firstLine="0"/>
              <w:jc w:val="both"/>
              <w:rPr>
                <w:sz w:val="22"/>
                <w:szCs w:val="22"/>
              </w:rPr>
            </w:pPr>
            <w:r>
              <w:rPr>
                <w:rFonts w:hint="eastAsia"/>
                <w:sz w:val="22"/>
                <w:szCs w:val="22"/>
              </w:rPr>
              <w:t>把柴油移动源检查纳入到日常环保检查中，切实做到问题隐患发现一台、登记一台、治理（清退）一台，做到检查治理闭环管控管理，确保柴油移动源排放分类管理。</w:t>
            </w:r>
          </w:p>
          <w:p w:rsidR="00107DCE" w:rsidRDefault="00107DCE" w:rsidP="005662D3">
            <w:pPr>
              <w:pStyle w:val="Other10"/>
              <w:spacing w:line="301" w:lineRule="exact"/>
              <w:ind w:firstLine="0"/>
              <w:jc w:val="both"/>
              <w:rPr>
                <w:sz w:val="22"/>
                <w:szCs w:val="22"/>
              </w:rPr>
            </w:pPr>
            <w:r>
              <w:rPr>
                <w:rFonts w:hint="eastAsia"/>
                <w:b/>
                <w:bCs/>
                <w:sz w:val="22"/>
                <w:szCs w:val="22"/>
              </w:rPr>
              <w:t>未开展柴油移动源日常检查扣</w:t>
            </w:r>
            <w:r>
              <w:rPr>
                <w:rFonts w:ascii="Times New Roman" w:hAnsi="Times New Roman" w:cs="Times New Roman"/>
                <w:b/>
                <w:bCs/>
                <w:sz w:val="22"/>
                <w:szCs w:val="22"/>
              </w:rPr>
              <w:t>5</w:t>
            </w:r>
            <w:r>
              <w:rPr>
                <w:rFonts w:hint="eastAsia"/>
                <w:b/>
                <w:bCs/>
                <w:sz w:val="22"/>
                <w:szCs w:val="22"/>
              </w:rPr>
              <w:t>分；被督查发现一台柴油移动源未上牌赋码或不符合排放标准扣</w:t>
            </w:r>
            <w:r>
              <w:rPr>
                <w:rFonts w:ascii="Times New Roman" w:hAnsi="Times New Roman" w:cs="Times New Roman"/>
                <w:b/>
                <w:bCs/>
                <w:sz w:val="22"/>
                <w:szCs w:val="22"/>
              </w:rPr>
              <w:t>5</w:t>
            </w:r>
            <w:r>
              <w:rPr>
                <w:rFonts w:hint="eastAsia"/>
                <w:b/>
                <w:bCs/>
                <w:sz w:val="22"/>
                <w:szCs w:val="22"/>
              </w:rPr>
              <w:t>分</w:t>
            </w:r>
          </w:p>
        </w:tc>
        <w:tc>
          <w:tcPr>
            <w:tcW w:w="726"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Chars="100" w:firstLine="220"/>
              <w:rPr>
                <w:sz w:val="22"/>
                <w:szCs w:val="22"/>
              </w:rPr>
            </w:pPr>
            <w:r>
              <w:rPr>
                <w:rFonts w:ascii="Times New Roman" w:hAnsi="Times New Roman" w:cs="Times New Roman"/>
                <w:sz w:val="22"/>
                <w:szCs w:val="22"/>
              </w:rPr>
              <w:t>10</w:t>
            </w:r>
          </w:p>
        </w:tc>
        <w:tc>
          <w:tcPr>
            <w:tcW w:w="905" w:type="dxa"/>
            <w:tcBorders>
              <w:top w:val="single" w:sz="4" w:space="0" w:color="auto"/>
              <w:left w:val="single" w:sz="4" w:space="0" w:color="auto"/>
              <w:right w:val="single" w:sz="4" w:space="0" w:color="auto"/>
            </w:tcBorders>
            <w:shd w:val="clear" w:color="auto" w:fill="FFFFFF"/>
            <w:vAlign w:val="center"/>
          </w:tcPr>
          <w:p w:rsidR="00107DCE" w:rsidRDefault="00107DCE" w:rsidP="005662D3">
            <w:pPr>
              <w:jc w:val="center"/>
              <w:rPr>
                <w:sz w:val="10"/>
                <w:szCs w:val="10"/>
              </w:rPr>
            </w:pPr>
          </w:p>
        </w:tc>
      </w:tr>
      <w:tr w:rsidR="00107DCE" w:rsidTr="00E94B55">
        <w:trPr>
          <w:trHeight w:hRule="exact" w:val="1987"/>
          <w:jc w:val="center"/>
        </w:trPr>
        <w:tc>
          <w:tcPr>
            <w:tcW w:w="725" w:type="dxa"/>
            <w:vMerge/>
            <w:tcBorders>
              <w:left w:val="single" w:sz="4" w:space="0" w:color="auto"/>
            </w:tcBorders>
            <w:shd w:val="clear" w:color="auto" w:fill="FFFFFF"/>
            <w:textDirection w:val="tbRlV"/>
            <w:vAlign w:val="bottom"/>
          </w:tcPr>
          <w:p w:rsidR="00107DCE" w:rsidRDefault="00107DCE"/>
        </w:tc>
        <w:tc>
          <w:tcPr>
            <w:tcW w:w="1282" w:type="dxa"/>
            <w:tcBorders>
              <w:top w:val="single" w:sz="4" w:space="0" w:color="auto"/>
              <w:left w:val="single" w:sz="4" w:space="0" w:color="auto"/>
            </w:tcBorders>
            <w:shd w:val="clear" w:color="auto" w:fill="FFFFFF"/>
            <w:vAlign w:val="center"/>
          </w:tcPr>
          <w:p w:rsidR="00107DCE" w:rsidRDefault="00107DCE">
            <w:pPr>
              <w:pStyle w:val="Other10"/>
              <w:spacing w:line="240" w:lineRule="auto"/>
              <w:ind w:firstLine="140"/>
              <w:rPr>
                <w:sz w:val="22"/>
                <w:szCs w:val="22"/>
              </w:rPr>
            </w:pPr>
            <w:r>
              <w:rPr>
                <w:rFonts w:hint="eastAsia"/>
                <w:sz w:val="22"/>
                <w:szCs w:val="22"/>
              </w:rPr>
              <w:t>申请认定</w:t>
            </w:r>
          </w:p>
        </w:tc>
        <w:tc>
          <w:tcPr>
            <w:tcW w:w="6501" w:type="dxa"/>
            <w:tcBorders>
              <w:top w:val="single" w:sz="4" w:space="0" w:color="auto"/>
              <w:left w:val="single" w:sz="4" w:space="0" w:color="auto"/>
            </w:tcBorders>
            <w:shd w:val="clear" w:color="auto" w:fill="FFFFFF"/>
            <w:vAlign w:val="center"/>
          </w:tcPr>
          <w:p w:rsidR="00107DCE" w:rsidRDefault="00107DCE" w:rsidP="005662D3">
            <w:pPr>
              <w:pStyle w:val="Other10"/>
              <w:spacing w:line="298" w:lineRule="exact"/>
              <w:ind w:firstLine="0"/>
              <w:jc w:val="both"/>
              <w:rPr>
                <w:sz w:val="22"/>
                <w:szCs w:val="22"/>
              </w:rPr>
            </w:pPr>
            <w:r>
              <w:rPr>
                <w:rFonts w:hint="eastAsia"/>
                <w:sz w:val="22"/>
                <w:szCs w:val="22"/>
              </w:rPr>
              <w:t>在前期柴油移动源摸排梳理的基础上</w:t>
            </w:r>
            <w:r>
              <w:rPr>
                <w:sz w:val="22"/>
                <w:szCs w:val="22"/>
              </w:rPr>
              <w:t>,</w:t>
            </w:r>
            <w:r>
              <w:rPr>
                <w:rFonts w:hint="eastAsia"/>
                <w:sz w:val="22"/>
                <w:szCs w:val="22"/>
              </w:rPr>
              <w:t>及时按照认定流程开展申请认定工作</w:t>
            </w:r>
            <w:r>
              <w:rPr>
                <w:sz w:val="22"/>
                <w:szCs w:val="22"/>
              </w:rPr>
              <w:t>,</w:t>
            </w:r>
            <w:r>
              <w:rPr>
                <w:rFonts w:hint="eastAsia"/>
                <w:sz w:val="22"/>
                <w:szCs w:val="22"/>
              </w:rPr>
              <w:t>对需要治理改造的柴油移动源要尽快按照要求委托治理单位实施改造。同时，做好每年提前递交延续认定申请，确保柴油移动源始终挂牌赋码并符合排放标准。</w:t>
            </w:r>
          </w:p>
          <w:p w:rsidR="00107DCE" w:rsidRDefault="00107DCE" w:rsidP="005662D3">
            <w:pPr>
              <w:pStyle w:val="Other10"/>
              <w:spacing w:line="298" w:lineRule="exact"/>
              <w:ind w:firstLine="0"/>
              <w:jc w:val="both"/>
              <w:rPr>
                <w:sz w:val="22"/>
                <w:szCs w:val="22"/>
              </w:rPr>
            </w:pPr>
            <w:r>
              <w:rPr>
                <w:rFonts w:hint="eastAsia"/>
                <w:b/>
                <w:bCs/>
                <w:sz w:val="22"/>
                <w:szCs w:val="22"/>
              </w:rPr>
              <w:t>未按要求开展申请认定工作每台扣</w:t>
            </w:r>
            <w:r>
              <w:rPr>
                <w:rFonts w:ascii="Times New Roman" w:hAnsi="Times New Roman" w:cs="Times New Roman"/>
                <w:b/>
                <w:bCs/>
                <w:sz w:val="22"/>
                <w:szCs w:val="22"/>
              </w:rPr>
              <w:t>5</w:t>
            </w:r>
            <w:r>
              <w:rPr>
                <w:rFonts w:hint="eastAsia"/>
                <w:b/>
                <w:bCs/>
                <w:sz w:val="22"/>
                <w:szCs w:val="22"/>
              </w:rPr>
              <w:t>分，未按要求治理改</w:t>
            </w:r>
            <w:r>
              <w:rPr>
                <w:b/>
                <w:bCs/>
                <w:sz w:val="22"/>
                <w:szCs w:val="22"/>
              </w:rPr>
              <w:t xml:space="preserve"> </w:t>
            </w:r>
            <w:r>
              <w:rPr>
                <w:rFonts w:hint="eastAsia"/>
                <w:b/>
                <w:bCs/>
                <w:sz w:val="22"/>
                <w:szCs w:val="22"/>
              </w:rPr>
              <w:t>造每台扣</w:t>
            </w:r>
            <w:r>
              <w:rPr>
                <w:rFonts w:ascii="Times New Roman" w:hAnsi="Times New Roman" w:cs="Times New Roman"/>
                <w:b/>
                <w:bCs/>
                <w:sz w:val="22"/>
                <w:szCs w:val="22"/>
              </w:rPr>
              <w:t>5</w:t>
            </w:r>
            <w:r>
              <w:rPr>
                <w:rFonts w:hint="eastAsia"/>
                <w:b/>
                <w:bCs/>
                <w:sz w:val="22"/>
                <w:szCs w:val="22"/>
              </w:rPr>
              <w:t>分，未按要求延续认定申请每台扣</w:t>
            </w:r>
            <w:r>
              <w:rPr>
                <w:rFonts w:ascii="Times New Roman" w:hAnsi="Times New Roman" w:cs="Times New Roman"/>
                <w:b/>
                <w:bCs/>
                <w:sz w:val="22"/>
                <w:szCs w:val="22"/>
              </w:rPr>
              <w:t>3</w:t>
            </w:r>
            <w:r>
              <w:rPr>
                <w:rFonts w:hint="eastAsia"/>
                <w:b/>
                <w:bCs/>
                <w:sz w:val="22"/>
                <w:szCs w:val="22"/>
              </w:rPr>
              <w:t>分</w:t>
            </w:r>
          </w:p>
        </w:tc>
        <w:tc>
          <w:tcPr>
            <w:tcW w:w="726"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Chars="100" w:firstLine="220"/>
              <w:rPr>
                <w:sz w:val="22"/>
                <w:szCs w:val="22"/>
              </w:rPr>
            </w:pPr>
            <w:r>
              <w:rPr>
                <w:rFonts w:ascii="Times New Roman" w:hAnsi="Times New Roman" w:cs="Times New Roman"/>
                <w:sz w:val="22"/>
                <w:szCs w:val="22"/>
              </w:rPr>
              <w:t>40</w:t>
            </w:r>
          </w:p>
        </w:tc>
        <w:tc>
          <w:tcPr>
            <w:tcW w:w="905" w:type="dxa"/>
            <w:tcBorders>
              <w:top w:val="single" w:sz="4" w:space="0" w:color="auto"/>
              <w:left w:val="single" w:sz="4" w:space="0" w:color="auto"/>
              <w:right w:val="single" w:sz="4" w:space="0" w:color="auto"/>
            </w:tcBorders>
            <w:shd w:val="clear" w:color="auto" w:fill="FFFFFF"/>
            <w:vAlign w:val="center"/>
          </w:tcPr>
          <w:p w:rsidR="00107DCE" w:rsidRDefault="00107DCE" w:rsidP="005662D3">
            <w:pPr>
              <w:jc w:val="center"/>
              <w:rPr>
                <w:sz w:val="10"/>
                <w:szCs w:val="10"/>
              </w:rPr>
            </w:pPr>
          </w:p>
        </w:tc>
      </w:tr>
      <w:tr w:rsidR="00107DCE" w:rsidTr="00E94B55">
        <w:trPr>
          <w:trHeight w:hRule="exact" w:val="1814"/>
          <w:jc w:val="center"/>
        </w:trPr>
        <w:tc>
          <w:tcPr>
            <w:tcW w:w="725" w:type="dxa"/>
            <w:vMerge/>
            <w:tcBorders>
              <w:left w:val="single" w:sz="4" w:space="0" w:color="auto"/>
            </w:tcBorders>
            <w:shd w:val="clear" w:color="auto" w:fill="FFFFFF"/>
            <w:textDirection w:val="tbRlV"/>
            <w:vAlign w:val="bottom"/>
          </w:tcPr>
          <w:p w:rsidR="00107DCE" w:rsidRDefault="00107DCE"/>
        </w:tc>
        <w:tc>
          <w:tcPr>
            <w:tcW w:w="1282" w:type="dxa"/>
            <w:tcBorders>
              <w:top w:val="single" w:sz="4" w:space="0" w:color="auto"/>
              <w:left w:val="single" w:sz="4" w:space="0" w:color="auto"/>
            </w:tcBorders>
            <w:shd w:val="clear" w:color="auto" w:fill="FFFFFF"/>
            <w:vAlign w:val="center"/>
          </w:tcPr>
          <w:p w:rsidR="00107DCE" w:rsidRDefault="00107DCE">
            <w:pPr>
              <w:pStyle w:val="Other10"/>
              <w:spacing w:line="240" w:lineRule="auto"/>
              <w:ind w:firstLine="0"/>
              <w:jc w:val="center"/>
              <w:rPr>
                <w:sz w:val="22"/>
                <w:szCs w:val="22"/>
              </w:rPr>
            </w:pPr>
            <w:r>
              <w:rPr>
                <w:rFonts w:hint="eastAsia"/>
                <w:sz w:val="22"/>
                <w:szCs w:val="22"/>
              </w:rPr>
              <w:t>推进引导</w:t>
            </w:r>
          </w:p>
        </w:tc>
        <w:tc>
          <w:tcPr>
            <w:tcW w:w="6501" w:type="dxa"/>
            <w:tcBorders>
              <w:top w:val="single" w:sz="4" w:space="0" w:color="auto"/>
              <w:left w:val="single" w:sz="4" w:space="0" w:color="auto"/>
            </w:tcBorders>
            <w:shd w:val="clear" w:color="auto" w:fill="FFFFFF"/>
            <w:vAlign w:val="center"/>
          </w:tcPr>
          <w:p w:rsidR="00107DCE" w:rsidRDefault="00107DCE" w:rsidP="005662D3">
            <w:pPr>
              <w:pStyle w:val="Other10"/>
              <w:spacing w:line="301" w:lineRule="exact"/>
              <w:ind w:firstLine="0"/>
              <w:jc w:val="both"/>
              <w:rPr>
                <w:sz w:val="22"/>
                <w:szCs w:val="22"/>
              </w:rPr>
            </w:pPr>
            <w:r>
              <w:rPr>
                <w:rFonts w:hint="eastAsia"/>
                <w:sz w:val="22"/>
                <w:szCs w:val="22"/>
              </w:rPr>
              <w:t>分阶段、分步骤推进柴油移动源分类管理，要求在</w:t>
            </w:r>
            <w:r>
              <w:rPr>
                <w:rFonts w:ascii="Times New Roman" w:hAnsi="Times New Roman" w:cs="Times New Roman"/>
                <w:sz w:val="22"/>
                <w:szCs w:val="22"/>
              </w:rPr>
              <w:t>7</w:t>
            </w:r>
            <w:r>
              <w:rPr>
                <w:rFonts w:hint="eastAsia"/>
                <w:sz w:val="22"/>
                <w:szCs w:val="22"/>
              </w:rPr>
              <w:t>月底前完成所有柴油移动源摸底排查</w:t>
            </w:r>
            <w:r>
              <w:rPr>
                <w:sz w:val="22"/>
                <w:szCs w:val="22"/>
              </w:rPr>
              <w:t>,</w:t>
            </w:r>
            <w:r>
              <w:rPr>
                <w:rFonts w:hint="eastAsia"/>
                <w:sz w:val="22"/>
                <w:szCs w:val="22"/>
              </w:rPr>
              <w:t>并建立本项目柴油移动源清单，对不符合的及时治理改造，于</w:t>
            </w:r>
            <w:r>
              <w:rPr>
                <w:rFonts w:ascii="Times New Roman" w:hAnsi="Times New Roman" w:cs="Times New Roman"/>
                <w:sz w:val="22"/>
                <w:szCs w:val="22"/>
              </w:rPr>
              <w:t>9</w:t>
            </w:r>
            <w:r>
              <w:rPr>
                <w:rFonts w:hint="eastAsia"/>
                <w:sz w:val="22"/>
                <w:szCs w:val="22"/>
              </w:rPr>
              <w:t>月底前完成所有柴油移动源申请认定，分类管理。</w:t>
            </w:r>
          </w:p>
          <w:p w:rsidR="00107DCE" w:rsidRDefault="00107DCE" w:rsidP="005662D3">
            <w:pPr>
              <w:pStyle w:val="Other10"/>
              <w:spacing w:line="312" w:lineRule="exact"/>
              <w:ind w:firstLine="0"/>
              <w:jc w:val="both"/>
              <w:rPr>
                <w:sz w:val="22"/>
                <w:szCs w:val="22"/>
              </w:rPr>
            </w:pPr>
            <w:r>
              <w:rPr>
                <w:rFonts w:hint="eastAsia"/>
                <w:b/>
                <w:bCs/>
                <w:sz w:val="22"/>
                <w:szCs w:val="22"/>
              </w:rPr>
              <w:t>未在</w:t>
            </w:r>
            <w:r>
              <w:rPr>
                <w:rFonts w:ascii="Times New Roman" w:hAnsi="Times New Roman" w:cs="Times New Roman"/>
                <w:b/>
                <w:bCs/>
                <w:sz w:val="22"/>
                <w:szCs w:val="22"/>
              </w:rPr>
              <w:t>7</w:t>
            </w:r>
            <w:r>
              <w:rPr>
                <w:rFonts w:hint="eastAsia"/>
                <w:b/>
                <w:bCs/>
                <w:sz w:val="22"/>
                <w:szCs w:val="22"/>
              </w:rPr>
              <w:t>月底前完成所有柴油移动源摸底排查的扣</w:t>
            </w:r>
            <w:r>
              <w:rPr>
                <w:rFonts w:ascii="Times New Roman" w:hAnsi="Times New Roman" w:cs="Times New Roman"/>
                <w:b/>
                <w:bCs/>
                <w:sz w:val="22"/>
                <w:szCs w:val="22"/>
              </w:rPr>
              <w:t>10</w:t>
            </w:r>
            <w:r>
              <w:rPr>
                <w:rFonts w:hint="eastAsia"/>
                <w:b/>
                <w:bCs/>
                <w:sz w:val="22"/>
                <w:szCs w:val="22"/>
              </w:rPr>
              <w:t>分，未</w:t>
            </w:r>
            <w:r>
              <w:rPr>
                <w:b/>
                <w:bCs/>
                <w:sz w:val="22"/>
                <w:szCs w:val="22"/>
              </w:rPr>
              <w:t xml:space="preserve"> </w:t>
            </w:r>
            <w:r>
              <w:rPr>
                <w:rFonts w:hint="eastAsia"/>
                <w:b/>
                <w:bCs/>
                <w:sz w:val="22"/>
                <w:szCs w:val="22"/>
              </w:rPr>
              <w:t>在</w:t>
            </w:r>
            <w:r>
              <w:rPr>
                <w:rFonts w:ascii="Times New Roman" w:hAnsi="Times New Roman" w:cs="Times New Roman"/>
                <w:b/>
                <w:bCs/>
                <w:sz w:val="22"/>
                <w:szCs w:val="22"/>
              </w:rPr>
              <w:t>9</w:t>
            </w:r>
            <w:r>
              <w:rPr>
                <w:rFonts w:hint="eastAsia"/>
                <w:b/>
                <w:bCs/>
                <w:sz w:val="22"/>
                <w:szCs w:val="22"/>
              </w:rPr>
              <w:t>月底前完成所有柴油移动源申请认定的扣</w:t>
            </w:r>
            <w:r>
              <w:rPr>
                <w:rFonts w:ascii="Times New Roman" w:hAnsi="Times New Roman" w:cs="Times New Roman"/>
                <w:b/>
                <w:bCs/>
                <w:sz w:val="22"/>
                <w:szCs w:val="22"/>
              </w:rPr>
              <w:t>10</w:t>
            </w:r>
            <w:r>
              <w:rPr>
                <w:rFonts w:hint="eastAsia"/>
                <w:b/>
                <w:bCs/>
                <w:sz w:val="22"/>
                <w:szCs w:val="22"/>
              </w:rPr>
              <w:t>分</w:t>
            </w:r>
          </w:p>
        </w:tc>
        <w:tc>
          <w:tcPr>
            <w:tcW w:w="726"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Chars="100" w:firstLine="220"/>
              <w:rPr>
                <w:sz w:val="22"/>
                <w:szCs w:val="22"/>
              </w:rPr>
            </w:pPr>
            <w:r>
              <w:rPr>
                <w:rFonts w:ascii="Times New Roman" w:hAnsi="Times New Roman" w:cs="Times New Roman"/>
                <w:sz w:val="22"/>
                <w:szCs w:val="22"/>
              </w:rPr>
              <w:t>20</w:t>
            </w:r>
          </w:p>
        </w:tc>
        <w:tc>
          <w:tcPr>
            <w:tcW w:w="905" w:type="dxa"/>
            <w:tcBorders>
              <w:top w:val="single" w:sz="4" w:space="0" w:color="auto"/>
              <w:left w:val="single" w:sz="4" w:space="0" w:color="auto"/>
              <w:right w:val="single" w:sz="4" w:space="0" w:color="auto"/>
            </w:tcBorders>
            <w:shd w:val="clear" w:color="auto" w:fill="FFFFFF"/>
            <w:vAlign w:val="center"/>
          </w:tcPr>
          <w:p w:rsidR="00107DCE" w:rsidRDefault="00107DCE" w:rsidP="005662D3">
            <w:pPr>
              <w:jc w:val="center"/>
              <w:rPr>
                <w:sz w:val="10"/>
                <w:szCs w:val="10"/>
              </w:rPr>
            </w:pPr>
          </w:p>
        </w:tc>
      </w:tr>
      <w:tr w:rsidR="00107DCE" w:rsidTr="00E94B55">
        <w:trPr>
          <w:trHeight w:hRule="exact" w:val="907"/>
          <w:jc w:val="center"/>
        </w:trPr>
        <w:tc>
          <w:tcPr>
            <w:tcW w:w="2007" w:type="dxa"/>
            <w:gridSpan w:val="2"/>
            <w:tcBorders>
              <w:top w:val="single" w:sz="4" w:space="0" w:color="auto"/>
              <w:left w:val="single" w:sz="4" w:space="0" w:color="auto"/>
            </w:tcBorders>
            <w:shd w:val="clear" w:color="auto" w:fill="FFFFFF"/>
            <w:vAlign w:val="center"/>
          </w:tcPr>
          <w:p w:rsidR="00107DCE" w:rsidRDefault="00107DCE">
            <w:pPr>
              <w:pStyle w:val="Other10"/>
              <w:spacing w:line="302" w:lineRule="exact"/>
              <w:ind w:firstLine="0"/>
              <w:jc w:val="center"/>
              <w:rPr>
                <w:sz w:val="22"/>
                <w:szCs w:val="22"/>
              </w:rPr>
            </w:pPr>
            <w:r>
              <w:rPr>
                <w:rFonts w:hint="eastAsia"/>
                <w:sz w:val="22"/>
                <w:szCs w:val="22"/>
              </w:rPr>
              <w:t>三、非道路机械淘汰情况</w:t>
            </w:r>
          </w:p>
        </w:tc>
        <w:tc>
          <w:tcPr>
            <w:tcW w:w="6501" w:type="dxa"/>
            <w:tcBorders>
              <w:top w:val="single" w:sz="4" w:space="0" w:color="auto"/>
              <w:left w:val="single" w:sz="4" w:space="0" w:color="auto"/>
            </w:tcBorders>
            <w:shd w:val="clear" w:color="auto" w:fill="FFFFFF"/>
            <w:vAlign w:val="center"/>
          </w:tcPr>
          <w:p w:rsidR="00107DCE" w:rsidRDefault="00107DCE" w:rsidP="005662D3">
            <w:pPr>
              <w:pStyle w:val="Other10"/>
              <w:numPr>
                <w:ilvl w:val="0"/>
                <w:numId w:val="2"/>
              </w:numPr>
              <w:tabs>
                <w:tab w:val="left" w:pos="221"/>
              </w:tabs>
              <w:spacing w:line="288" w:lineRule="exact"/>
              <w:ind w:firstLine="0"/>
              <w:jc w:val="both"/>
              <w:rPr>
                <w:sz w:val="22"/>
                <w:szCs w:val="22"/>
              </w:rPr>
            </w:pPr>
            <w:r>
              <w:rPr>
                <w:rFonts w:hint="eastAsia"/>
                <w:sz w:val="22"/>
                <w:szCs w:val="22"/>
              </w:rPr>
              <w:t>推进老旧工程机械高排放移动源淘汰工作</w:t>
            </w:r>
          </w:p>
          <w:p w:rsidR="00107DCE" w:rsidRDefault="00107DCE" w:rsidP="005662D3">
            <w:pPr>
              <w:pStyle w:val="Other10"/>
              <w:numPr>
                <w:ilvl w:val="0"/>
                <w:numId w:val="2"/>
              </w:numPr>
              <w:tabs>
                <w:tab w:val="left" w:pos="230"/>
              </w:tabs>
              <w:spacing w:line="288" w:lineRule="exact"/>
              <w:ind w:firstLine="0"/>
              <w:jc w:val="both"/>
              <w:rPr>
                <w:sz w:val="22"/>
                <w:szCs w:val="22"/>
              </w:rPr>
            </w:pPr>
            <w:r>
              <w:rPr>
                <w:rFonts w:hint="eastAsia"/>
                <w:sz w:val="22"/>
                <w:szCs w:val="22"/>
              </w:rPr>
              <w:t>机械定期年检并相关证书齐全</w:t>
            </w:r>
          </w:p>
          <w:p w:rsidR="00107DCE" w:rsidRDefault="00107DCE" w:rsidP="005662D3">
            <w:pPr>
              <w:pStyle w:val="Other10"/>
              <w:tabs>
                <w:tab w:val="left" w:pos="230"/>
              </w:tabs>
              <w:spacing w:line="288" w:lineRule="exact"/>
              <w:ind w:firstLine="0"/>
              <w:jc w:val="both"/>
              <w:rPr>
                <w:sz w:val="22"/>
                <w:szCs w:val="22"/>
              </w:rPr>
            </w:pPr>
            <w:r>
              <w:rPr>
                <w:rFonts w:hint="eastAsia"/>
                <w:b/>
                <w:bCs/>
                <w:sz w:val="22"/>
                <w:szCs w:val="22"/>
              </w:rPr>
              <w:t>每个不符合机械扣</w:t>
            </w:r>
            <w:r>
              <w:rPr>
                <w:rFonts w:ascii="Times New Roman" w:hAnsi="Times New Roman" w:cs="Times New Roman"/>
                <w:b/>
                <w:bCs/>
                <w:sz w:val="22"/>
                <w:szCs w:val="22"/>
              </w:rPr>
              <w:t>5</w:t>
            </w:r>
            <w:r>
              <w:rPr>
                <w:rFonts w:hint="eastAsia"/>
                <w:b/>
                <w:bCs/>
                <w:sz w:val="22"/>
                <w:szCs w:val="22"/>
              </w:rPr>
              <w:t>分</w:t>
            </w:r>
          </w:p>
        </w:tc>
        <w:tc>
          <w:tcPr>
            <w:tcW w:w="726" w:type="dxa"/>
            <w:tcBorders>
              <w:top w:val="single" w:sz="4" w:space="0" w:color="auto"/>
              <w:left w:val="single" w:sz="4" w:space="0" w:color="auto"/>
            </w:tcBorders>
            <w:shd w:val="clear" w:color="auto" w:fill="FFFFFF"/>
            <w:vAlign w:val="center"/>
          </w:tcPr>
          <w:p w:rsidR="00107DCE" w:rsidRDefault="00107DCE" w:rsidP="005662D3">
            <w:pPr>
              <w:pStyle w:val="Other10"/>
              <w:spacing w:line="240" w:lineRule="auto"/>
              <w:ind w:firstLineChars="100" w:firstLine="220"/>
              <w:rPr>
                <w:sz w:val="22"/>
                <w:szCs w:val="22"/>
              </w:rPr>
            </w:pPr>
            <w:r>
              <w:rPr>
                <w:rFonts w:ascii="Times New Roman" w:hAnsi="Times New Roman" w:cs="Times New Roman"/>
                <w:sz w:val="22"/>
                <w:szCs w:val="22"/>
              </w:rPr>
              <w:t>10</w:t>
            </w:r>
          </w:p>
        </w:tc>
        <w:tc>
          <w:tcPr>
            <w:tcW w:w="905" w:type="dxa"/>
            <w:tcBorders>
              <w:top w:val="single" w:sz="4" w:space="0" w:color="auto"/>
              <w:left w:val="single" w:sz="4" w:space="0" w:color="auto"/>
              <w:right w:val="single" w:sz="4" w:space="0" w:color="auto"/>
            </w:tcBorders>
            <w:shd w:val="clear" w:color="auto" w:fill="FFFFFF"/>
            <w:vAlign w:val="center"/>
          </w:tcPr>
          <w:p w:rsidR="00107DCE" w:rsidRDefault="00107DCE" w:rsidP="005662D3">
            <w:pPr>
              <w:jc w:val="center"/>
              <w:rPr>
                <w:sz w:val="10"/>
                <w:szCs w:val="10"/>
              </w:rPr>
            </w:pPr>
          </w:p>
        </w:tc>
      </w:tr>
      <w:tr w:rsidR="00107DCE" w:rsidTr="00E94B55">
        <w:trPr>
          <w:trHeight w:hRule="exact" w:val="559"/>
          <w:jc w:val="center"/>
        </w:trPr>
        <w:tc>
          <w:tcPr>
            <w:tcW w:w="2007" w:type="dxa"/>
            <w:gridSpan w:val="2"/>
            <w:tcBorders>
              <w:top w:val="single" w:sz="4" w:space="0" w:color="auto"/>
              <w:left w:val="single" w:sz="4" w:space="0" w:color="auto"/>
              <w:bottom w:val="single" w:sz="4" w:space="0" w:color="auto"/>
            </w:tcBorders>
            <w:shd w:val="clear" w:color="auto" w:fill="FFFFFF"/>
            <w:vAlign w:val="center"/>
          </w:tcPr>
          <w:p w:rsidR="00107DCE" w:rsidRDefault="00107DCE" w:rsidP="005662D3">
            <w:pPr>
              <w:pStyle w:val="Other10"/>
              <w:spacing w:line="240" w:lineRule="auto"/>
              <w:ind w:firstLine="0"/>
              <w:jc w:val="center"/>
              <w:rPr>
                <w:sz w:val="22"/>
                <w:szCs w:val="22"/>
              </w:rPr>
            </w:pPr>
            <w:r>
              <w:rPr>
                <w:rFonts w:hint="eastAsia"/>
                <w:sz w:val="22"/>
                <w:szCs w:val="22"/>
              </w:rPr>
              <w:t>合计</w:t>
            </w:r>
          </w:p>
        </w:tc>
        <w:tc>
          <w:tcPr>
            <w:tcW w:w="6501" w:type="dxa"/>
            <w:tcBorders>
              <w:top w:val="single" w:sz="4" w:space="0" w:color="auto"/>
              <w:left w:val="single" w:sz="4" w:space="0" w:color="auto"/>
              <w:bottom w:val="single" w:sz="4" w:space="0" w:color="auto"/>
            </w:tcBorders>
            <w:shd w:val="clear" w:color="auto" w:fill="FFFFFF"/>
            <w:vAlign w:val="center"/>
          </w:tcPr>
          <w:p w:rsidR="00107DCE" w:rsidRDefault="00107DCE" w:rsidP="005662D3">
            <w:pPr>
              <w:jc w:val="center"/>
              <w:rPr>
                <w:sz w:val="10"/>
                <w:szCs w:val="10"/>
              </w:rPr>
            </w:pPr>
          </w:p>
        </w:tc>
        <w:tc>
          <w:tcPr>
            <w:tcW w:w="726" w:type="dxa"/>
            <w:tcBorders>
              <w:top w:val="single" w:sz="4" w:space="0" w:color="auto"/>
              <w:left w:val="single" w:sz="4" w:space="0" w:color="auto"/>
              <w:bottom w:val="single" w:sz="4" w:space="0" w:color="auto"/>
            </w:tcBorders>
            <w:shd w:val="clear" w:color="auto" w:fill="FFFFFF"/>
            <w:vAlign w:val="center"/>
          </w:tcPr>
          <w:p w:rsidR="00107DCE" w:rsidRDefault="00107DCE" w:rsidP="00E94B55">
            <w:pPr>
              <w:pStyle w:val="Other10"/>
              <w:spacing w:line="240" w:lineRule="auto"/>
              <w:ind w:firstLineChars="100" w:firstLine="220"/>
              <w:rPr>
                <w:sz w:val="22"/>
                <w:szCs w:val="22"/>
              </w:rPr>
            </w:pPr>
            <w:r>
              <w:rPr>
                <w:rFonts w:ascii="Times New Roman" w:hAnsi="Times New Roman" w:cs="Times New Roman"/>
                <w:sz w:val="22"/>
                <w:szCs w:val="22"/>
              </w:rPr>
              <w:t>100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107DCE" w:rsidRDefault="00107DCE" w:rsidP="005662D3">
            <w:pPr>
              <w:jc w:val="center"/>
              <w:rPr>
                <w:sz w:val="10"/>
                <w:szCs w:val="10"/>
              </w:rPr>
            </w:pPr>
          </w:p>
        </w:tc>
      </w:tr>
    </w:tbl>
    <w:p w:rsidR="00107DCE" w:rsidRDefault="00107DCE" w:rsidP="00E94B55">
      <w:pPr>
        <w:rPr>
          <w:lang w:eastAsia="zh-CN"/>
        </w:rPr>
      </w:pPr>
    </w:p>
    <w:sectPr w:rsidR="00107DCE" w:rsidSect="001F2751">
      <w:headerReference w:type="even" r:id="rId7"/>
      <w:headerReference w:type="default" r:id="rId8"/>
      <w:footerReference w:type="even" r:id="rId9"/>
      <w:footerReference w:type="default" r:id="rId10"/>
      <w:headerReference w:type="first" r:id="rId11"/>
      <w:footerReference w:type="first" r:id="rId12"/>
      <w:pgSz w:w="11900" w:h="16840"/>
      <w:pgMar w:top="1644" w:right="1644" w:bottom="1644" w:left="1644" w:header="1820" w:footer="18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CE" w:rsidRDefault="00107DCE"/>
  </w:endnote>
  <w:endnote w:type="continuationSeparator" w:id="0">
    <w:p w:rsidR="00107DCE" w:rsidRDefault="00107D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CE" w:rsidRDefault="00107DCE" w:rsidP="001F2751">
    <w:pPr>
      <w:ind w:right="360"/>
      <w:rPr>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CE" w:rsidRDefault="00107D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CE" w:rsidRDefault="00107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CE" w:rsidRDefault="00107DCE"/>
  </w:footnote>
  <w:footnote w:type="continuationSeparator" w:id="0">
    <w:p w:rsidR="00107DCE" w:rsidRDefault="00107D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CE" w:rsidRDefault="00107D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CE" w:rsidRDefault="00107DCE" w:rsidP="00F86C5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CE" w:rsidRDefault="00107D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FFFFFF7C"/>
    <w:multiLevelType w:val="singleLevel"/>
    <w:tmpl w:val="C4C2ED96"/>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192876B6"/>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0582986E"/>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AD7ACD14"/>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E7D67A92"/>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03AEA9DC"/>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60BC900E"/>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62DCF6CA"/>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59FC8B2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40509360"/>
    <w:lvl w:ilvl="0">
      <w:start w:val="1"/>
      <w:numFmt w:val="bullet"/>
      <w:lvlText w:val=""/>
      <w:lvlJc w:val="left"/>
      <w:pPr>
        <w:tabs>
          <w:tab w:val="num" w:pos="360"/>
        </w:tabs>
        <w:ind w:left="360" w:hanging="360"/>
      </w:pPr>
      <w:rPr>
        <w:rFonts w:ascii="Wingdings" w:hAnsi="Wingdings" w:hint="default"/>
      </w:rPr>
    </w:lvl>
  </w:abstractNum>
  <w:abstractNum w:abstractNumId="11">
    <w:nsid w:val="0053208E"/>
    <w:multiLevelType w:val="singleLevel"/>
    <w:tmpl w:val="00532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81"/>
  <w:drawingGridVerticalSpacing w:val="181"/>
  <w:characterSpacingControl w:val="compressPunctuation"/>
  <w:noLineBreaksAfter w:lang="zh-CN" w:val="$([{£¥·‘“〈《「『【〔〖〝﹙﹛﹝＄（．［｛￡￥"/>
  <w:noLineBreaksBefore w:lang="zh-CN" w:val="!%),.:;&gt;?]}¢¨°·ˇˉ―‖’”…‰′″›℃∶、。〃〉》」』】〕〗〞︶︺︾﹀﹄﹚﹜﹞！＂％＇），．：；？］｀｜｝～￠"/>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D07"/>
    <w:rsid w:val="00107DCE"/>
    <w:rsid w:val="001B42F3"/>
    <w:rsid w:val="001E7D07"/>
    <w:rsid w:val="001F04BB"/>
    <w:rsid w:val="001F2751"/>
    <w:rsid w:val="00317867"/>
    <w:rsid w:val="0036167C"/>
    <w:rsid w:val="003A288D"/>
    <w:rsid w:val="005662D3"/>
    <w:rsid w:val="00586CD9"/>
    <w:rsid w:val="009231DD"/>
    <w:rsid w:val="00B216F2"/>
    <w:rsid w:val="00B349EF"/>
    <w:rsid w:val="00BD474C"/>
    <w:rsid w:val="00C125C2"/>
    <w:rsid w:val="00C653CF"/>
    <w:rsid w:val="00CD6FD9"/>
    <w:rsid w:val="00CD7A4E"/>
    <w:rsid w:val="00CE323A"/>
    <w:rsid w:val="00CF4D8A"/>
    <w:rsid w:val="00D00475"/>
    <w:rsid w:val="00E94B55"/>
    <w:rsid w:val="00F86C53"/>
    <w:rsid w:val="00FA3E56"/>
    <w:rsid w:val="047F32FD"/>
    <w:rsid w:val="0E20069C"/>
    <w:rsid w:val="56AE08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07"/>
    <w:pPr>
      <w:widowControl w:val="0"/>
    </w:pPr>
    <w:rPr>
      <w:color w:val="000000"/>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uiPriority w:val="99"/>
    <w:locked/>
    <w:rsid w:val="001E7D07"/>
    <w:rPr>
      <w:rFonts w:ascii="宋体" w:eastAsia="宋体" w:hAnsi="宋体" w:cs="宋体"/>
      <w:color w:val="EA302B"/>
      <w:sz w:val="100"/>
      <w:szCs w:val="100"/>
      <w:u w:val="none"/>
      <w:shd w:val="clear" w:color="auto" w:fill="auto"/>
      <w:lang w:val="zh-TW" w:eastAsia="zh-TW"/>
    </w:rPr>
  </w:style>
  <w:style w:type="paragraph" w:customStyle="1" w:styleId="Heading110">
    <w:name w:val="Heading #1|1"/>
    <w:basedOn w:val="Normal"/>
    <w:link w:val="Heading11"/>
    <w:uiPriority w:val="99"/>
    <w:rsid w:val="001E7D07"/>
    <w:pPr>
      <w:spacing w:after="1100"/>
      <w:outlineLvl w:val="0"/>
    </w:pPr>
    <w:rPr>
      <w:rFonts w:ascii="宋体" w:hAnsi="宋体" w:cs="宋体"/>
      <w:color w:val="EA302B"/>
      <w:sz w:val="100"/>
      <w:szCs w:val="100"/>
      <w:lang w:val="zh-TW" w:eastAsia="zh-TW"/>
    </w:rPr>
  </w:style>
  <w:style w:type="character" w:customStyle="1" w:styleId="Headerorfooter2">
    <w:name w:val="Header or footer|2_"/>
    <w:basedOn w:val="DefaultParagraphFont"/>
    <w:link w:val="Headerorfooter20"/>
    <w:uiPriority w:val="99"/>
    <w:locked/>
    <w:rsid w:val="001E7D07"/>
    <w:rPr>
      <w:rFonts w:cs="Times New Roman"/>
      <w:sz w:val="20"/>
      <w:szCs w:val="20"/>
      <w:u w:val="none"/>
      <w:shd w:val="clear" w:color="auto" w:fill="auto"/>
      <w:lang w:val="zh-TW" w:eastAsia="zh-TW"/>
    </w:rPr>
  </w:style>
  <w:style w:type="paragraph" w:customStyle="1" w:styleId="Headerorfooter20">
    <w:name w:val="Header or footer|2"/>
    <w:basedOn w:val="Normal"/>
    <w:link w:val="Headerorfooter2"/>
    <w:uiPriority w:val="99"/>
    <w:rsid w:val="001E7D07"/>
    <w:rPr>
      <w:sz w:val="20"/>
      <w:szCs w:val="20"/>
      <w:lang w:val="zh-TW" w:eastAsia="zh-TW"/>
    </w:rPr>
  </w:style>
  <w:style w:type="character" w:customStyle="1" w:styleId="Bodytext1">
    <w:name w:val="Body text|1_"/>
    <w:basedOn w:val="DefaultParagraphFont"/>
    <w:link w:val="Bodytext10"/>
    <w:uiPriority w:val="99"/>
    <w:locked/>
    <w:rsid w:val="001E7D07"/>
    <w:rPr>
      <w:rFonts w:ascii="宋体" w:eastAsia="宋体" w:hAnsi="宋体" w:cs="宋体"/>
      <w:sz w:val="30"/>
      <w:szCs w:val="30"/>
      <w:u w:val="none"/>
      <w:shd w:val="clear" w:color="auto" w:fill="auto"/>
      <w:lang w:val="zh-TW" w:eastAsia="zh-TW"/>
    </w:rPr>
  </w:style>
  <w:style w:type="paragraph" w:customStyle="1" w:styleId="Bodytext10">
    <w:name w:val="Body text|1"/>
    <w:basedOn w:val="Normal"/>
    <w:link w:val="Bodytext1"/>
    <w:uiPriority w:val="99"/>
    <w:rsid w:val="001E7D07"/>
    <w:pPr>
      <w:spacing w:line="410" w:lineRule="auto"/>
      <w:ind w:firstLine="400"/>
    </w:pPr>
    <w:rPr>
      <w:rFonts w:ascii="宋体" w:hAnsi="宋体" w:cs="宋体"/>
      <w:sz w:val="30"/>
      <w:szCs w:val="30"/>
      <w:lang w:val="zh-TW" w:eastAsia="zh-TW"/>
    </w:rPr>
  </w:style>
  <w:style w:type="character" w:customStyle="1" w:styleId="Bodytext2">
    <w:name w:val="Body text|2_"/>
    <w:basedOn w:val="DefaultParagraphFont"/>
    <w:link w:val="Bodytext20"/>
    <w:uiPriority w:val="99"/>
    <w:locked/>
    <w:rsid w:val="001E7D07"/>
    <w:rPr>
      <w:rFonts w:ascii="宋体" w:eastAsia="宋体" w:hAnsi="宋体" w:cs="宋体"/>
      <w:sz w:val="42"/>
      <w:szCs w:val="42"/>
      <w:u w:val="none"/>
      <w:shd w:val="clear" w:color="auto" w:fill="auto"/>
      <w:lang w:val="zh-TW" w:eastAsia="zh-TW"/>
    </w:rPr>
  </w:style>
  <w:style w:type="paragraph" w:customStyle="1" w:styleId="Bodytext20">
    <w:name w:val="Body text|2"/>
    <w:basedOn w:val="Normal"/>
    <w:link w:val="Bodytext2"/>
    <w:uiPriority w:val="99"/>
    <w:rsid w:val="001E7D07"/>
    <w:pPr>
      <w:spacing w:after="560" w:line="566" w:lineRule="exact"/>
      <w:jc w:val="center"/>
    </w:pPr>
    <w:rPr>
      <w:rFonts w:ascii="宋体" w:hAnsi="宋体" w:cs="宋体"/>
      <w:sz w:val="42"/>
      <w:szCs w:val="42"/>
      <w:lang w:val="zh-TW" w:eastAsia="zh-TW"/>
    </w:rPr>
  </w:style>
  <w:style w:type="character" w:customStyle="1" w:styleId="Bodytext4">
    <w:name w:val="Body text|4_"/>
    <w:basedOn w:val="DefaultParagraphFont"/>
    <w:link w:val="Bodytext40"/>
    <w:uiPriority w:val="99"/>
    <w:locked/>
    <w:rsid w:val="001E7D07"/>
    <w:rPr>
      <w:rFonts w:cs="Times New Roman"/>
      <w:b/>
      <w:bCs/>
      <w:sz w:val="26"/>
      <w:szCs w:val="26"/>
      <w:u w:val="none"/>
      <w:shd w:val="clear" w:color="auto" w:fill="auto"/>
      <w:lang w:val="zh-TW" w:eastAsia="zh-TW"/>
    </w:rPr>
  </w:style>
  <w:style w:type="paragraph" w:customStyle="1" w:styleId="Bodytext40">
    <w:name w:val="Body text|4"/>
    <w:basedOn w:val="Normal"/>
    <w:link w:val="Bodytext4"/>
    <w:uiPriority w:val="99"/>
    <w:rsid w:val="001E7D07"/>
    <w:rPr>
      <w:b/>
      <w:bCs/>
      <w:sz w:val="26"/>
      <w:szCs w:val="26"/>
      <w:lang w:val="zh-TW" w:eastAsia="zh-TW"/>
    </w:rPr>
  </w:style>
  <w:style w:type="character" w:customStyle="1" w:styleId="Bodytext3">
    <w:name w:val="Body text|3_"/>
    <w:basedOn w:val="DefaultParagraphFont"/>
    <w:link w:val="Bodytext30"/>
    <w:uiPriority w:val="99"/>
    <w:locked/>
    <w:rsid w:val="001E7D07"/>
    <w:rPr>
      <w:rFonts w:ascii="宋体" w:eastAsia="宋体" w:hAnsi="宋体" w:cs="宋体"/>
      <w:sz w:val="26"/>
      <w:szCs w:val="26"/>
      <w:u w:val="none"/>
      <w:shd w:val="clear" w:color="auto" w:fill="auto"/>
      <w:lang w:val="zh-TW" w:eastAsia="zh-TW"/>
    </w:rPr>
  </w:style>
  <w:style w:type="paragraph" w:customStyle="1" w:styleId="Bodytext30">
    <w:name w:val="Body text|3"/>
    <w:basedOn w:val="Normal"/>
    <w:link w:val="Bodytext3"/>
    <w:uiPriority w:val="99"/>
    <w:rsid w:val="001E7D07"/>
    <w:pPr>
      <w:spacing w:line="456" w:lineRule="exact"/>
    </w:pPr>
    <w:rPr>
      <w:rFonts w:ascii="宋体" w:hAnsi="宋体" w:cs="宋体"/>
      <w:sz w:val="26"/>
      <w:szCs w:val="26"/>
      <w:lang w:val="zh-TW" w:eastAsia="zh-TW"/>
    </w:rPr>
  </w:style>
  <w:style w:type="character" w:customStyle="1" w:styleId="Heading21">
    <w:name w:val="Heading #2|1_"/>
    <w:basedOn w:val="DefaultParagraphFont"/>
    <w:link w:val="Heading210"/>
    <w:uiPriority w:val="99"/>
    <w:locked/>
    <w:rsid w:val="001E7D07"/>
    <w:rPr>
      <w:rFonts w:ascii="宋体" w:eastAsia="宋体" w:hAnsi="宋体" w:cs="宋体"/>
      <w:sz w:val="42"/>
      <w:szCs w:val="42"/>
      <w:u w:val="none"/>
      <w:shd w:val="clear" w:color="auto" w:fill="auto"/>
      <w:lang w:val="zh-TW" w:eastAsia="zh-TW"/>
    </w:rPr>
  </w:style>
  <w:style w:type="paragraph" w:customStyle="1" w:styleId="Heading210">
    <w:name w:val="Heading #2|1"/>
    <w:basedOn w:val="Normal"/>
    <w:link w:val="Heading21"/>
    <w:uiPriority w:val="99"/>
    <w:rsid w:val="001E7D07"/>
    <w:pPr>
      <w:spacing w:after="500" w:line="586" w:lineRule="exact"/>
      <w:jc w:val="center"/>
      <w:outlineLvl w:val="1"/>
    </w:pPr>
    <w:rPr>
      <w:rFonts w:ascii="宋体" w:hAnsi="宋体" w:cs="宋体"/>
      <w:sz w:val="42"/>
      <w:szCs w:val="42"/>
      <w:lang w:val="zh-TW" w:eastAsia="zh-TW"/>
    </w:rPr>
  </w:style>
  <w:style w:type="character" w:customStyle="1" w:styleId="Headerorfooter1">
    <w:name w:val="Header or footer|1_"/>
    <w:basedOn w:val="DefaultParagraphFont"/>
    <w:link w:val="Headerorfooter10"/>
    <w:uiPriority w:val="99"/>
    <w:locked/>
    <w:rsid w:val="001E7D07"/>
    <w:rPr>
      <w:rFonts w:cs="Times New Roman"/>
      <w:b/>
      <w:bCs/>
      <w:sz w:val="26"/>
      <w:szCs w:val="26"/>
      <w:u w:val="none"/>
      <w:shd w:val="clear" w:color="auto" w:fill="auto"/>
      <w:lang w:val="zh-TW" w:eastAsia="zh-TW"/>
    </w:rPr>
  </w:style>
  <w:style w:type="paragraph" w:customStyle="1" w:styleId="Headerorfooter10">
    <w:name w:val="Header or footer|1"/>
    <w:basedOn w:val="Normal"/>
    <w:link w:val="Headerorfooter1"/>
    <w:uiPriority w:val="99"/>
    <w:rsid w:val="001E7D07"/>
    <w:rPr>
      <w:b/>
      <w:bCs/>
      <w:sz w:val="26"/>
      <w:szCs w:val="26"/>
      <w:lang w:val="zh-TW" w:eastAsia="zh-TW"/>
    </w:rPr>
  </w:style>
  <w:style w:type="character" w:customStyle="1" w:styleId="Other1">
    <w:name w:val="Other|1_"/>
    <w:basedOn w:val="DefaultParagraphFont"/>
    <w:link w:val="Other10"/>
    <w:uiPriority w:val="99"/>
    <w:locked/>
    <w:rsid w:val="001E7D07"/>
    <w:rPr>
      <w:rFonts w:ascii="宋体" w:eastAsia="宋体" w:hAnsi="宋体" w:cs="宋体"/>
      <w:sz w:val="30"/>
      <w:szCs w:val="30"/>
      <w:u w:val="none"/>
      <w:shd w:val="clear" w:color="auto" w:fill="auto"/>
      <w:lang w:val="zh-TW" w:eastAsia="zh-TW"/>
    </w:rPr>
  </w:style>
  <w:style w:type="paragraph" w:customStyle="1" w:styleId="Other10">
    <w:name w:val="Other|1"/>
    <w:basedOn w:val="Normal"/>
    <w:link w:val="Other1"/>
    <w:uiPriority w:val="99"/>
    <w:rsid w:val="001E7D07"/>
    <w:pPr>
      <w:spacing w:line="410" w:lineRule="auto"/>
      <w:ind w:firstLine="400"/>
    </w:pPr>
    <w:rPr>
      <w:rFonts w:ascii="宋体" w:hAnsi="宋体" w:cs="宋体"/>
      <w:sz w:val="30"/>
      <w:szCs w:val="30"/>
      <w:lang w:val="zh-TW" w:eastAsia="zh-TW"/>
    </w:rPr>
  </w:style>
  <w:style w:type="character" w:customStyle="1" w:styleId="Other2">
    <w:name w:val="Other|2_"/>
    <w:basedOn w:val="DefaultParagraphFont"/>
    <w:link w:val="Other20"/>
    <w:uiPriority w:val="99"/>
    <w:locked/>
    <w:rsid w:val="001E7D07"/>
    <w:rPr>
      <w:rFonts w:ascii="宋体" w:eastAsia="宋体" w:hAnsi="宋体" w:cs="宋体"/>
      <w:u w:val="none"/>
      <w:shd w:val="clear" w:color="auto" w:fill="auto"/>
      <w:lang w:val="zh-TW" w:eastAsia="zh-TW"/>
    </w:rPr>
  </w:style>
  <w:style w:type="paragraph" w:customStyle="1" w:styleId="Other20">
    <w:name w:val="Other|2"/>
    <w:basedOn w:val="Normal"/>
    <w:link w:val="Other2"/>
    <w:uiPriority w:val="99"/>
    <w:rsid w:val="001E7D07"/>
    <w:pPr>
      <w:spacing w:line="264" w:lineRule="exact"/>
      <w:jc w:val="center"/>
    </w:pPr>
    <w:rPr>
      <w:rFonts w:ascii="宋体" w:hAnsi="宋体" w:cs="宋体"/>
      <w:lang w:val="zh-TW" w:eastAsia="zh-TW"/>
    </w:rPr>
  </w:style>
  <w:style w:type="paragraph" w:styleId="Header">
    <w:name w:val="header"/>
    <w:basedOn w:val="Normal"/>
    <w:link w:val="HeaderChar"/>
    <w:uiPriority w:val="99"/>
    <w:rsid w:val="00BD47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B42F3"/>
    <w:rPr>
      <w:rFonts w:cs="Times New Roman"/>
      <w:color w:val="000000"/>
      <w:kern w:val="0"/>
      <w:sz w:val="18"/>
      <w:szCs w:val="18"/>
      <w:lang w:eastAsia="en-US"/>
    </w:rPr>
  </w:style>
  <w:style w:type="paragraph" w:styleId="Footer">
    <w:name w:val="footer"/>
    <w:basedOn w:val="Normal"/>
    <w:link w:val="FooterChar"/>
    <w:uiPriority w:val="99"/>
    <w:rsid w:val="00BD474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1B42F3"/>
    <w:rPr>
      <w:rFonts w:cs="Times New Roman"/>
      <w:color w:val="000000"/>
      <w:kern w:val="0"/>
      <w:sz w:val="18"/>
      <w:szCs w:val="18"/>
      <w:lang w:eastAsia="en-US"/>
    </w:rPr>
  </w:style>
  <w:style w:type="character" w:styleId="PageNumber">
    <w:name w:val="page number"/>
    <w:basedOn w:val="DefaultParagraphFont"/>
    <w:uiPriority w:val="99"/>
    <w:rsid w:val="00586C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127</Words>
  <Characters>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hp</dc:creator>
  <cp:keywords/>
  <dc:description/>
  <cp:lastModifiedBy>lenovo</cp:lastModifiedBy>
  <cp:revision>3</cp:revision>
  <cp:lastPrinted>2021-07-09T06:19:00Z</cp:lastPrinted>
  <dcterms:created xsi:type="dcterms:W3CDTF">2021-07-09T06:13:00Z</dcterms:created>
  <dcterms:modified xsi:type="dcterms:W3CDTF">2021-07-09T06:31:00Z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2616886AEA664DD7B5593C6012D12E9B</vt:lpwstr>
  </property>
</Properties>
</file>