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</w:p>
    <w:tbl>
      <w:tblPr>
        <w:tblStyle w:val="3"/>
        <w:tblW w:w="8363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300"/>
        <w:gridCol w:w="1566"/>
        <w:gridCol w:w="19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  <w:lang w:eastAsia="zh-CN"/>
              </w:rPr>
              <w:t>诸暨市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</w:rPr>
              <w:t>20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  <w:lang w:val="en-US" w:eastAsia="zh-CN"/>
              </w:rPr>
              <w:t>首台（套）保险补偿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</w:rPr>
              <w:t>奖励</w:t>
            </w:r>
            <w:r>
              <w:rPr>
                <w:rFonts w:hint="eastAsia" w:ascii="仿宋_GB2312" w:eastAsia="仿宋_GB2312"/>
                <w:b/>
                <w:bCs w:val="0"/>
                <w:sz w:val="36"/>
                <w:szCs w:val="36"/>
              </w:rPr>
              <w:t>省级专项资金</w:t>
            </w:r>
            <w:r>
              <w:rPr>
                <w:rFonts w:hint="eastAsia" w:ascii="仿宋_GB2312" w:eastAsia="仿宋_GB2312"/>
                <w:b/>
                <w:bCs w:val="0"/>
                <w:sz w:val="36"/>
                <w:szCs w:val="36"/>
                <w:lang w:eastAsia="zh-CN"/>
              </w:rPr>
              <w:t>拟奖励情况汇总表</w:t>
            </w:r>
          </w:p>
          <w:bookmarkEnd w:id="0"/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36"/>
                <w:szCs w:val="36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奖励金额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浙江叶晓针织机械有限公司</w:t>
            </w:r>
          </w:p>
        </w:tc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首台（套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）保险补偿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A435C"/>
    <w:rsid w:val="70A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2021-04-15T02:51:00Z</dcterms:created>
  <dc:creator>HP</dc:creator>
  <cp:lastModifiedBy>HP</cp:lastModifiedBy>
  <dcterms:modified xsi:type="dcterms:W3CDTF">2021-04-15T02:52:42Z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