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8640"/>
          <w:tab w:val="left" w:pos="8820"/>
        </w:tabs>
        <w:spacing w:line="560" w:lineRule="exact"/>
        <w:rPr>
          <w:rFonts w:hint="eastAsia" w:eastAsia="仿宋_GB2312"/>
          <w:snapToGrid w:val="0"/>
          <w:sz w:val="70"/>
        </w:rPr>
      </w:pPr>
    </w:p>
    <w:p>
      <w:pPr>
        <w:tabs>
          <w:tab w:val="left" w:pos="8640"/>
          <w:tab w:val="left" w:pos="8820"/>
        </w:tabs>
        <w:spacing w:line="560" w:lineRule="exact"/>
        <w:rPr>
          <w:rFonts w:eastAsia="仿宋_GB2312"/>
          <w:snapToGrid w:val="0"/>
          <w:sz w:val="44"/>
        </w:rPr>
      </w:pPr>
    </w:p>
    <w:p>
      <w:pPr>
        <w:tabs>
          <w:tab w:val="left" w:pos="8640"/>
          <w:tab w:val="left" w:pos="8820"/>
        </w:tabs>
        <w:spacing w:line="1040" w:lineRule="exact"/>
        <w:jc w:val="center"/>
        <w:rPr>
          <w:rFonts w:ascii="宋体"/>
          <w:color w:val="FF0000"/>
          <w:spacing w:val="-46"/>
          <w:w w:val="60"/>
          <w:sz w:val="20"/>
        </w:rPr>
      </w:pPr>
      <w:r>
        <w:rPr>
          <w:rFonts w:hint="eastAsia" w:ascii="方正小标宋简体" w:eastAsia="方正小标宋简体"/>
          <w:color w:val="FF0000"/>
          <w:spacing w:val="-46"/>
          <w:w w:val="60"/>
          <w:sz w:val="96"/>
        </w:rPr>
        <w:t>温州市龙湾区</w:t>
      </w:r>
      <w:r>
        <w:rPr>
          <w:rFonts w:hint="eastAsia" w:ascii="方正小标宋简体" w:eastAsia="方正小标宋简体"/>
          <w:color w:val="FF0000"/>
          <w:spacing w:val="-46"/>
          <w:w w:val="60"/>
          <w:sz w:val="96"/>
          <w:lang w:val="en-US" w:eastAsia="zh-CN"/>
        </w:rPr>
        <w:t>城市管理与行政执法局</w:t>
      </w:r>
      <w:r>
        <w:rPr>
          <w:rFonts w:hint="eastAsia" w:ascii="方正小标宋简体" w:eastAsia="方正小标宋简体"/>
          <w:color w:val="FF0000"/>
          <w:spacing w:val="-46"/>
          <w:w w:val="60"/>
          <w:sz w:val="96"/>
        </w:rPr>
        <w:t>文件</w:t>
      </w:r>
    </w:p>
    <w:p>
      <w:pPr>
        <w:tabs>
          <w:tab w:val="left" w:pos="8640"/>
          <w:tab w:val="left" w:pos="8820"/>
        </w:tabs>
        <w:spacing w:line="440" w:lineRule="exact"/>
        <w:rPr>
          <w:rFonts w:ascii="宋体"/>
          <w:color w:val="FF0000"/>
          <w:spacing w:val="-12"/>
          <w:w w:val="60"/>
          <w:sz w:val="20"/>
        </w:rPr>
      </w:pPr>
    </w:p>
    <w:p>
      <w:pPr>
        <w:tabs>
          <w:tab w:val="left" w:pos="8640"/>
          <w:tab w:val="left" w:pos="8820"/>
        </w:tabs>
        <w:spacing w:line="440" w:lineRule="exact"/>
        <w:rPr>
          <w:rFonts w:ascii="宋体"/>
          <w:color w:val="FF0000"/>
          <w:spacing w:val="-12"/>
          <w:w w:val="60"/>
          <w:sz w:val="32"/>
        </w:rPr>
      </w:pPr>
    </w:p>
    <w:p>
      <w:pPr>
        <w:spacing w:line="560" w:lineRule="exact"/>
        <w:jc w:val="center"/>
        <w:rPr>
          <w:rFonts w:ascii="仿宋_GB2312" w:eastAsia="仿宋_GB2312"/>
          <w:snapToGrid w:val="0"/>
          <w:color w:val="000000"/>
          <w:sz w:val="32"/>
          <w:szCs w:val="32"/>
        </w:rPr>
      </w:pPr>
      <w:r>
        <w:rPr>
          <w:rFonts w:hint="eastAsia" w:ascii="仿宋_GB2312" w:eastAsia="仿宋_GB2312"/>
          <w:snapToGrid w:val="0"/>
          <w:color w:val="000000"/>
          <w:sz w:val="32"/>
          <w:szCs w:val="32"/>
        </w:rPr>
        <w:t>温龙</w:t>
      </w:r>
      <w:r>
        <w:rPr>
          <w:rFonts w:hint="eastAsia" w:ascii="仿宋_GB2312" w:eastAsia="仿宋_GB2312"/>
          <w:snapToGrid w:val="0"/>
          <w:color w:val="000000"/>
          <w:sz w:val="32"/>
          <w:szCs w:val="32"/>
          <w:lang w:eastAsia="zh-CN"/>
        </w:rPr>
        <w:t>城</w:t>
      </w:r>
      <w:r>
        <w:rPr>
          <w:rFonts w:hint="eastAsia" w:ascii="仿宋_GB2312" w:eastAsia="仿宋_GB2312"/>
          <w:snapToGrid w:val="0"/>
          <w:color w:val="000000"/>
          <w:sz w:val="32"/>
          <w:szCs w:val="32"/>
          <w:lang w:val="en-US" w:eastAsia="zh-CN"/>
        </w:rPr>
        <w:t>法</w:t>
      </w:r>
      <w:r>
        <w:rPr>
          <w:rFonts w:hint="eastAsia" w:ascii="仿宋_GB2312" w:eastAsia="仿宋_GB2312"/>
          <w:snapToGrid w:val="0"/>
          <w:color w:val="000000"/>
          <w:sz w:val="32"/>
          <w:szCs w:val="32"/>
        </w:rPr>
        <w:t>〔</w:t>
      </w:r>
      <w:r>
        <w:rPr>
          <w:rFonts w:ascii="仿宋_GB2312" w:eastAsia="仿宋_GB2312"/>
          <w:snapToGrid w:val="0"/>
          <w:color w:val="000000"/>
          <w:sz w:val="32"/>
          <w:szCs w:val="32"/>
        </w:rPr>
        <w:t>201</w:t>
      </w:r>
      <w:r>
        <w:rPr>
          <w:rFonts w:hint="eastAsia" w:ascii="仿宋_GB2312" w:eastAsia="仿宋_GB2312"/>
          <w:snapToGrid w:val="0"/>
          <w:color w:val="000000"/>
          <w:sz w:val="32"/>
          <w:szCs w:val="32"/>
          <w:lang w:val="en-US" w:eastAsia="zh-CN"/>
        </w:rPr>
        <w:t>6</w:t>
      </w:r>
      <w:r>
        <w:rPr>
          <w:rFonts w:hint="eastAsia" w:ascii="仿宋_GB2312" w:eastAsia="仿宋_GB2312"/>
          <w:snapToGrid w:val="0"/>
          <w:color w:val="000000"/>
          <w:sz w:val="32"/>
          <w:szCs w:val="32"/>
        </w:rPr>
        <w:t>〕</w:t>
      </w:r>
      <w:r>
        <w:rPr>
          <w:rFonts w:hint="eastAsia" w:ascii="仿宋_GB2312" w:eastAsia="仿宋_GB2312"/>
          <w:snapToGrid w:val="0"/>
          <w:color w:val="000000"/>
          <w:sz w:val="32"/>
          <w:szCs w:val="32"/>
          <w:lang w:val="en-US" w:eastAsia="zh-CN"/>
        </w:rPr>
        <w:t>113</w:t>
      </w:r>
      <w:r>
        <w:rPr>
          <w:rFonts w:hint="eastAsia" w:ascii="仿宋_GB2312" w:eastAsia="仿宋_GB2312"/>
          <w:snapToGrid w:val="0"/>
          <w:color w:val="000000"/>
          <w:sz w:val="32"/>
          <w:szCs w:val="32"/>
        </w:rPr>
        <w:t>号</w:t>
      </w:r>
    </w:p>
    <w:p>
      <w:pPr>
        <w:pBdr>
          <w:bottom w:val="single" w:color="FF0000" w:sz="36" w:space="1"/>
        </w:pBdr>
        <w:tabs>
          <w:tab w:val="left" w:pos="8640"/>
          <w:tab w:val="left" w:pos="8820"/>
        </w:tabs>
        <w:spacing w:line="80" w:lineRule="exact"/>
        <w:rPr>
          <w:rFonts w:ascii="宋体"/>
          <w:color w:val="FF0000"/>
          <w:spacing w:val="-12"/>
          <w:w w:val="60"/>
          <w:sz w:val="28"/>
        </w:rPr>
      </w:pPr>
    </w:p>
    <w:p>
      <w:pPr>
        <w:widowControl w:val="0"/>
        <w:wordWrap/>
        <w:adjustRightInd/>
        <w:snapToGrid/>
        <w:spacing w:line="560" w:lineRule="exact"/>
        <w:ind w:left="0" w:leftChars="0" w:right="0"/>
        <w:jc w:val="both"/>
        <w:textAlignment w:val="auto"/>
        <w:outlineLvl w:val="9"/>
        <w:rPr>
          <w:rFonts w:hint="eastAsia" w:ascii="仿宋_GB2312" w:hAnsi="仿宋_GB2312" w:eastAsia="仿宋_GB2312" w:cs="仿宋_GB2312"/>
          <w:b w:val="0"/>
          <w:bCs/>
          <w:color w:val="auto"/>
          <w:sz w:val="32"/>
          <w:szCs w:val="32"/>
        </w:rPr>
      </w:pPr>
    </w:p>
    <w:p>
      <w:pPr>
        <w:widowControl w:val="0"/>
        <w:wordWrap/>
        <w:adjustRightInd/>
        <w:snapToGrid/>
        <w:spacing w:line="560" w:lineRule="exact"/>
        <w:ind w:left="0" w:leftChars="0" w:right="0"/>
        <w:jc w:val="both"/>
        <w:textAlignment w:val="auto"/>
        <w:outlineLvl w:val="9"/>
        <w:rPr>
          <w:rFonts w:hint="eastAsia" w:ascii="仿宋_GB2312" w:hAnsi="仿宋_GB2312" w:eastAsia="仿宋_GB2312" w:cs="仿宋_GB2312"/>
          <w:b w:val="0"/>
          <w:bCs/>
          <w:color w:val="auto"/>
          <w:sz w:val="32"/>
          <w:szCs w:val="32"/>
        </w:rPr>
      </w:pPr>
    </w:p>
    <w:p>
      <w:pPr>
        <w:widowControl w:val="0"/>
        <w:wordWrap/>
        <w:adjustRightInd w:val="0"/>
        <w:snapToGrid w:val="0"/>
        <w:spacing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关于印发人行道违法停车清障拖移</w:t>
      </w:r>
    </w:p>
    <w:p>
      <w:pPr>
        <w:widowControl w:val="0"/>
        <w:wordWrap/>
        <w:adjustRightInd w:val="0"/>
        <w:snapToGrid w:val="0"/>
        <w:spacing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操作细则的通知</w:t>
      </w:r>
    </w:p>
    <w:p>
      <w:pPr>
        <w:widowControl w:val="0"/>
        <w:wordWrap/>
        <w:adjustRightInd w:val="0"/>
        <w:snapToGrid w:val="0"/>
        <w:spacing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widowControl w:val="0"/>
        <w:wordWrap/>
        <w:adjustRightInd w:val="0"/>
        <w:snapToGrid w:val="0"/>
        <w:spacing w:line="560" w:lineRule="exact"/>
        <w:ind w:left="0" w:leftChars="0" w:right="0" w:firstLine="0" w:firstLine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各中队、局属各单位，机关各科室：</w:t>
      </w:r>
    </w:p>
    <w:p>
      <w:pPr>
        <w:widowControl w:val="0"/>
        <w:wordWrap/>
        <w:adjustRightInd w:val="0"/>
        <w:snapToGrid w:val="0"/>
        <w:spacing w:line="560" w:lineRule="exact"/>
        <w:ind w:left="0" w:leftChars="0" w:right="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现将《</w:t>
      </w:r>
      <w:r>
        <w:rPr>
          <w:rFonts w:hint="eastAsia" w:ascii="仿宋" w:hAnsi="仿宋" w:eastAsia="仿宋" w:cs="仿宋"/>
          <w:sz w:val="32"/>
          <w:szCs w:val="32"/>
          <w:lang w:eastAsia="zh-CN"/>
        </w:rPr>
        <w:t>人行道违法停车清障拖移操作细则</w:t>
      </w:r>
      <w:r>
        <w:rPr>
          <w:rFonts w:hint="eastAsia" w:ascii="仿宋" w:hAnsi="仿宋" w:eastAsia="仿宋" w:cs="仿宋"/>
          <w:sz w:val="32"/>
          <w:szCs w:val="32"/>
          <w:lang w:val="en-US" w:eastAsia="zh-CN"/>
        </w:rPr>
        <w:t>》印发给你们，请贯彻执行。</w:t>
      </w:r>
    </w:p>
    <w:p>
      <w:pPr>
        <w:widowControl w:val="0"/>
        <w:wordWrap/>
        <w:adjustRightInd w:val="0"/>
        <w:snapToGrid w:val="0"/>
        <w:spacing w:line="560" w:lineRule="exact"/>
        <w:ind w:left="0" w:leftChars="0" w:right="0" w:firstLine="640" w:firstLineChars="0"/>
        <w:jc w:val="both"/>
        <w:textAlignment w:val="auto"/>
        <w:outlineLvl w:val="9"/>
        <w:rPr>
          <w:rFonts w:hint="eastAsia" w:ascii="仿宋" w:hAnsi="仿宋" w:eastAsia="仿宋" w:cs="仿宋"/>
          <w:sz w:val="32"/>
          <w:szCs w:val="32"/>
          <w:lang w:val="en-US" w:eastAsia="zh-CN"/>
        </w:rPr>
      </w:pPr>
    </w:p>
    <w:p>
      <w:pPr>
        <w:widowControl w:val="0"/>
        <w:wordWrap/>
        <w:adjustRightInd w:val="0"/>
        <w:snapToGrid w:val="0"/>
        <w:spacing w:line="560" w:lineRule="exact"/>
        <w:ind w:left="0" w:leftChars="0" w:right="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widowControl w:val="0"/>
        <w:wordWrap/>
        <w:adjustRightInd w:val="0"/>
        <w:snapToGrid w:val="0"/>
        <w:spacing w:line="560" w:lineRule="exact"/>
        <w:ind w:left="0" w:leftChars="0" w:right="0" w:firstLine="640" w:firstLineChars="0"/>
        <w:jc w:val="both"/>
        <w:textAlignment w:val="auto"/>
        <w:outlineLvl w:val="9"/>
        <w:rPr>
          <w:rFonts w:hint="eastAsia" w:ascii="仿宋" w:hAnsi="仿宋" w:eastAsia="仿宋" w:cs="仿宋"/>
          <w:sz w:val="32"/>
          <w:szCs w:val="32"/>
          <w:lang w:val="en-US" w:eastAsia="zh-CN"/>
        </w:rPr>
      </w:pPr>
    </w:p>
    <w:p>
      <w:pPr>
        <w:widowControl w:val="0"/>
        <w:wordWrap/>
        <w:adjustRightInd w:val="0"/>
        <w:snapToGrid w:val="0"/>
        <w:spacing w:line="560" w:lineRule="exact"/>
        <w:ind w:left="0" w:leftChars="0" w:right="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温州龙湾区城市管理与行政执法局</w:t>
      </w:r>
    </w:p>
    <w:p>
      <w:pPr>
        <w:widowControl w:val="0"/>
        <w:wordWrap/>
        <w:adjustRightInd w:val="0"/>
        <w:snapToGrid w:val="0"/>
        <w:spacing w:line="560" w:lineRule="exact"/>
        <w:ind w:left="0" w:leftChars="0" w:right="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2016年11月29日</w:t>
      </w:r>
    </w:p>
    <w:p>
      <w:pPr>
        <w:widowControl w:val="0"/>
        <w:wordWrap/>
        <w:adjustRightInd/>
        <w:snapToGrid/>
        <w:spacing w:line="240" w:lineRule="auto"/>
        <w:ind w:left="0" w:leftChars="0" w:right="0" w:firstLine="640" w:firstLineChars="0"/>
        <w:jc w:val="both"/>
        <w:textAlignment w:val="auto"/>
        <w:outlineLvl w:val="9"/>
        <w:rPr>
          <w:rFonts w:hint="eastAsia" w:ascii="仿宋" w:hAnsi="仿宋" w:eastAsia="仿宋" w:cs="仿宋"/>
          <w:sz w:val="32"/>
          <w:szCs w:val="32"/>
          <w:lang w:val="en-US" w:eastAsia="zh-CN"/>
        </w:rPr>
      </w:pPr>
    </w:p>
    <w:p>
      <w:pPr>
        <w:widowControl w:val="0"/>
        <w:wordWrap/>
        <w:adjustRightInd/>
        <w:snapToGrid/>
        <w:spacing w:line="240" w:lineRule="auto"/>
        <w:ind w:left="0" w:leftChars="0" w:right="0" w:firstLine="640" w:firstLineChars="0"/>
        <w:jc w:val="both"/>
        <w:textAlignment w:val="auto"/>
        <w:outlineLvl w:val="9"/>
        <w:rPr>
          <w:rFonts w:hint="eastAsia" w:ascii="仿宋" w:hAnsi="仿宋" w:eastAsia="仿宋" w:cs="仿宋"/>
          <w:sz w:val="32"/>
          <w:szCs w:val="32"/>
          <w:lang w:val="en-US" w:eastAsia="zh-CN"/>
        </w:rPr>
      </w:pPr>
    </w:p>
    <w:p>
      <w:pPr>
        <w:widowControl w:val="0"/>
        <w:wordWrap/>
        <w:adjustRightInd/>
        <w:snapToGrid/>
        <w:spacing w:after="313" w:afterLines="100" w:line="480" w:lineRule="exact"/>
        <w:ind w:left="0" w:leftChars="0" w:right="0" w:firstLine="0" w:firstLineChars="0"/>
        <w:jc w:val="center"/>
        <w:textAlignment w:val="auto"/>
        <w:outlineLvl w:val="9"/>
        <w:rPr>
          <w:rFonts w:hint="eastAsia" w:ascii="黑体" w:hAnsi="黑体" w:eastAsia="黑体"/>
          <w:sz w:val="44"/>
          <w:szCs w:val="44"/>
        </w:rPr>
      </w:pPr>
      <w:r>
        <w:rPr>
          <w:rFonts w:hint="eastAsia" w:ascii="方正小标宋简体" w:hAnsi="方正小标宋简体" w:eastAsia="方正小标宋简体" w:cs="方正小标宋简体"/>
          <w:sz w:val="44"/>
          <w:szCs w:val="44"/>
        </w:rPr>
        <w:t>人行道违法停车清障拖移操作细则</w:t>
      </w:r>
    </w:p>
    <w:p>
      <w:pPr>
        <w:spacing w:line="480" w:lineRule="exact"/>
        <w:ind w:firstLine="643" w:firstLineChars="200"/>
        <w:rPr>
          <w:rFonts w:hint="eastAsia" w:ascii="仿宋_GB2312" w:eastAsia="仿宋_GB2312"/>
          <w:b/>
          <w:sz w:val="32"/>
          <w:szCs w:val="32"/>
        </w:rPr>
      </w:pPr>
      <w:r>
        <w:rPr>
          <w:rFonts w:hint="eastAsia" w:ascii="仿宋_GB2312" w:eastAsia="仿宋_GB2312"/>
          <w:b/>
          <w:sz w:val="32"/>
          <w:szCs w:val="32"/>
        </w:rPr>
        <w:t>一、需实施清障拖移情形</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拖移的对象系人行道违停情节严重，影响行人通行的有车牌的车辆，以下情形认为情节严重：</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（一）占压绿化带的</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（二）占压盲道的</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（三）占用公共自行车设施的</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（四）经查询车辆5次以上违停未处理的</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（五）其他紧急情况确需拖移的</w:t>
      </w:r>
    </w:p>
    <w:p>
      <w:pPr>
        <w:spacing w:line="480" w:lineRule="exact"/>
        <w:ind w:firstLine="643" w:firstLineChars="200"/>
        <w:rPr>
          <w:rFonts w:hint="eastAsia" w:ascii="仿宋_GB2312" w:eastAsia="仿宋_GB2312"/>
          <w:b/>
          <w:sz w:val="32"/>
          <w:szCs w:val="32"/>
        </w:rPr>
      </w:pPr>
      <w:r>
        <w:rPr>
          <w:rFonts w:hint="eastAsia" w:ascii="仿宋_GB2312" w:eastAsia="仿宋_GB2312"/>
          <w:b/>
          <w:sz w:val="32"/>
          <w:szCs w:val="32"/>
        </w:rPr>
        <w:t>二、拖移操作流程</w:t>
      </w:r>
    </w:p>
    <w:p>
      <w:pPr>
        <w:spacing w:line="480" w:lineRule="exact"/>
        <w:ind w:firstLine="643" w:firstLineChars="200"/>
        <w:rPr>
          <w:rFonts w:hint="eastAsia" w:ascii="仿宋_GB2312" w:eastAsia="仿宋_GB2312"/>
          <w:sz w:val="32"/>
          <w:szCs w:val="32"/>
          <w:u w:val="single"/>
        </w:rPr>
      </w:pPr>
      <w:r>
        <w:rPr>
          <w:rFonts w:hint="eastAsia" w:ascii="仿宋_GB2312" w:eastAsia="仿宋_GB2312"/>
          <w:b/>
          <w:sz w:val="32"/>
          <w:szCs w:val="32"/>
        </w:rPr>
        <w:t>第一步：</w:t>
      </w:r>
      <w:r>
        <w:rPr>
          <w:rFonts w:hint="eastAsia" w:ascii="仿宋_GB2312" w:eastAsia="仿宋_GB2312"/>
          <w:sz w:val="32"/>
          <w:szCs w:val="32"/>
        </w:rPr>
        <w:t>按照违停查处程序予以贴单，电话通知指挥中心要求拖移（专用电话</w:t>
      </w:r>
      <w:r>
        <w:rPr>
          <w:rFonts w:hint="eastAsia" w:ascii="仿宋_GB2312" w:eastAsia="仿宋_GB2312"/>
          <w:sz w:val="32"/>
          <w:szCs w:val="32"/>
          <w:lang w:val="en-US" w:eastAsia="zh-CN"/>
        </w:rPr>
        <w:t>86867619</w:t>
      </w:r>
      <w:r>
        <w:rPr>
          <w:rFonts w:hint="eastAsia" w:ascii="仿宋_GB2312" w:eastAsia="仿宋_GB2312"/>
          <w:sz w:val="32"/>
          <w:szCs w:val="32"/>
        </w:rPr>
        <w:t>），并说明现场情况（所属中队、执法人员姓名、联系号码、道路名称、具体地点、车辆型号、牌照、现场情形），指挥中心人员做好登记。</w:t>
      </w:r>
    </w:p>
    <w:p>
      <w:pPr>
        <w:spacing w:line="480" w:lineRule="exact"/>
        <w:ind w:firstLine="643" w:firstLineChars="200"/>
        <w:rPr>
          <w:rFonts w:hint="eastAsia" w:ascii="仿宋_GB2312" w:eastAsia="仿宋_GB2312"/>
          <w:sz w:val="32"/>
          <w:szCs w:val="32"/>
        </w:rPr>
      </w:pPr>
      <w:r>
        <w:rPr>
          <w:rFonts w:hint="eastAsia" w:ascii="仿宋_GB2312" w:eastAsia="仿宋_GB2312"/>
          <w:b/>
          <w:sz w:val="32"/>
          <w:szCs w:val="32"/>
        </w:rPr>
        <w:t>第二步：</w:t>
      </w:r>
      <w:r>
        <w:rPr>
          <w:rFonts w:hint="eastAsia" w:ascii="仿宋_GB2312" w:eastAsia="仿宋_GB2312"/>
          <w:sz w:val="32"/>
          <w:szCs w:val="32"/>
        </w:rPr>
        <w:t>指挥中心通过专用电话通知清障中心，由其指挥调度就近派车到现场。清障车辆到达现场，经清障人员确认违停车辆是否能顺利实施拖移。可以实施的，由执法人员对现场及车辆进行拍照（摄像）取证，记录（现场违停情况、车辆外观有无刮擦、破损情况），填写《机动车接车凭证》，详细记录被拖车车辆车号、车型、拖车地点、车辆完损情况、停放地点、联系电话等。清障人员、执法人员双方签字后，清障人员开始实施操作。</w:t>
      </w:r>
    </w:p>
    <w:p>
      <w:pPr>
        <w:spacing w:line="480" w:lineRule="exact"/>
        <w:ind w:firstLine="643" w:firstLineChars="200"/>
        <w:rPr>
          <w:rFonts w:hint="eastAsia" w:ascii="仿宋_GB2312" w:eastAsia="仿宋_GB2312"/>
          <w:sz w:val="32"/>
          <w:szCs w:val="32"/>
        </w:rPr>
      </w:pPr>
      <w:r>
        <w:rPr>
          <w:rFonts w:hint="eastAsia" w:ascii="仿宋_GB2312" w:eastAsia="仿宋_GB2312"/>
          <w:b/>
          <w:sz w:val="32"/>
          <w:szCs w:val="32"/>
        </w:rPr>
        <w:t>第三步：</w:t>
      </w:r>
      <w:r>
        <w:rPr>
          <w:rFonts w:hint="eastAsia" w:ascii="仿宋_GB2312" w:eastAsia="仿宋_GB2312"/>
          <w:sz w:val="32"/>
          <w:szCs w:val="32"/>
        </w:rPr>
        <w:t>开始启动拖移前（违停车辆未上架拖移设备），当事车主到达现场出示行驶证或驾驶证的，执法队员告知车主情况，劝其立即整改驶离，同时及时告知指挥中心，由指挥中心通知清障车停止实施。（车辆已到达现场的，执法队员应在空驶单上签字确认）。</w:t>
      </w:r>
    </w:p>
    <w:p>
      <w:pPr>
        <w:spacing w:line="480" w:lineRule="exact"/>
        <w:ind w:firstLine="643" w:firstLineChars="200"/>
        <w:rPr>
          <w:rFonts w:hint="eastAsia" w:ascii="仿宋_GB2312" w:eastAsia="仿宋_GB2312"/>
          <w:sz w:val="32"/>
          <w:szCs w:val="32"/>
        </w:rPr>
      </w:pPr>
      <w:r>
        <w:rPr>
          <w:rFonts w:hint="eastAsia" w:ascii="仿宋_GB2312" w:eastAsia="仿宋_GB2312"/>
          <w:b/>
          <w:sz w:val="32"/>
          <w:szCs w:val="32"/>
        </w:rPr>
        <w:t>第四步：</w:t>
      </w:r>
      <w:r>
        <w:rPr>
          <w:rFonts w:hint="eastAsia" w:ascii="仿宋_GB2312" w:eastAsia="仿宋_GB2312"/>
          <w:sz w:val="32"/>
          <w:szCs w:val="32"/>
        </w:rPr>
        <w:t>开始启动拖移后（违停车辆已上架拖移设备），当事车主到达现场的，执法人员在确认车辆行驶证相关信息后向车主发放《车辆暂扣单》。并告知车主尽快到执法处理窗口处理违法行为，才可凭《返还凭证》到指定地点领车。车辆继续实施拖移。若驾驶人员不是车主，暂扣单按车辆信息填写，签收人一栏注明签收人有关信息，并拍照取证。</w:t>
      </w:r>
    </w:p>
    <w:p>
      <w:pPr>
        <w:spacing w:line="480" w:lineRule="exact"/>
        <w:ind w:firstLine="643" w:firstLineChars="200"/>
        <w:rPr>
          <w:rFonts w:hint="eastAsia" w:ascii="仿宋_GB2312" w:eastAsia="仿宋_GB2312"/>
          <w:sz w:val="32"/>
          <w:szCs w:val="32"/>
        </w:rPr>
      </w:pPr>
      <w:r>
        <w:rPr>
          <w:rFonts w:hint="eastAsia" w:ascii="仿宋_GB2312" w:eastAsia="仿宋_GB2312"/>
          <w:b/>
          <w:sz w:val="32"/>
          <w:szCs w:val="32"/>
        </w:rPr>
        <w:t>第五步：</w:t>
      </w:r>
      <w:r>
        <w:rPr>
          <w:rFonts w:hint="eastAsia" w:ascii="仿宋_GB2312" w:eastAsia="仿宋_GB2312"/>
          <w:sz w:val="32"/>
          <w:szCs w:val="32"/>
        </w:rPr>
        <w:t>拖移完成后，现场执法队员应通知指挥中心该项措施实施完毕，指挥中心人员记录存档备，同时向车主发送违法停车被拖移信息。执法队员归队后应将清障拖车情况做好中队记录存档并即时将车辆信息录入违停管理系统。</w:t>
      </w:r>
    </w:p>
    <w:p>
      <w:pPr>
        <w:spacing w:line="480" w:lineRule="exact"/>
        <w:ind w:firstLine="643" w:firstLineChars="200"/>
        <w:rPr>
          <w:rFonts w:hint="eastAsia" w:ascii="仿宋_GB2312" w:eastAsia="仿宋_GB2312"/>
          <w:b/>
          <w:sz w:val="32"/>
          <w:szCs w:val="32"/>
        </w:rPr>
      </w:pPr>
      <w:r>
        <w:rPr>
          <w:rFonts w:hint="eastAsia" w:ascii="仿宋_GB2312" w:eastAsia="仿宋_GB2312"/>
          <w:b/>
          <w:sz w:val="32"/>
          <w:szCs w:val="32"/>
        </w:rPr>
        <w:t>三、车辆返还流程</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车主凭本人身份证，行驶证，驾驶证，根据指挥中心发出的“违法停车被拖移信息”到辖区中队处理窗口接受处理后，窗口向车主开具《返还车辆凭证》，到指定停车场领取车辆。若车主需要，《车辆暂扣单》可向辖区中队窗口领取。若非车主本人领取被拖移车辆，需提供车主委托书，双方身份证，行驶证，车主是单位的，需提供单</w:t>
      </w:r>
      <w:bookmarkStart w:id="0" w:name="_GoBack"/>
      <w:bookmarkEnd w:id="0"/>
      <w:r>
        <w:rPr>
          <w:rFonts w:hint="eastAsia" w:ascii="仿宋_GB2312" w:eastAsia="仿宋_GB2312"/>
          <w:sz w:val="32"/>
          <w:szCs w:val="32"/>
        </w:rPr>
        <w:t>位证明材料（盖章）。</w:t>
      </w:r>
    </w:p>
    <w:p>
      <w:pPr>
        <w:spacing w:line="480" w:lineRule="exact"/>
        <w:ind w:firstLine="643" w:firstLineChars="200"/>
        <w:rPr>
          <w:rFonts w:hint="eastAsia" w:ascii="仿宋_GB2312" w:eastAsia="仿宋_GB2312"/>
          <w:b/>
          <w:sz w:val="32"/>
          <w:szCs w:val="32"/>
        </w:rPr>
      </w:pPr>
      <w:r>
        <w:rPr>
          <w:rFonts w:hint="eastAsia" w:ascii="仿宋_GB2312" w:eastAsia="仿宋_GB2312"/>
          <w:b/>
          <w:sz w:val="32"/>
          <w:szCs w:val="32"/>
        </w:rPr>
        <w:t>四、注意事项</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辖区中队每月1号需向指挥中心反馈并核对上月车辆拖移、空驶、车辆返还等情况，指挥中心根据反馈记录再次跟拖车清障中心核对。</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若属因施划车位或其他管理需要对车辆仅进行挪移位置的情况，不列入该项工作细则执行，但需向指挥中心报备说明情况。</w:t>
      </w:r>
    </w:p>
    <w:p>
      <w:pPr>
        <w:rPr>
          <w:rFonts w:hint="eastAsia" w:eastAsia="宋体"/>
          <w:lang w:eastAsia="zh-CN"/>
        </w:rPr>
      </w:pPr>
    </w:p>
    <w:p>
      <w:pPr>
        <w:pBdr>
          <w:top w:val="single" w:color="auto" w:sz="4" w:space="0"/>
          <w:bottom w:val="single" w:color="auto" w:sz="4" w:space="0"/>
        </w:pBdr>
        <w:spacing w:line="540" w:lineRule="exact"/>
        <w:ind w:right="226" w:firstLine="280" w:firstLineChars="100"/>
        <w:rPr>
          <w:rFonts w:hint="eastAsia" w:ascii="仿宋_GB2312" w:hAnsi="仿宋_GB2312" w:eastAsia="仿宋_GB2312" w:cs="仿宋_GB2312"/>
          <w:sz w:val="32"/>
          <w:szCs w:val="32"/>
          <w:lang w:val="en-US" w:eastAsia="zh-CN"/>
        </w:rPr>
      </w:pPr>
      <w:r>
        <w:rPr>
          <w:rFonts w:hint="eastAsia" w:ascii="仿宋_GB2312" w:eastAsia="仿宋_GB2312" w:cs="宋体"/>
          <w:sz w:val="28"/>
          <w:szCs w:val="28"/>
          <w:lang w:val="en-US" w:eastAsia="zh-CN"/>
        </w:rPr>
        <w:t>温州市龙湾区城管与执法局办公室        2016年</w:t>
      </w:r>
      <w:r>
        <w:rPr>
          <w:rFonts w:hint="eastAsia" w:ascii="仿宋_GB2312" w:cs="宋体"/>
          <w:sz w:val="28"/>
          <w:szCs w:val="28"/>
          <w:lang w:val="en-US" w:eastAsia="zh-CN"/>
        </w:rPr>
        <w:t>11</w:t>
      </w:r>
      <w:r>
        <w:rPr>
          <w:rFonts w:hint="eastAsia" w:ascii="仿宋_GB2312" w:eastAsia="仿宋_GB2312" w:cs="宋体"/>
          <w:sz w:val="28"/>
          <w:szCs w:val="28"/>
          <w:lang w:val="en-US" w:eastAsia="zh-CN"/>
        </w:rPr>
        <w:t>月</w:t>
      </w:r>
      <w:r>
        <w:rPr>
          <w:rFonts w:hint="eastAsia" w:ascii="仿宋_GB2312" w:cs="宋体"/>
          <w:sz w:val="28"/>
          <w:szCs w:val="28"/>
          <w:lang w:val="en-US" w:eastAsia="zh-CN"/>
        </w:rPr>
        <w:t>29</w:t>
      </w:r>
      <w:r>
        <w:rPr>
          <w:rFonts w:hint="eastAsia" w:ascii="仿宋_GB2312" w:eastAsia="仿宋_GB2312" w:cs="宋体"/>
          <w:sz w:val="28"/>
          <w:szCs w:val="28"/>
          <w:lang w:val="en-US" w:eastAsia="zh-CN"/>
        </w:rPr>
        <w:t>日印发</w:t>
      </w:r>
    </w:p>
    <w:sectPr>
      <w:headerReference r:id="rId4" w:type="default"/>
      <w:footerReference r:id="rId5" w:type="default"/>
      <w:pgSz w:w="11906" w:h="16838"/>
      <w:pgMar w:top="2098" w:right="1474" w:bottom="2098" w:left="1474" w:header="851" w:footer="992" w:gutter="0"/>
      <w:paperSrc w:first="0" w:oth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shape id="文本框 1" o:spid="_x0000_s1025" type="#_x0000_t202" style="position:absolute;left:0;margin-top:0pt;height:144pt;width:144pt;mso-position-horizontal:left;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33B433A4"/>
    <w:rsid w:val="0183728A"/>
    <w:rsid w:val="12CC6EEE"/>
    <w:rsid w:val="33B433A4"/>
    <w:rsid w:val="3BD30D9B"/>
    <w:rsid w:val="547D09A9"/>
    <w:rsid w:val="6CD01CF7"/>
    <w:rsid w:val="733C0EA2"/>
    <w:rsid w:val="7871458F"/>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个人版_9.1.0.4866_{F1E327BC-269C-435d-A152-05C5408002CA}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2016-11-10T00:53:00Z</dcterms:created>
  <dc:creator>Administrator</dc:creator>
  <cp:lastModifiedBy>区城管与执法局</cp:lastModifiedBy>
  <cp:lastPrinted>2016-11-30T01:56:23Z</cp:lastPrinted>
  <dcterms:modified xsi:type="dcterms:W3CDTF">2016-11-30T01:56:25Z</dcterms:modified>
  <dc:title>温州市龙湾区城市管理与行政执法局文件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