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color w:val="0D0D0D" w:themeColor="text1" w:themeTint="F2"/>
          <w:szCs w:val="28"/>
          <w:highlight w:val="none"/>
          <w14:textFill>
            <w14:solidFill>
              <w14:schemeClr w14:val="tx1">
                <w14:lumMod w14:val="95000"/>
                <w14:lumOff w14:val="5000"/>
              </w14:schemeClr>
            </w14:solidFill>
          </w14:textFill>
        </w:rPr>
      </w:pPr>
      <w:bookmarkStart w:id="116" w:name="_GoBack"/>
      <w:bookmarkEnd w:id="116"/>
    </w:p>
    <w:p>
      <w:pPr>
        <w:spacing w:line="360" w:lineRule="auto"/>
        <w:rPr>
          <w:color w:val="0D0D0D" w:themeColor="text1" w:themeTint="F2"/>
          <w:szCs w:val="28"/>
          <w:highlight w:val="none"/>
          <w14:textFill>
            <w14:solidFill>
              <w14:schemeClr w14:val="tx1">
                <w14:lumMod w14:val="95000"/>
                <w14:lumOff w14:val="5000"/>
              </w14:schemeClr>
            </w14:solidFill>
          </w14:textFill>
        </w:rPr>
      </w:pPr>
    </w:p>
    <w:p>
      <w:pPr>
        <w:spacing w:line="360" w:lineRule="auto"/>
        <w:rPr>
          <w:color w:val="0D0D0D" w:themeColor="text1" w:themeTint="F2"/>
          <w:szCs w:val="28"/>
          <w:highlight w:val="none"/>
          <w14:textFill>
            <w14:solidFill>
              <w14:schemeClr w14:val="tx1">
                <w14:lumMod w14:val="95000"/>
                <w14:lumOff w14:val="5000"/>
              </w14:schemeClr>
            </w14:solidFill>
          </w14:textFill>
        </w:rPr>
      </w:pPr>
    </w:p>
    <w:p>
      <w:pPr>
        <w:spacing w:line="360" w:lineRule="auto"/>
        <w:rPr>
          <w:color w:val="0D0D0D" w:themeColor="text1" w:themeTint="F2"/>
          <w:szCs w:val="28"/>
          <w:highlight w:val="none"/>
          <w14:textFill>
            <w14:solidFill>
              <w14:schemeClr w14:val="tx1">
                <w14:lumMod w14:val="95000"/>
                <w14:lumOff w14:val="5000"/>
              </w14:schemeClr>
            </w14:solidFill>
          </w14:textFill>
        </w:rPr>
      </w:pPr>
    </w:p>
    <w:p>
      <w:pPr>
        <w:spacing w:line="360" w:lineRule="auto"/>
        <w:rPr>
          <w:color w:val="0D0D0D" w:themeColor="text1" w:themeTint="F2"/>
          <w:szCs w:val="28"/>
          <w:highlight w:val="none"/>
          <w14:textFill>
            <w14:solidFill>
              <w14:schemeClr w14:val="tx1">
                <w14:lumMod w14:val="95000"/>
                <w14:lumOff w14:val="5000"/>
              </w14:schemeClr>
            </w14:solidFill>
          </w14:textFill>
        </w:rPr>
      </w:pPr>
    </w:p>
    <w:p>
      <w:pPr>
        <w:spacing w:line="360" w:lineRule="auto"/>
        <w:rPr>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rFonts w:ascii="方正小标宋简体" w:eastAsia="方正小标宋简体"/>
          <w:bCs/>
          <w:color w:val="0D0D0D" w:themeColor="text1" w:themeTint="F2"/>
          <w:sz w:val="48"/>
          <w:szCs w:val="48"/>
          <w:highlight w:val="none"/>
          <w14:textFill>
            <w14:solidFill>
              <w14:schemeClr w14:val="tx1">
                <w14:lumMod w14:val="95000"/>
                <w14:lumOff w14:val="5000"/>
              </w14:schemeClr>
            </w14:solidFill>
          </w14:textFill>
        </w:rPr>
      </w:pPr>
      <w:r>
        <w:rPr>
          <w:rFonts w:hint="eastAsia" w:ascii="方正小标宋简体" w:eastAsia="方正小标宋简体"/>
          <w:bCs/>
          <w:color w:val="0D0D0D" w:themeColor="text1" w:themeTint="F2"/>
          <w:sz w:val="48"/>
          <w:szCs w:val="48"/>
          <w:highlight w:val="none"/>
          <w14:textFill>
            <w14:solidFill>
              <w14:schemeClr w14:val="tx1">
                <w14:lumMod w14:val="95000"/>
                <w14:lumOff w14:val="5000"/>
              </w14:schemeClr>
            </w14:solidFill>
          </w14:textFill>
        </w:rPr>
        <w:t>景宁畲族自治县环境空气质量功能区划</w:t>
      </w:r>
    </w:p>
    <w:p>
      <w:pPr>
        <w:spacing w:line="360" w:lineRule="auto"/>
        <w:jc w:val="center"/>
        <w:rPr>
          <w:rFonts w:ascii="方正小标宋简体" w:eastAsia="方正小标宋简体"/>
          <w:bCs/>
          <w:color w:val="0D0D0D" w:themeColor="text1" w:themeTint="F2"/>
          <w:sz w:val="48"/>
          <w:szCs w:val="48"/>
          <w:highlight w:val="none"/>
          <w14:textFill>
            <w14:solidFill>
              <w14:schemeClr w14:val="tx1">
                <w14:lumMod w14:val="95000"/>
                <w14:lumOff w14:val="5000"/>
              </w14:schemeClr>
            </w14:solidFill>
          </w14:textFill>
        </w:rPr>
      </w:pPr>
      <w:r>
        <w:rPr>
          <w:rFonts w:hint="eastAsia" w:ascii="方正小标宋简体" w:eastAsia="方正小标宋简体"/>
          <w:bCs/>
          <w:color w:val="0D0D0D" w:themeColor="text1" w:themeTint="F2"/>
          <w:sz w:val="48"/>
          <w:szCs w:val="48"/>
          <w:highlight w:val="none"/>
          <w14:textFill>
            <w14:solidFill>
              <w14:schemeClr w14:val="tx1">
                <w14:lumMod w14:val="95000"/>
                <w14:lumOff w14:val="5000"/>
              </w14:schemeClr>
            </w14:solidFill>
          </w14:textFill>
        </w:rPr>
        <w:t>修编技术报告</w:t>
      </w: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rFonts w:hint="default" w:eastAsia="仿宋_GB2312"/>
          <w:b/>
          <w:bCs/>
          <w:color w:val="0D0D0D" w:themeColor="text1" w:themeTint="F2"/>
          <w:szCs w:val="28"/>
          <w:highlight w:val="none"/>
          <w:lang w:val="en-US" w:eastAsia="zh-CN"/>
          <w14:textFill>
            <w14:solidFill>
              <w14:schemeClr w14:val="tx1">
                <w14:lumMod w14:val="95000"/>
                <w14:lumOff w14:val="5000"/>
              </w14:schemeClr>
            </w14:solidFill>
          </w14:textFill>
        </w:rPr>
      </w:pPr>
      <w:r>
        <w:rPr>
          <w:rFonts w:hint="eastAsia"/>
          <w:b/>
          <w:bCs/>
          <w:color w:val="0D0D0D" w:themeColor="text1" w:themeTint="F2"/>
          <w:szCs w:val="28"/>
          <w:highlight w:val="none"/>
          <w:lang w:val="en-US" w:eastAsia="zh-CN"/>
          <w14:textFill>
            <w14:solidFill>
              <w14:schemeClr w14:val="tx1">
                <w14:lumMod w14:val="95000"/>
                <w14:lumOff w14:val="5000"/>
              </w14:schemeClr>
            </w14:solidFill>
          </w14:textFill>
        </w:rPr>
        <w:t>景宁畲族自治县人民政府</w:t>
      </w:r>
    </w:p>
    <w:p>
      <w:pPr>
        <w:pStyle w:val="7"/>
        <w:spacing w:line="360" w:lineRule="auto"/>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pPr>
      <w:r>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t>二</w:t>
      </w:r>
      <w:r>
        <w:rPr>
          <w:rFonts w:hint="eastAsia" w:ascii="微软雅黑" w:hAnsi="微软雅黑" w:eastAsia="微软雅黑" w:cs="微软雅黑"/>
          <w:b w:val="0"/>
          <w:bCs/>
          <w:color w:val="0D0D0D" w:themeColor="text1" w:themeTint="F2"/>
          <w:sz w:val="32"/>
          <w:szCs w:val="32"/>
          <w:highlight w:val="none"/>
          <w14:textFill>
            <w14:solidFill>
              <w14:schemeClr w14:val="tx1">
                <w14:lumMod w14:val="95000"/>
                <w14:lumOff w14:val="5000"/>
              </w14:schemeClr>
            </w14:solidFill>
          </w14:textFill>
        </w:rPr>
        <w:t>〇</w:t>
      </w:r>
      <w:r>
        <w:rPr>
          <w:rFonts w:hint="eastAsia" w:ascii="楷体_GB2312" w:hAnsi="楷体_GB2312" w:eastAsia="楷体_GB2312" w:cs="楷体_GB2312"/>
          <w:b w:val="0"/>
          <w:bCs/>
          <w:color w:val="0D0D0D" w:themeColor="text1" w:themeTint="F2"/>
          <w:sz w:val="32"/>
          <w:szCs w:val="32"/>
          <w:highlight w:val="none"/>
          <w14:textFill>
            <w14:solidFill>
              <w14:schemeClr w14:val="tx1">
                <w14:lumMod w14:val="95000"/>
                <w14:lumOff w14:val="5000"/>
              </w14:schemeClr>
            </w14:solidFill>
          </w14:textFill>
        </w:rPr>
        <w:t>二</w:t>
      </w:r>
      <w:r>
        <w:rPr>
          <w:rFonts w:hint="eastAsia" w:ascii="微软雅黑" w:hAnsi="微软雅黑" w:eastAsia="微软雅黑" w:cs="微软雅黑"/>
          <w:b w:val="0"/>
          <w:bCs/>
          <w:color w:val="0D0D0D" w:themeColor="text1" w:themeTint="F2"/>
          <w:sz w:val="32"/>
          <w:szCs w:val="32"/>
          <w:highlight w:val="none"/>
          <w14:textFill>
            <w14:solidFill>
              <w14:schemeClr w14:val="tx1">
                <w14:lumMod w14:val="95000"/>
                <w14:lumOff w14:val="5000"/>
              </w14:schemeClr>
            </w14:solidFill>
          </w14:textFill>
        </w:rPr>
        <w:t>〇</w:t>
      </w:r>
      <w:r>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t>年</w:t>
      </w:r>
      <w:r>
        <w:rPr>
          <w:rFonts w:hint="eastAsia" w:ascii="楷体_GB2312" w:hAnsi="Times New Roman" w:eastAsia="楷体_GB2312"/>
          <w:b w:val="0"/>
          <w:bCs/>
          <w:color w:val="0D0D0D" w:themeColor="text1" w:themeTint="F2"/>
          <w:sz w:val="32"/>
          <w:szCs w:val="32"/>
          <w:highlight w:val="none"/>
          <w:lang w:val="en-US" w:eastAsia="zh-CN"/>
          <w14:textFill>
            <w14:solidFill>
              <w14:schemeClr w14:val="tx1">
                <w14:lumMod w14:val="95000"/>
                <w14:lumOff w14:val="5000"/>
              </w14:schemeClr>
            </w14:solidFill>
          </w14:textFill>
        </w:rPr>
        <w:t>十二</w:t>
      </w:r>
      <w:r>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t>月</w:t>
      </w:r>
    </w:p>
    <w:p>
      <w:pPr>
        <w:pStyle w:val="7"/>
        <w:spacing w:line="360" w:lineRule="auto"/>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pPr>
    </w:p>
    <w:p>
      <w:pPr>
        <w:pStyle w:val="7"/>
        <w:spacing w:line="360" w:lineRule="auto"/>
        <w:rPr>
          <w:rFonts w:hint="eastAsia" w:ascii="楷体_GB2312" w:hAnsi="Times New Roman" w:eastAsia="楷体_GB2312"/>
          <w:b w:val="0"/>
          <w:bCs/>
          <w:color w:val="0D0D0D" w:themeColor="text1" w:themeTint="F2"/>
          <w:sz w:val="32"/>
          <w:szCs w:val="32"/>
          <w:highlight w:val="none"/>
          <w14:textFill>
            <w14:solidFill>
              <w14:schemeClr w14:val="tx1">
                <w14:lumMod w14:val="95000"/>
                <w14:lumOff w14:val="5000"/>
              </w14:schemeClr>
            </w14:solidFill>
          </w14:textFill>
        </w:rPr>
        <w:sectPr>
          <w:headerReference r:id="rId4" w:type="default"/>
          <w:footerReference r:id="rId6" w:type="default"/>
          <w:headerReference r:id="rId5" w:type="even"/>
          <w:pgSz w:w="11907" w:h="16840"/>
          <w:pgMar w:top="1440" w:right="1800" w:bottom="1440" w:left="1800" w:header="851" w:footer="992" w:gutter="0"/>
          <w:pgNumType w:fmt="upperRoman" w:start="0"/>
          <w:cols w:space="425" w:num="1"/>
          <w:docGrid w:linePitch="312" w:charSpace="0"/>
        </w:sectPr>
      </w:pPr>
    </w:p>
    <w:p>
      <w:pPr>
        <w:pStyle w:val="7"/>
        <w:spacing w:line="360" w:lineRule="auto"/>
        <w:rPr>
          <w:rFonts w:hAnsi="Times New Roman" w:eastAsia="仿宋_GB2312"/>
          <w:b w:val="0"/>
          <w:bCs/>
          <w:color w:val="0D0D0D" w:themeColor="text1" w:themeTint="F2"/>
          <w:sz w:val="28"/>
          <w:szCs w:val="28"/>
          <w:highlight w:val="none"/>
          <w14:textFill>
            <w14:solidFill>
              <w14:schemeClr w14:val="tx1">
                <w14:lumMod w14:val="95000"/>
                <w14:lumOff w14:val="5000"/>
              </w14:schemeClr>
            </w14:solidFill>
          </w14:textFill>
        </w:rPr>
        <w:sectPr>
          <w:pgSz w:w="11907" w:h="16840"/>
          <w:pgMar w:top="1440" w:right="1800" w:bottom="1440" w:left="1800" w:header="851" w:footer="992" w:gutter="0"/>
          <w:pgNumType w:fmt="upperRoman" w:start="0"/>
          <w:cols w:space="425" w:num="1"/>
          <w:docGrid w:linePitch="312" w:charSpace="0"/>
        </w:sectPr>
      </w:pPr>
    </w:p>
    <w:p>
      <w:pPr>
        <w:jc w:val="center"/>
        <w:rPr>
          <w:rFonts w:ascii="黑体" w:hAnsi="黑体" w:eastAsia="黑体"/>
          <w:color w:val="0D0D0D" w:themeColor="text1" w:themeTint="F2"/>
          <w:sz w:val="32"/>
          <w:szCs w:val="32"/>
          <w:highlight w:val="none"/>
          <w14:textFill>
            <w14:solidFill>
              <w14:schemeClr w14:val="tx1">
                <w14:lumMod w14:val="95000"/>
                <w14:lumOff w14:val="5000"/>
              </w14:schemeClr>
            </w14:solidFill>
          </w14:textFill>
        </w:rPr>
      </w:pPr>
      <w:r>
        <w:rPr>
          <w:rFonts w:ascii="黑体" w:hAnsi="黑体" w:eastAsia="黑体"/>
          <w:color w:val="0D0D0D" w:themeColor="text1" w:themeTint="F2"/>
          <w:sz w:val="32"/>
          <w:szCs w:val="32"/>
          <w:highlight w:val="none"/>
          <w14:textFill>
            <w14:solidFill>
              <w14:schemeClr w14:val="tx1">
                <w14:lumMod w14:val="95000"/>
                <w14:lumOff w14:val="5000"/>
              </w14:schemeClr>
            </w14:solidFill>
          </w14:textFill>
        </w:rPr>
        <w:t>目 录</w:t>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240" w:lineRule="auto"/>
        <w:textAlignment w:val="auto"/>
        <w:rPr>
          <w:color w:val="0D0D0D" w:themeColor="text1" w:themeTint="F2"/>
          <w14:textFill>
            <w14:solidFill>
              <w14:schemeClr w14:val="tx1">
                <w14:lumMod w14:val="95000"/>
                <w14:lumOff w14:val="5000"/>
              </w14:schemeClr>
            </w14:solidFill>
          </w14:textFill>
        </w:rPr>
      </w:pPr>
      <w:r>
        <w:rPr>
          <w:b/>
          <w:color w:val="0D0D0D" w:themeColor="text1" w:themeTint="F2"/>
          <w:sz w:val="32"/>
          <w:szCs w:val="32"/>
          <w:highlight w:val="none"/>
          <w14:textFill>
            <w14:solidFill>
              <w14:schemeClr w14:val="tx1">
                <w14:lumMod w14:val="95000"/>
                <w14:lumOff w14:val="5000"/>
              </w14:schemeClr>
            </w14:solidFill>
          </w14:textFill>
        </w:rPr>
        <w:fldChar w:fldCharType="begin"/>
      </w:r>
      <w:r>
        <w:rPr>
          <w:b/>
          <w:color w:val="0D0D0D" w:themeColor="text1" w:themeTint="F2"/>
          <w:sz w:val="32"/>
          <w:szCs w:val="32"/>
          <w:highlight w:val="none"/>
          <w14:textFill>
            <w14:solidFill>
              <w14:schemeClr w14:val="tx1">
                <w14:lumMod w14:val="95000"/>
                <w14:lumOff w14:val="5000"/>
              </w14:schemeClr>
            </w14:solidFill>
          </w14:textFill>
        </w:rPr>
        <w:instrText xml:space="preserve"> TOC \o "1-2" \h \z \u </w:instrText>
      </w:r>
      <w:r>
        <w:rPr>
          <w:b/>
          <w:color w:val="0D0D0D" w:themeColor="text1" w:themeTint="F2"/>
          <w:sz w:val="32"/>
          <w:szCs w:val="32"/>
          <w:highlight w:val="none"/>
          <w14:textFill>
            <w14:solidFill>
              <w14:schemeClr w14:val="tx1">
                <w14:lumMod w14:val="95000"/>
                <w14:lumOff w14:val="5000"/>
              </w14:schemeClr>
            </w14:solidFill>
          </w14:textFill>
        </w:rPr>
        <w:fldChar w:fldCharType="separate"/>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_Toc6823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szCs w:val="32"/>
          <w:highlight w:val="none"/>
          <w14:textFill>
            <w14:solidFill>
              <w14:schemeClr w14:val="tx1">
                <w14:lumMod w14:val="95000"/>
                <w14:lumOff w14:val="5000"/>
              </w14:schemeClr>
            </w14:solidFill>
          </w14:textFill>
        </w:rPr>
        <w:t>1 总则</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_Toc6823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_Toc12398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.1 </w:t>
      </w:r>
      <w:r>
        <w:rPr>
          <w:rFonts w:hint="eastAsia"/>
          <w:color w:val="0D0D0D" w:themeColor="text1" w:themeTint="F2"/>
          <w:highlight w:val="none"/>
          <w14:textFill>
            <w14:solidFill>
              <w14:schemeClr w14:val="tx1">
                <w14:lumMod w14:val="95000"/>
                <w14:lumOff w14:val="5000"/>
              </w14:schemeClr>
            </w14:solidFill>
          </w14:textFill>
        </w:rPr>
        <w:t>功能区调整背景</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_Toc12398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_Toc5888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.2 </w:t>
      </w:r>
      <w:r>
        <w:rPr>
          <w:rFonts w:hint="eastAsia"/>
          <w:color w:val="0D0D0D" w:themeColor="text1" w:themeTint="F2"/>
          <w:highlight w:val="none"/>
          <w14:textFill>
            <w14:solidFill>
              <w14:schemeClr w14:val="tx1">
                <w14:lumMod w14:val="95000"/>
                <w14:lumOff w14:val="5000"/>
              </w14:schemeClr>
            </w14:solidFill>
          </w14:textFill>
        </w:rPr>
        <w:t>编制依据</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_Toc5888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_Toc27659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.3 </w:t>
      </w:r>
      <w:r>
        <w:rPr>
          <w:rFonts w:hint="eastAsia"/>
          <w:color w:val="0D0D0D" w:themeColor="text1" w:themeTint="F2"/>
          <w:highlight w:val="none"/>
          <w14:textFill>
            <w14:solidFill>
              <w14:schemeClr w14:val="tx1">
                <w14:lumMod w14:val="95000"/>
                <w14:lumOff w14:val="5000"/>
              </w14:schemeClr>
            </w14:solidFill>
          </w14:textFill>
        </w:rPr>
        <w:t>指导思想及原则</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_Toc27659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_Toc4441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.4 </w:t>
      </w:r>
      <w:r>
        <w:rPr>
          <w:rFonts w:hint="eastAsia"/>
          <w:color w:val="0D0D0D" w:themeColor="text1" w:themeTint="F2"/>
          <w:highlight w:val="none"/>
          <w14:textFill>
            <w14:solidFill>
              <w14:schemeClr w14:val="tx1">
                <w14:lumMod w14:val="95000"/>
                <w14:lumOff w14:val="5000"/>
              </w14:schemeClr>
            </w14:solidFill>
          </w14:textFill>
        </w:rPr>
        <w:t>功能区类别及执行标准</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_Toc4441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_Toc14351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.5 </w:t>
      </w:r>
      <w:r>
        <w:rPr>
          <w:rFonts w:hint="eastAsia"/>
          <w:color w:val="0D0D0D" w:themeColor="text1" w:themeTint="F2"/>
          <w:highlight w:val="none"/>
          <w14:textFill>
            <w14:solidFill>
              <w14:schemeClr w14:val="tx1">
                <w14:lumMod w14:val="95000"/>
                <w14:lumOff w14:val="5000"/>
              </w14:schemeClr>
            </w14:solidFill>
          </w14:textFill>
        </w:rPr>
        <w:t>适用范围</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_Toc14351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_Toc13374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szCs w:val="32"/>
          <w:highlight w:val="none"/>
          <w14:textFill>
            <w14:solidFill>
              <w14:schemeClr w14:val="tx1">
                <w14:lumMod w14:val="95000"/>
                <w14:lumOff w14:val="5000"/>
              </w14:schemeClr>
            </w14:solidFill>
          </w14:textFill>
        </w:rPr>
        <w:t>2</w:t>
      </w:r>
      <w:r>
        <w:rPr>
          <w:color w:val="0D0D0D" w:themeColor="text1" w:themeTint="F2"/>
          <w:szCs w:val="32"/>
          <w:highlight w:val="none"/>
          <w14:textFill>
            <w14:solidFill>
              <w14:schemeClr w14:val="tx1">
                <w14:lumMod w14:val="95000"/>
                <w14:lumOff w14:val="5000"/>
              </w14:schemeClr>
            </w14:solidFill>
          </w14:textFill>
        </w:rPr>
        <w:t xml:space="preserve"> </w:t>
      </w:r>
      <w:r>
        <w:rPr>
          <w:rFonts w:hint="eastAsia"/>
          <w:color w:val="0D0D0D" w:themeColor="text1" w:themeTint="F2"/>
          <w:szCs w:val="32"/>
          <w:highlight w:val="none"/>
          <w14:textFill>
            <w14:solidFill>
              <w14:schemeClr w14:val="tx1">
                <w14:lumMod w14:val="95000"/>
                <w14:lumOff w14:val="5000"/>
              </w14:schemeClr>
            </w14:solidFill>
          </w14:textFill>
        </w:rPr>
        <w:t>区域基本情况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_Toc13374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6</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_Toc4651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highlight w:val="none"/>
          <w14:textFill>
            <w14:solidFill>
              <w14:schemeClr w14:val="tx1">
                <w14:lumMod w14:val="95000"/>
                <w14:lumOff w14:val="5000"/>
              </w14:schemeClr>
            </w14:solidFill>
          </w14:textFill>
        </w:rPr>
        <w:t>2</w:t>
      </w:r>
      <w:r>
        <w:rPr>
          <w:color w:val="0D0D0D" w:themeColor="text1" w:themeTint="F2"/>
          <w:highlight w:val="none"/>
          <w14:textFill>
            <w14:solidFill>
              <w14:schemeClr w14:val="tx1">
                <w14:lumMod w14:val="95000"/>
                <w14:lumOff w14:val="5000"/>
              </w14:schemeClr>
            </w14:solidFill>
          </w14:textFill>
        </w:rPr>
        <w:t xml:space="preserve">.1 </w:t>
      </w:r>
      <w:r>
        <w:rPr>
          <w:rFonts w:hint="eastAsia"/>
          <w:color w:val="0D0D0D" w:themeColor="text1" w:themeTint="F2"/>
          <w:highlight w:val="none"/>
          <w14:textFill>
            <w14:solidFill>
              <w14:schemeClr w14:val="tx1">
                <w14:lumMod w14:val="95000"/>
                <w14:lumOff w14:val="5000"/>
              </w14:schemeClr>
            </w14:solidFill>
          </w14:textFill>
        </w:rPr>
        <w:t>自然环境概况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_Toc4651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6</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_Toc22184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eastAsia="仿宋_GB2312"/>
          <w:color w:val="0D0D0D" w:themeColor="text1" w:themeTint="F2"/>
          <w:szCs w:val="28"/>
          <w:highlight w:val="none"/>
          <w14:textFill>
            <w14:solidFill>
              <w14:schemeClr w14:val="tx1">
                <w14:lumMod w14:val="95000"/>
                <w14:lumOff w14:val="5000"/>
              </w14:schemeClr>
            </w14:solidFill>
          </w14:textFill>
        </w:rPr>
        <w:t>2.2 社会经济</w:t>
      </w:r>
      <w:r>
        <w:rPr>
          <w:rFonts w:hint="eastAsia" w:eastAsia="仿宋_GB2312"/>
          <w:color w:val="0D0D0D" w:themeColor="text1" w:themeTint="F2"/>
          <w:szCs w:val="28"/>
          <w:highlight w:val="none"/>
          <w14:textFill>
            <w14:solidFill>
              <w14:schemeClr w14:val="tx1">
                <w14:lumMod w14:val="95000"/>
                <w14:lumOff w14:val="5000"/>
              </w14:schemeClr>
            </w14:solidFill>
          </w14:textFill>
        </w:rPr>
        <w:t>现状</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_Toc22184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_Toc11606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eastAsia="仿宋_GB2312"/>
          <w:color w:val="0D0D0D" w:themeColor="text1" w:themeTint="F2"/>
          <w:szCs w:val="28"/>
          <w:highlight w:val="none"/>
          <w14:textFill>
            <w14:solidFill>
              <w14:schemeClr w14:val="tx1">
                <w14:lumMod w14:val="95000"/>
                <w14:lumOff w14:val="5000"/>
              </w14:schemeClr>
            </w14:solidFill>
          </w14:textFill>
        </w:rPr>
        <w:t>2.3 生态环境现状</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_Toc11606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_Toc16393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szCs w:val="32"/>
          <w:highlight w:val="none"/>
          <w14:textFill>
            <w14:solidFill>
              <w14:schemeClr w14:val="tx1">
                <w14:lumMod w14:val="95000"/>
                <w14:lumOff w14:val="5000"/>
              </w14:schemeClr>
            </w14:solidFill>
          </w14:textFill>
        </w:rPr>
        <w:t>3</w:t>
      </w:r>
      <w:r>
        <w:rPr>
          <w:color w:val="0D0D0D" w:themeColor="text1" w:themeTint="F2"/>
          <w:szCs w:val="32"/>
          <w:highlight w:val="none"/>
          <w14:textFill>
            <w14:solidFill>
              <w14:schemeClr w14:val="tx1">
                <w14:lumMod w14:val="95000"/>
                <w14:lumOff w14:val="5000"/>
              </w14:schemeClr>
            </w14:solidFill>
          </w14:textFill>
        </w:rPr>
        <w:t xml:space="preserve"> </w:t>
      </w:r>
      <w:r>
        <w:rPr>
          <w:rFonts w:hint="eastAsia"/>
          <w:color w:val="0D0D0D" w:themeColor="text1" w:themeTint="F2"/>
          <w:szCs w:val="32"/>
          <w:highlight w:val="none"/>
          <w14:textFill>
            <w14:solidFill>
              <w14:schemeClr w14:val="tx1">
                <w14:lumMod w14:val="95000"/>
                <w14:lumOff w14:val="5000"/>
              </w14:schemeClr>
            </w14:solidFill>
          </w14:textFill>
        </w:rPr>
        <w:t>相关规划衔接</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_Toc16393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_Toc31280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3.1 </w:t>
      </w:r>
      <w:r>
        <w:rPr>
          <w:rFonts w:hint="eastAsia"/>
          <w:color w:val="0D0D0D" w:themeColor="text1" w:themeTint="F2"/>
          <w:szCs w:val="28"/>
          <w:highlight w:val="none"/>
          <w14:textFill>
            <w14:solidFill>
              <w14:schemeClr w14:val="tx1">
                <w14:lumMod w14:val="95000"/>
                <w14:lumOff w14:val="5000"/>
              </w14:schemeClr>
            </w14:solidFill>
          </w14:textFill>
        </w:rPr>
        <w:t>与自然保护地衔接情况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_Toc31280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_Toc4524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3.2 </w:t>
      </w:r>
      <w:r>
        <w:rPr>
          <w:rFonts w:hint="eastAsia"/>
          <w:color w:val="0D0D0D" w:themeColor="text1" w:themeTint="F2"/>
          <w:szCs w:val="28"/>
          <w:highlight w:val="none"/>
          <w14:textFill>
            <w14:solidFill>
              <w14:schemeClr w14:val="tx1">
                <w14:lumMod w14:val="95000"/>
                <w14:lumOff w14:val="5000"/>
              </w14:schemeClr>
            </w14:solidFill>
          </w14:textFill>
        </w:rPr>
        <w:t>与《</w:t>
      </w:r>
      <w:r>
        <w:rPr>
          <w:color w:val="0D0D0D" w:themeColor="text1" w:themeTint="F2"/>
          <w:szCs w:val="28"/>
          <w:highlight w:val="none"/>
          <w14:textFill>
            <w14:solidFill>
              <w14:schemeClr w14:val="tx1">
                <w14:lumMod w14:val="95000"/>
                <w14:lumOff w14:val="5000"/>
              </w14:schemeClr>
            </w14:solidFill>
          </w14:textFill>
        </w:rPr>
        <w:t>浙江省主体功能区规划</w:t>
      </w:r>
      <w:r>
        <w:rPr>
          <w:rFonts w:hint="eastAsia"/>
          <w:color w:val="0D0D0D" w:themeColor="text1" w:themeTint="F2"/>
          <w:szCs w:val="28"/>
          <w:highlight w:val="none"/>
          <w14:textFill>
            <w14:solidFill>
              <w14:schemeClr w14:val="tx1">
                <w14:lumMod w14:val="95000"/>
                <w14:lumOff w14:val="5000"/>
              </w14:schemeClr>
            </w14:solidFill>
          </w14:textFill>
        </w:rPr>
        <w:t>》衔接情况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_Toc4524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_Toc25425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3.3 </w:t>
      </w:r>
      <w:r>
        <w:rPr>
          <w:rFonts w:hint="eastAsia"/>
          <w:color w:val="0D0D0D" w:themeColor="text1" w:themeTint="F2"/>
          <w:szCs w:val="28"/>
          <w:highlight w:val="none"/>
          <w14:textFill>
            <w14:solidFill>
              <w14:schemeClr w14:val="tx1">
                <w14:lumMod w14:val="95000"/>
                <w14:lumOff w14:val="5000"/>
              </w14:schemeClr>
            </w14:solidFill>
          </w14:textFill>
        </w:rPr>
        <w:t>与《丽水市“三线一单”生态环境分区管控方案》衔接情</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_Toc25425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_Toc10307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3.4 </w:t>
      </w:r>
      <w:r>
        <w:rPr>
          <w:rFonts w:hint="eastAsia"/>
          <w:color w:val="0D0D0D" w:themeColor="text1" w:themeTint="F2"/>
          <w:szCs w:val="28"/>
          <w:highlight w:val="none"/>
          <w14:textFill>
            <w14:solidFill>
              <w14:schemeClr w14:val="tx1">
                <w14:lumMod w14:val="95000"/>
                <w14:lumOff w14:val="5000"/>
              </w14:schemeClr>
            </w14:solidFill>
          </w14:textFill>
        </w:rPr>
        <w:t>与《景宁畲族自治县</w:t>
      </w:r>
      <w:r>
        <w:rPr>
          <w:color w:val="0D0D0D" w:themeColor="text1" w:themeTint="F2"/>
          <w:szCs w:val="28"/>
          <w:highlight w:val="none"/>
          <w14:textFill>
            <w14:solidFill>
              <w14:schemeClr w14:val="tx1">
                <w14:lumMod w14:val="95000"/>
                <w14:lumOff w14:val="5000"/>
              </w14:schemeClr>
            </w14:solidFill>
          </w14:textFill>
        </w:rPr>
        <w:t>生态保护红线</w:t>
      </w:r>
      <w:r>
        <w:rPr>
          <w:rFonts w:hint="eastAsia"/>
          <w:color w:val="0D0D0D" w:themeColor="text1" w:themeTint="F2"/>
          <w:szCs w:val="28"/>
          <w:highlight w:val="none"/>
          <w14:textFill>
            <w14:solidFill>
              <w14:schemeClr w14:val="tx1">
                <w14:lumMod w14:val="95000"/>
                <w14:lumOff w14:val="5000"/>
              </w14:schemeClr>
            </w14:solidFill>
          </w14:textFill>
        </w:rPr>
        <w:t>》衔接情况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_Toc10307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_Toc25917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3.5 </w:t>
      </w:r>
      <w:r>
        <w:rPr>
          <w:rFonts w:hint="eastAsia"/>
          <w:color w:val="0D0D0D" w:themeColor="text1" w:themeTint="F2"/>
          <w:szCs w:val="28"/>
          <w:highlight w:val="none"/>
          <w14:textFill>
            <w14:solidFill>
              <w14:schemeClr w14:val="tx1">
                <w14:lumMod w14:val="95000"/>
                <w14:lumOff w14:val="5000"/>
              </w14:schemeClr>
            </w14:solidFill>
          </w14:textFill>
        </w:rPr>
        <w:t>与《景宁畲族自治县县域总体规划》衔接情况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_Toc25917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_Toc7821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3.6 </w:t>
      </w:r>
      <w:r>
        <w:rPr>
          <w:rFonts w:hint="eastAsia"/>
          <w:color w:val="0D0D0D" w:themeColor="text1" w:themeTint="F2"/>
          <w:szCs w:val="28"/>
          <w:highlight w:val="none"/>
          <w14:textFill>
            <w14:solidFill>
              <w14:schemeClr w14:val="tx1">
                <w14:lumMod w14:val="95000"/>
                <w14:lumOff w14:val="5000"/>
              </w14:schemeClr>
            </w14:solidFill>
          </w14:textFill>
        </w:rPr>
        <w:t>与《景宁畲族自治县土地利用总体规划》衔接情况</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_Toc7821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37</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_Toc9944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32"/>
          <w:highlight w:val="none"/>
          <w14:textFill>
            <w14:solidFill>
              <w14:schemeClr w14:val="tx1">
                <w14:lumMod w14:val="95000"/>
                <w14:lumOff w14:val="5000"/>
              </w14:schemeClr>
            </w14:solidFill>
          </w14:textFill>
        </w:rPr>
        <w:t xml:space="preserve">4 </w:t>
      </w:r>
      <w:r>
        <w:rPr>
          <w:rFonts w:hint="eastAsia"/>
          <w:color w:val="0D0D0D" w:themeColor="text1" w:themeTint="F2"/>
          <w:szCs w:val="32"/>
          <w:highlight w:val="none"/>
          <w14:textFill>
            <w14:solidFill>
              <w14:schemeClr w14:val="tx1">
                <w14:lumMod w14:val="95000"/>
                <w14:lumOff w14:val="5000"/>
              </w14:schemeClr>
            </w14:solidFill>
          </w14:textFill>
        </w:rPr>
        <w:t>环境空气功能区调整方案</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_Toc9944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40</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_Toc8823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4.1 </w:t>
      </w:r>
      <w:r>
        <w:rPr>
          <w:rFonts w:hint="eastAsia"/>
          <w:color w:val="0D0D0D" w:themeColor="text1" w:themeTint="F2"/>
          <w:szCs w:val="28"/>
          <w:highlight w:val="none"/>
          <w14:textFill>
            <w14:solidFill>
              <w14:schemeClr w14:val="tx1">
                <w14:lumMod w14:val="95000"/>
                <w14:lumOff w14:val="5000"/>
              </w14:schemeClr>
            </w14:solidFill>
          </w14:textFill>
        </w:rPr>
        <w:t>区划现状</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_Toc8823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40</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_Toc7816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color w:val="0D0D0D" w:themeColor="text1" w:themeTint="F2"/>
          <w:szCs w:val="28"/>
          <w:highlight w:val="none"/>
          <w14:textFill>
            <w14:solidFill>
              <w14:schemeClr w14:val="tx1">
                <w14:lumMod w14:val="95000"/>
                <w14:lumOff w14:val="5000"/>
              </w14:schemeClr>
            </w14:solidFill>
          </w14:textFill>
        </w:rPr>
        <w:t xml:space="preserve">4.2 </w:t>
      </w:r>
      <w:r>
        <w:rPr>
          <w:rFonts w:hint="eastAsia"/>
          <w:color w:val="0D0D0D" w:themeColor="text1" w:themeTint="F2"/>
          <w:szCs w:val="28"/>
          <w:highlight w:val="none"/>
          <w14:textFill>
            <w14:solidFill>
              <w14:schemeClr w14:val="tx1">
                <w14:lumMod w14:val="95000"/>
                <w14:lumOff w14:val="5000"/>
              </w14:schemeClr>
            </w14:solidFill>
          </w14:textFill>
        </w:rPr>
        <w:t>调整必要性</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_Toc7816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40</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_Toc6200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4</w:t>
      </w:r>
      <w:r>
        <w:rPr>
          <w:rFonts w:eastAsia="仿宋_GB2312"/>
          <w:color w:val="0D0D0D" w:themeColor="text1" w:themeTint="F2"/>
          <w:szCs w:val="28"/>
          <w:highlight w:val="none"/>
          <w14:textFill>
            <w14:solidFill>
              <w14:schemeClr w14:val="tx1">
                <w14:lumMod w14:val="95000"/>
                <w14:lumOff w14:val="5000"/>
              </w14:schemeClr>
            </w14:solidFill>
          </w14:textFill>
        </w:rPr>
        <w:t>.</w:t>
      </w:r>
      <w:r>
        <w:rPr>
          <w:rFonts w:hint="eastAsia" w:eastAsia="仿宋_GB2312"/>
          <w:color w:val="0D0D0D" w:themeColor="text1" w:themeTint="F2"/>
          <w:szCs w:val="28"/>
          <w:highlight w:val="none"/>
          <w14:textFill>
            <w14:solidFill>
              <w14:schemeClr w14:val="tx1">
                <w14:lumMod w14:val="95000"/>
                <w14:lumOff w14:val="5000"/>
              </w14:schemeClr>
            </w14:solidFill>
          </w14:textFill>
        </w:rPr>
        <w:t>3</w:t>
      </w:r>
      <w:r>
        <w:rPr>
          <w:rFonts w:eastAsia="仿宋_GB2312"/>
          <w:color w:val="0D0D0D" w:themeColor="text1" w:themeTint="F2"/>
          <w:szCs w:val="28"/>
          <w:highlight w:val="none"/>
          <w14:textFill>
            <w14:solidFill>
              <w14:schemeClr w14:val="tx1">
                <w14:lumMod w14:val="95000"/>
                <w14:lumOff w14:val="5000"/>
              </w14:schemeClr>
            </w14:solidFill>
          </w14:textFill>
        </w:rPr>
        <w:t xml:space="preserve"> 区划方法及技术路线</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_Toc6200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43</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_Toc29040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4.4</w:t>
      </w:r>
      <w:r>
        <w:rPr>
          <w:rFonts w:eastAsia="仿宋_GB2312"/>
          <w:color w:val="0D0D0D" w:themeColor="text1" w:themeTint="F2"/>
          <w:szCs w:val="28"/>
          <w:highlight w:val="none"/>
          <w14:textFill>
            <w14:solidFill>
              <w14:schemeClr w14:val="tx1">
                <w14:lumMod w14:val="95000"/>
                <w14:lumOff w14:val="5000"/>
              </w14:schemeClr>
            </w14:solidFill>
          </w14:textFill>
        </w:rPr>
        <w:t xml:space="preserve"> 功能区</w:t>
      </w:r>
      <w:r>
        <w:rPr>
          <w:rFonts w:hint="eastAsia" w:eastAsia="仿宋_GB2312"/>
          <w:color w:val="0D0D0D" w:themeColor="text1" w:themeTint="F2"/>
          <w:szCs w:val="28"/>
          <w:highlight w:val="none"/>
          <w14:textFill>
            <w14:solidFill>
              <w14:schemeClr w14:val="tx1">
                <w14:lumMod w14:val="95000"/>
                <w14:lumOff w14:val="5000"/>
              </w14:schemeClr>
            </w14:solidFill>
          </w14:textFill>
        </w:rPr>
        <w:t>调整成果</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_Toc29040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44</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_Toc8996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4.5</w:t>
      </w:r>
      <w:r>
        <w:rPr>
          <w:rFonts w:eastAsia="仿宋_GB2312"/>
          <w:color w:val="0D0D0D" w:themeColor="text1" w:themeTint="F2"/>
          <w:szCs w:val="28"/>
          <w:highlight w:val="none"/>
          <w14:textFill>
            <w14:solidFill>
              <w14:schemeClr w14:val="tx1">
                <w14:lumMod w14:val="95000"/>
                <w14:lumOff w14:val="5000"/>
              </w14:schemeClr>
            </w14:solidFill>
          </w14:textFill>
        </w:rPr>
        <w:t xml:space="preserve"> </w:t>
      </w:r>
      <w:r>
        <w:rPr>
          <w:rFonts w:hint="eastAsia" w:eastAsia="仿宋_GB2312"/>
          <w:color w:val="0D0D0D" w:themeColor="text1" w:themeTint="F2"/>
          <w:szCs w:val="28"/>
          <w:highlight w:val="none"/>
          <w14:textFill>
            <w14:solidFill>
              <w14:schemeClr w14:val="tx1">
                <w14:lumMod w14:val="95000"/>
                <w14:lumOff w14:val="5000"/>
              </w14:schemeClr>
            </w14:solidFill>
          </w14:textFill>
        </w:rPr>
        <w:t>调整前后方案对比</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_Toc8996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49</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3"/>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_Toc25951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color w:val="0D0D0D" w:themeColor="text1" w:themeTint="F2"/>
          <w:szCs w:val="32"/>
          <w:highlight w:val="none"/>
          <w14:textFill>
            <w14:solidFill>
              <w14:schemeClr w14:val="tx1">
                <w14:lumMod w14:val="95000"/>
                <w14:lumOff w14:val="5000"/>
              </w14:schemeClr>
            </w14:solidFill>
          </w14:textFill>
        </w:rPr>
        <w:t>5</w:t>
      </w:r>
      <w:r>
        <w:rPr>
          <w:color w:val="0D0D0D" w:themeColor="text1" w:themeTint="F2"/>
          <w:szCs w:val="32"/>
          <w:highlight w:val="none"/>
          <w14:textFill>
            <w14:solidFill>
              <w14:schemeClr w14:val="tx1">
                <w14:lumMod w14:val="95000"/>
                <w14:lumOff w14:val="5000"/>
              </w14:schemeClr>
            </w14:solidFill>
          </w14:textFill>
        </w:rPr>
        <w:t xml:space="preserve"> 环境保护与管理建议</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_Toc25951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_Toc10838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eastAsia="仿宋_GB2312"/>
          <w:color w:val="0D0D0D" w:themeColor="text1" w:themeTint="F2"/>
          <w:szCs w:val="28"/>
          <w:highlight w:val="none"/>
          <w14:textFill>
            <w14:solidFill>
              <w14:schemeClr w14:val="tx1">
                <w14:lumMod w14:val="95000"/>
                <w14:lumOff w14:val="5000"/>
              </w14:schemeClr>
            </w14:solidFill>
          </w14:textFill>
        </w:rPr>
        <w:t>5.1 加强大气环境管理与监管</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_Toc10838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51</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_Toc17263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5</w:t>
      </w:r>
      <w:r>
        <w:rPr>
          <w:rFonts w:eastAsia="仿宋_GB2312"/>
          <w:color w:val="0D0D0D" w:themeColor="text1" w:themeTint="F2"/>
          <w:szCs w:val="28"/>
          <w:highlight w:val="none"/>
          <w14:textFill>
            <w14:solidFill>
              <w14:schemeClr w14:val="tx1">
                <w14:lumMod w14:val="95000"/>
                <w14:lumOff w14:val="5000"/>
              </w14:schemeClr>
            </w14:solidFill>
          </w14:textFill>
        </w:rPr>
        <w:t>.2 多举措推进大气污染防治</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_Toc17263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52</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_Toc24409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5</w:t>
      </w:r>
      <w:r>
        <w:rPr>
          <w:rFonts w:eastAsia="仿宋_GB2312"/>
          <w:color w:val="0D0D0D" w:themeColor="text1" w:themeTint="F2"/>
          <w:szCs w:val="28"/>
          <w:highlight w:val="none"/>
          <w14:textFill>
            <w14:solidFill>
              <w14:schemeClr w14:val="tx1">
                <w14:lumMod w14:val="95000"/>
                <w14:lumOff w14:val="5000"/>
              </w14:schemeClr>
            </w14:solidFill>
          </w14:textFill>
        </w:rPr>
        <w:t>.3 强化环境空气监测体系</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_Toc24409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55</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pStyle w:val="15"/>
        <w:keepNext w:val="0"/>
        <w:keepLines w:val="0"/>
        <w:pageBreakBefore w:val="0"/>
        <w:widowControl w:val="0"/>
        <w:tabs>
          <w:tab w:val="right" w:leader="dot" w:pos="8307"/>
          <w:tab w:val="clear" w:pos="8296"/>
        </w:tabs>
        <w:kinsoku/>
        <w:wordWrap/>
        <w:overflowPunct/>
        <w:topLinePunct w:val="0"/>
        <w:autoSpaceDE/>
        <w:autoSpaceDN/>
        <w:bidi w:val="0"/>
        <w:adjustRightInd/>
        <w:snapToGrid/>
        <w:spacing w:line="560" w:lineRule="exact"/>
        <w:textAlignment w:val="auto"/>
        <w:rPr>
          <w:color w:val="0D0D0D" w:themeColor="text1" w:themeTint="F2"/>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begin"/>
      </w:r>
      <w:r>
        <w:rPr>
          <w:color w:val="0D0D0D" w:themeColor="text1" w:themeTint="F2"/>
          <w:szCs w:val="32"/>
          <w:highlight w:val="none"/>
          <w14:textFill>
            <w14:solidFill>
              <w14:schemeClr w14:val="tx1">
                <w14:lumMod w14:val="95000"/>
                <w14:lumOff w14:val="5000"/>
              </w14:schemeClr>
            </w14:solidFill>
          </w14:textFill>
        </w:rPr>
        <w:instrText xml:space="preserve"> HYPERLINK \l _Toc14441 </w:instrText>
      </w:r>
      <w:r>
        <w:rPr>
          <w:color w:val="0D0D0D" w:themeColor="text1" w:themeTint="F2"/>
          <w:szCs w:val="32"/>
          <w:highlight w:val="none"/>
          <w14:textFill>
            <w14:solidFill>
              <w14:schemeClr w14:val="tx1">
                <w14:lumMod w14:val="95000"/>
                <w14:lumOff w14:val="5000"/>
              </w14:schemeClr>
            </w14:solidFill>
          </w14:textFill>
        </w:rPr>
        <w:fldChar w:fldCharType="separate"/>
      </w:r>
      <w:r>
        <w:rPr>
          <w:rFonts w:hint="eastAsia" w:eastAsia="仿宋_GB2312"/>
          <w:color w:val="0D0D0D" w:themeColor="text1" w:themeTint="F2"/>
          <w:szCs w:val="28"/>
          <w:highlight w:val="none"/>
          <w14:textFill>
            <w14:solidFill>
              <w14:schemeClr w14:val="tx1">
                <w14:lumMod w14:val="95000"/>
                <w14:lumOff w14:val="5000"/>
              </w14:schemeClr>
            </w14:solidFill>
          </w14:textFill>
        </w:rPr>
        <w:t>5</w:t>
      </w:r>
      <w:r>
        <w:rPr>
          <w:rFonts w:eastAsia="仿宋_GB2312"/>
          <w:color w:val="0D0D0D" w:themeColor="text1" w:themeTint="F2"/>
          <w:szCs w:val="28"/>
          <w:highlight w:val="none"/>
          <w14:textFill>
            <w14:solidFill>
              <w14:schemeClr w14:val="tx1">
                <w14:lumMod w14:val="95000"/>
                <w14:lumOff w14:val="5000"/>
              </w14:schemeClr>
            </w14:solidFill>
          </w14:textFill>
        </w:rPr>
        <w:t>.4 完善保障机制</w:t>
      </w:r>
      <w:r>
        <w:rPr>
          <w:color w:val="0D0D0D" w:themeColor="text1" w:themeTint="F2"/>
          <w14:textFill>
            <w14:solidFill>
              <w14:schemeClr w14:val="tx1">
                <w14:lumMod w14:val="95000"/>
                <w14:lumOff w14:val="5000"/>
              </w14:schemeClr>
            </w14:solidFill>
          </w14:textFill>
        </w:rPr>
        <w:tab/>
      </w: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PAGEREF _Toc14441 </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56</w:t>
      </w:r>
      <w:r>
        <w:rPr>
          <w:color w:val="0D0D0D" w:themeColor="text1" w:themeTint="F2"/>
          <w14:textFill>
            <w14:solidFill>
              <w14:schemeClr w14:val="tx1">
                <w14:lumMod w14:val="95000"/>
                <w14:lumOff w14:val="5000"/>
              </w14:schemeClr>
            </w14:solidFill>
          </w14:textFill>
        </w:rPr>
        <w:fldChar w:fldCharType="end"/>
      </w:r>
      <w:r>
        <w:rPr>
          <w:color w:val="0D0D0D" w:themeColor="text1" w:themeTint="F2"/>
          <w:szCs w:val="32"/>
          <w:highlight w:val="none"/>
          <w14:textFill>
            <w14:solidFill>
              <w14:schemeClr w14:val="tx1">
                <w14:lumMod w14:val="95000"/>
                <w14:lumOff w14:val="5000"/>
              </w14:schemeClr>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b/>
          <w:color w:val="0D0D0D" w:themeColor="text1" w:themeTint="F2"/>
          <w:sz w:val="32"/>
          <w:szCs w:val="32"/>
          <w:highlight w:val="none"/>
          <w14:textFill>
            <w14:solidFill>
              <w14:schemeClr w14:val="tx1">
                <w14:lumMod w14:val="95000"/>
                <w14:lumOff w14:val="5000"/>
              </w14:schemeClr>
            </w14:solidFill>
          </w14:textFill>
        </w:rPr>
      </w:pPr>
      <w:r>
        <w:rPr>
          <w:color w:val="0D0D0D" w:themeColor="text1" w:themeTint="F2"/>
          <w:szCs w:val="32"/>
          <w:highlight w:val="none"/>
          <w14:textFill>
            <w14:solidFill>
              <w14:schemeClr w14:val="tx1">
                <w14:lumMod w14:val="95000"/>
                <w14:lumOff w14:val="5000"/>
              </w14:schemeClr>
            </w14:solidFill>
          </w14:textFill>
        </w:rPr>
        <w:fldChar w:fldCharType="end"/>
      </w:r>
    </w:p>
    <w:p>
      <w:pPr>
        <w:spacing w:line="360" w:lineRule="auto"/>
        <w:jc w:val="center"/>
        <w:rPr>
          <w:b/>
          <w:color w:val="0D0D0D" w:themeColor="text1" w:themeTint="F2"/>
          <w:sz w:val="32"/>
          <w:szCs w:val="32"/>
          <w:highlight w:val="none"/>
          <w14:textFill>
            <w14:solidFill>
              <w14:schemeClr w14:val="tx1">
                <w14:lumMod w14:val="95000"/>
                <w14:lumOff w14:val="5000"/>
              </w14:schemeClr>
            </w14:solidFill>
          </w14:textFill>
        </w:rPr>
        <w:sectPr>
          <w:footerReference r:id="rId7" w:type="default"/>
          <w:pgSz w:w="11907" w:h="16840"/>
          <w:pgMar w:top="1440" w:right="1800" w:bottom="1440" w:left="1800" w:header="851" w:footer="992" w:gutter="0"/>
          <w:pgNumType w:fmt="upperRoman"/>
          <w:cols w:space="425" w:num="1"/>
          <w:docGrid w:linePitch="312" w:charSpace="0"/>
        </w:sectPr>
      </w:pPr>
    </w:p>
    <w:p>
      <w:pPr>
        <w:pStyle w:val="2"/>
        <w:spacing w:after="240"/>
        <w:rPr>
          <w:color w:val="0D0D0D" w:themeColor="text1" w:themeTint="F2"/>
          <w:sz w:val="32"/>
          <w:szCs w:val="32"/>
          <w:highlight w:val="none"/>
          <w14:textFill>
            <w14:solidFill>
              <w14:schemeClr w14:val="tx1">
                <w14:lumMod w14:val="95000"/>
                <w14:lumOff w14:val="5000"/>
              </w14:schemeClr>
            </w14:solidFill>
          </w14:textFill>
        </w:rPr>
      </w:pPr>
      <w:bookmarkStart w:id="0" w:name="_Toc6823"/>
      <w:bookmarkStart w:id="1" w:name="_Toc39133123"/>
      <w:bookmarkStart w:id="2" w:name="_Toc514167195"/>
      <w:r>
        <w:rPr>
          <w:rFonts w:hint="eastAsia"/>
          <w:color w:val="0D0D0D" w:themeColor="text1" w:themeTint="F2"/>
          <w:sz w:val="32"/>
          <w:szCs w:val="32"/>
          <w:highlight w:val="none"/>
          <w14:textFill>
            <w14:solidFill>
              <w14:schemeClr w14:val="tx1">
                <w14:lumMod w14:val="95000"/>
                <w14:lumOff w14:val="5000"/>
              </w14:schemeClr>
            </w14:solidFill>
          </w14:textFill>
        </w:rPr>
        <w:t>1 总则</w:t>
      </w:r>
      <w:bookmarkEnd w:id="0"/>
      <w:bookmarkEnd w:id="1"/>
      <w:bookmarkEnd w:id="2"/>
    </w:p>
    <w:p>
      <w:pPr>
        <w:pStyle w:val="3"/>
        <w:rPr>
          <w:color w:val="0D0D0D" w:themeColor="text1" w:themeTint="F2"/>
          <w:highlight w:val="none"/>
          <w14:textFill>
            <w14:solidFill>
              <w14:schemeClr w14:val="tx1">
                <w14:lumMod w14:val="95000"/>
                <w14:lumOff w14:val="5000"/>
              </w14:schemeClr>
            </w14:solidFill>
          </w14:textFill>
        </w:rPr>
      </w:pPr>
      <w:bookmarkStart w:id="3" w:name="_Toc12398"/>
      <w:bookmarkStart w:id="4" w:name="_Toc514167196"/>
      <w:bookmarkStart w:id="5" w:name="_Toc39133124"/>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.1 </w:t>
      </w:r>
      <w:r>
        <w:rPr>
          <w:rFonts w:hint="eastAsia"/>
          <w:color w:val="0D0D0D" w:themeColor="text1" w:themeTint="F2"/>
          <w:highlight w:val="none"/>
          <w14:textFill>
            <w14:solidFill>
              <w14:schemeClr w14:val="tx1">
                <w14:lumMod w14:val="95000"/>
                <w14:lumOff w14:val="5000"/>
              </w14:schemeClr>
            </w14:solidFill>
          </w14:textFill>
        </w:rPr>
        <w:t>功能区调整背景</w:t>
      </w:r>
      <w:bookmarkEnd w:id="3"/>
      <w:bookmarkEnd w:id="4"/>
      <w:bookmarkEnd w:id="5"/>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环境空气质量功能区是指以保护生活环境和生态环境，保障人体健康及动植物正常生存、生长和文化古迹为宗旨而划分的环境空气质量保护区，是科学确定和实施污染物排放控制、合理制定环境规划、精准实施环境管理以及保障经济、社会和环境协调发展的重要基础。1997年12月，丽水市环保局</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印发</w:t>
      </w:r>
      <w:r>
        <w:rPr>
          <w:color w:val="0D0D0D" w:themeColor="text1" w:themeTint="F2"/>
          <w:szCs w:val="28"/>
          <w:highlight w:val="none"/>
          <w14:textFill>
            <w14:solidFill>
              <w14:schemeClr w14:val="tx1">
                <w14:lumMod w14:val="95000"/>
                <w14:lumOff w14:val="5000"/>
              </w14:schemeClr>
            </w14:solidFill>
          </w14:textFill>
        </w:rPr>
        <w:t>《浙江省丽水地区环境空气质量功能区划》，对丽水市地区环境空气质量保护与管理起到了重大作用。</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经过二十多年的经济社会发展和城镇化的快速推进，土地利用总体规划、城市总体发展规划也随之发生动态调整，景宁畲族自治县部分区域空气质量功能定位也已</w:t>
      </w:r>
      <w:r>
        <w:rPr>
          <w:rFonts w:hint="eastAsia"/>
          <w:color w:val="0D0D0D" w:themeColor="text1" w:themeTint="F2"/>
          <w:szCs w:val="28"/>
          <w:highlight w:val="none"/>
          <w14:textFill>
            <w14:solidFill>
              <w14:schemeClr w14:val="tx1">
                <w14:lumMod w14:val="95000"/>
                <w14:lumOff w14:val="5000"/>
              </w14:schemeClr>
            </w14:solidFill>
          </w14:textFill>
        </w:rPr>
        <w:t>发生</w:t>
      </w:r>
      <w:r>
        <w:rPr>
          <w:color w:val="0D0D0D" w:themeColor="text1" w:themeTint="F2"/>
          <w:szCs w:val="28"/>
          <w:highlight w:val="none"/>
          <w14:textFill>
            <w14:solidFill>
              <w14:schemeClr w14:val="tx1">
                <w14:lumMod w14:val="95000"/>
                <w14:lumOff w14:val="5000"/>
              </w14:schemeClr>
            </w14:solidFill>
          </w14:textFill>
        </w:rPr>
        <w:t>重大变化，</w:t>
      </w:r>
      <w:r>
        <w:rPr>
          <w:rFonts w:hint="eastAsia"/>
          <w:color w:val="0D0D0D" w:themeColor="text1" w:themeTint="F2"/>
          <w:szCs w:val="28"/>
          <w:highlight w:val="none"/>
          <w14:textFill>
            <w14:solidFill>
              <w14:schemeClr w14:val="tx1">
                <w14:lumMod w14:val="95000"/>
                <w14:lumOff w14:val="5000"/>
              </w14:schemeClr>
            </w14:solidFill>
          </w14:textFill>
        </w:rPr>
        <w:t>且原有区划中存在一系列不符合技术规范的问题，一是原区划中一类区比例占到全县土地总面积的8</w:t>
      </w:r>
      <w:r>
        <w:rPr>
          <w:color w:val="0D0D0D" w:themeColor="text1" w:themeTint="F2"/>
          <w:szCs w:val="28"/>
          <w:highlight w:val="none"/>
          <w14:textFill>
            <w14:solidFill>
              <w14:schemeClr w14:val="tx1">
                <w14:lumMod w14:val="95000"/>
                <w14:lumOff w14:val="5000"/>
              </w14:schemeClr>
            </w14:solidFill>
          </w14:textFill>
        </w:rPr>
        <w:t>7.53%</w:t>
      </w:r>
      <w:r>
        <w:rPr>
          <w:rFonts w:hint="eastAsia"/>
          <w:color w:val="0D0D0D" w:themeColor="text1" w:themeTint="F2"/>
          <w:szCs w:val="28"/>
          <w:highlight w:val="none"/>
          <w14:textFill>
            <w14:solidFill>
              <w14:schemeClr w14:val="tx1">
                <w14:lumMod w14:val="95000"/>
                <w14:lumOff w14:val="5000"/>
              </w14:schemeClr>
            </w14:solidFill>
          </w14:textFill>
        </w:rPr>
        <w:t>，二类区仅占1</w:t>
      </w:r>
      <w:r>
        <w:rPr>
          <w:color w:val="0D0D0D" w:themeColor="text1" w:themeTint="F2"/>
          <w:szCs w:val="28"/>
          <w:highlight w:val="none"/>
          <w14:textFill>
            <w14:solidFill>
              <w14:schemeClr w14:val="tx1">
                <w14:lumMod w14:val="95000"/>
                <w14:lumOff w14:val="5000"/>
              </w14:schemeClr>
            </w14:solidFill>
          </w14:textFill>
        </w:rPr>
        <w:t>2.47%</w:t>
      </w:r>
      <w:r>
        <w:rPr>
          <w:rFonts w:hint="eastAsia"/>
          <w:color w:val="0D0D0D" w:themeColor="text1" w:themeTint="F2"/>
          <w:szCs w:val="28"/>
          <w:highlight w:val="none"/>
          <w14:textFill>
            <w14:solidFill>
              <w14:schemeClr w14:val="tx1">
                <w14:lumMod w14:val="95000"/>
                <w14:lumOff w14:val="5000"/>
              </w14:schemeClr>
            </w14:solidFill>
          </w14:textFill>
        </w:rPr>
        <w:t>，将大量规划的居住区、文化区、工业区纳入一类区范围；二是多年来新增区域范围内新增的部分保护和生态保护红线未列入一类区范围，环境空气质量保护未受到有效合理规范；三是原有区划未划定缓冲带，执行等级尚未明确。</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同时，2012年2月19日国家发布了《环境空气质量标准》GB3095-2012代替原版规划依据中的GB3095-1996，功能区划类别及污染物浓度限值均有所调整。即环境空气功能区分类由原来的三类调整为二类，并根据我国大气环境管理实际要求，增设了PM</w:t>
      </w:r>
      <w:r>
        <w:rPr>
          <w:color w:val="0D0D0D" w:themeColor="text1" w:themeTint="F2"/>
          <w:szCs w:val="28"/>
          <w:highlight w:val="none"/>
          <w:vertAlign w:val="subscript"/>
          <w14:textFill>
            <w14:solidFill>
              <w14:schemeClr w14:val="tx1">
                <w14:lumMod w14:val="95000"/>
                <w14:lumOff w14:val="5000"/>
              </w14:schemeClr>
            </w14:solidFill>
          </w14:textFill>
        </w:rPr>
        <w:t>2.5</w:t>
      </w:r>
      <w:r>
        <w:rPr>
          <w:color w:val="0D0D0D" w:themeColor="text1" w:themeTint="F2"/>
          <w:szCs w:val="28"/>
          <w:highlight w:val="none"/>
          <w14:textFill>
            <w14:solidFill>
              <w14:schemeClr w14:val="tx1">
                <w14:lumMod w14:val="95000"/>
                <w14:lumOff w14:val="5000"/>
              </w14:schemeClr>
            </w14:solidFill>
          </w14:textFill>
        </w:rPr>
        <w:t>浓度限值要求，减小了PM</w:t>
      </w:r>
      <w:r>
        <w:rPr>
          <w:color w:val="0D0D0D" w:themeColor="text1" w:themeTint="F2"/>
          <w:szCs w:val="28"/>
          <w:highlight w:val="none"/>
          <w:vertAlign w:val="subscript"/>
          <w14:textFill>
            <w14:solidFill>
              <w14:schemeClr w14:val="tx1">
                <w14:lumMod w14:val="95000"/>
                <w14:lumOff w14:val="5000"/>
              </w14:schemeClr>
            </w14:solidFill>
          </w14:textFill>
        </w:rPr>
        <w:t>10</w:t>
      </w:r>
      <w:r>
        <w:rPr>
          <w:color w:val="0D0D0D" w:themeColor="text1" w:themeTint="F2"/>
          <w:szCs w:val="28"/>
          <w:highlight w:val="none"/>
          <w14:textFill>
            <w14:solidFill>
              <w14:schemeClr w14:val="tx1">
                <w14:lumMod w14:val="95000"/>
                <w14:lumOff w14:val="5000"/>
              </w14:schemeClr>
            </w14:solidFill>
          </w14:textFill>
        </w:rPr>
        <w:t>、二氧化氮、铅和苯并芘等污染物的浓度限值。</w:t>
      </w:r>
      <w:r>
        <w:rPr>
          <w:rFonts w:hint="eastAsia"/>
          <w:color w:val="0D0D0D" w:themeColor="text1" w:themeTint="F2"/>
          <w:szCs w:val="28"/>
          <w:highlight w:val="none"/>
          <w14:textFill>
            <w14:solidFill>
              <w14:schemeClr w14:val="tx1">
                <w14:lumMod w14:val="95000"/>
                <w14:lumOff w14:val="5000"/>
              </w14:schemeClr>
            </w14:solidFill>
          </w14:textFill>
        </w:rPr>
        <w:t>按照以上的环境质量标准管理，一类区准入要求极为严苛，等同于一类区范围内禁止一切涉气的工业项目。在一类区占比如此高的前提</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近9</w:t>
      </w:r>
      <w:r>
        <w:rPr>
          <w:color w:val="0D0D0D" w:themeColor="text1" w:themeTint="F2"/>
          <w:szCs w:val="28"/>
          <w:highlight w:val="none"/>
          <w14:textFill>
            <w14:solidFill>
              <w14:schemeClr w14:val="tx1">
                <w14:lumMod w14:val="95000"/>
                <w14:lumOff w14:val="5000"/>
              </w14:schemeClr>
            </w14:solidFill>
          </w14:textFill>
        </w:rPr>
        <w:t>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下，区域管理难度极大，对城市可持续发展极为不利。</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实际上，景宁县全县自然保护地面积不超过10%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省级及以上自然保护区面积比例8.93%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，生态保护红线面积也仅占全县国土面积的3</w:t>
      </w:r>
      <w:r>
        <w:rPr>
          <w:color w:val="0D0D0D" w:themeColor="text1" w:themeTint="F2"/>
          <w:szCs w:val="28"/>
          <w:highlight w:val="none"/>
          <w14:textFill>
            <w14:solidFill>
              <w14:schemeClr w14:val="tx1">
                <w14:lumMod w14:val="95000"/>
                <w14:lumOff w14:val="5000"/>
              </w14:schemeClr>
            </w14:solidFill>
          </w14:textFill>
        </w:rPr>
        <w:t>6.60%</w:t>
      </w:r>
      <w:r>
        <w:rPr>
          <w:rFonts w:hint="eastAsia"/>
          <w:color w:val="0D0D0D" w:themeColor="text1" w:themeTint="F2"/>
          <w:szCs w:val="28"/>
          <w:highlight w:val="none"/>
          <w14:textFill>
            <w14:solidFill>
              <w14:schemeClr w14:val="tx1">
                <w14:lumMod w14:val="95000"/>
                <w14:lumOff w14:val="5000"/>
              </w14:schemeClr>
            </w14:solidFill>
          </w14:textFill>
        </w:rPr>
        <w:t>，远远低于原区划中一类区占比87.53%的比例。</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因而</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为高水平推进美丽景宁建设</w:t>
      </w:r>
      <w:r>
        <w:rPr>
          <w:color w:val="0D0D0D" w:themeColor="text1" w:themeTint="F2"/>
          <w:szCs w:val="28"/>
          <w:highlight w:val="none"/>
          <w14:textFill>
            <w14:solidFill>
              <w14:schemeClr w14:val="tx1">
                <w14:lumMod w14:val="95000"/>
                <w14:lumOff w14:val="5000"/>
              </w14:schemeClr>
            </w14:solidFill>
          </w14:textFill>
        </w:rPr>
        <w:t>，强化城市环境空气质量管理，更好保障人民健康，促进城市经济和环境协调发展，迫切需要依据国家最新相关法律、法规、标准的规定，结合原有区划编制依据</w:t>
      </w:r>
      <w:r>
        <w:rPr>
          <w:rFonts w:hint="eastAsia"/>
          <w:color w:val="0D0D0D" w:themeColor="text1" w:themeTint="F2"/>
          <w:szCs w:val="28"/>
          <w:highlight w:val="none"/>
          <w14:textFill>
            <w14:solidFill>
              <w14:schemeClr w14:val="tx1">
                <w14:lumMod w14:val="95000"/>
                <w14:lumOff w14:val="5000"/>
              </w14:schemeClr>
            </w14:solidFill>
          </w14:textFill>
        </w:rPr>
        <w:t>、技术规范</w:t>
      </w:r>
      <w:r>
        <w:rPr>
          <w:color w:val="0D0D0D" w:themeColor="text1" w:themeTint="F2"/>
          <w:szCs w:val="28"/>
          <w:highlight w:val="none"/>
          <w14:textFill>
            <w14:solidFill>
              <w14:schemeClr w14:val="tx1">
                <w14:lumMod w14:val="95000"/>
                <w14:lumOff w14:val="5000"/>
              </w14:schemeClr>
            </w14:solidFill>
          </w14:textFill>
        </w:rPr>
        <w:t>和景宁畲族自治县实际情况，对原有环境空气质量功能区划进行编修</w:t>
      </w:r>
      <w:r>
        <w:rPr>
          <w:rFonts w:hint="eastAsia"/>
          <w:color w:val="0D0D0D" w:themeColor="text1" w:themeTint="F2"/>
          <w:szCs w:val="28"/>
          <w:highlight w:val="none"/>
          <w14:textFill>
            <w14:solidFill>
              <w14:schemeClr w14:val="tx1">
                <w14:lumMod w14:val="95000"/>
                <w14:lumOff w14:val="5000"/>
              </w14:schemeClr>
            </w14:solidFill>
          </w14:textFill>
        </w:rPr>
        <w:t>。本次修编过程中，将紧密结合生态保护红线的划分成果，且有效衔接</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生态保护红线最新划分成果</w:t>
      </w:r>
      <w:r>
        <w:rPr>
          <w:rFonts w:hint="eastAsia"/>
          <w:color w:val="0D0D0D" w:themeColor="text1" w:themeTint="F2"/>
          <w:szCs w:val="28"/>
          <w:highlight w:val="none"/>
          <w14:textFill>
            <w14:solidFill>
              <w14:schemeClr w14:val="tx1">
                <w14:lumMod w14:val="95000"/>
                <w14:lumOff w14:val="5000"/>
              </w14:schemeClr>
            </w14:solidFill>
          </w14:textFill>
        </w:rPr>
        <w:t>，适当扩大位于大</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漈</w:t>
      </w:r>
      <w:r>
        <w:rPr>
          <w:rFonts w:hint="eastAsia"/>
          <w:color w:val="0D0D0D" w:themeColor="text1" w:themeTint="F2"/>
          <w:szCs w:val="28"/>
          <w:highlight w:val="none"/>
          <w14:textFill>
            <w14:solidFill>
              <w14:schemeClr w14:val="tx1">
                <w14:lumMod w14:val="95000"/>
                <w14:lumOff w14:val="5000"/>
              </w14:schemeClr>
            </w14:solidFill>
          </w14:textFill>
        </w:rPr>
        <w:t>省级风景名胜区和飞云江源头水源保护区的一类区范围，</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保持现有</w:t>
      </w:r>
      <w:r>
        <w:rPr>
          <w:rFonts w:hint="eastAsia"/>
          <w:color w:val="0D0D0D" w:themeColor="text1" w:themeTint="F2"/>
          <w:szCs w:val="28"/>
          <w:highlight w:val="none"/>
          <w14:textFill>
            <w14:solidFill>
              <w14:schemeClr w14:val="tx1">
                <w14:lumMod w14:val="95000"/>
                <w14:lumOff w14:val="5000"/>
              </w14:schemeClr>
            </w14:solidFill>
          </w14:textFill>
        </w:rPr>
        <w:t>大气生态环境质量</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不降低</w:t>
      </w:r>
      <w:r>
        <w:rPr>
          <w:rFonts w:hint="eastAsia"/>
          <w:color w:val="0D0D0D" w:themeColor="text1" w:themeTint="F2"/>
          <w:szCs w:val="28"/>
          <w:highlight w:val="none"/>
          <w14:textFill>
            <w14:solidFill>
              <w14:schemeClr w14:val="tx1">
                <w14:lumMod w14:val="95000"/>
                <w14:lumOff w14:val="5000"/>
              </w14:schemeClr>
            </w14:solidFill>
          </w14:textFill>
        </w:rPr>
        <w:t>。</w:t>
      </w:r>
    </w:p>
    <w:p>
      <w:pPr>
        <w:pStyle w:val="3"/>
        <w:rPr>
          <w:color w:val="0D0D0D" w:themeColor="text1" w:themeTint="F2"/>
          <w:highlight w:val="none"/>
          <w14:textFill>
            <w14:solidFill>
              <w14:schemeClr w14:val="tx1">
                <w14:lumMod w14:val="95000"/>
                <w14:lumOff w14:val="5000"/>
              </w14:schemeClr>
            </w14:solidFill>
          </w14:textFill>
        </w:rPr>
      </w:pPr>
      <w:bookmarkStart w:id="6" w:name="_Toc5888"/>
      <w:bookmarkStart w:id="7" w:name="_Toc39133125"/>
      <w:bookmarkStart w:id="8" w:name="_Toc514167197"/>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.2 </w:t>
      </w:r>
      <w:r>
        <w:rPr>
          <w:rFonts w:hint="eastAsia"/>
          <w:color w:val="0D0D0D" w:themeColor="text1" w:themeTint="F2"/>
          <w:highlight w:val="none"/>
          <w14:textFill>
            <w14:solidFill>
              <w14:schemeClr w14:val="tx1">
                <w14:lumMod w14:val="95000"/>
                <w14:lumOff w14:val="5000"/>
              </w14:schemeClr>
            </w14:solidFill>
          </w14:textFill>
        </w:rPr>
        <w:t>编制依据</w:t>
      </w:r>
      <w:bookmarkEnd w:id="6"/>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left="560" w:leftChars="200" w:firstLine="0" w:firstLineChars="0"/>
        <w:jc w:val="both"/>
        <w:textAlignment w:val="auto"/>
        <w:rPr>
          <w:rFonts w:hint="eastAsia"/>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1、《中华人民共和国环境保护法》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中华人民共和国主席令第22号</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560" w:leftChars="200" w:firstLine="0" w:firstLineChars="0"/>
        <w:jc w:val="both"/>
        <w:textAlignment w:val="auto"/>
        <w:rPr>
          <w:rFonts w:hint="eastAsia"/>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2、《中华人民共和国大气污染防治法》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20181026主席令16号修正</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jc w:val="both"/>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jc w:val="both"/>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4、</w:t>
      </w:r>
      <w:r>
        <w:rPr>
          <w:color w:val="0D0D0D" w:themeColor="text1" w:themeTint="F2"/>
          <w:szCs w:val="28"/>
          <w:highlight w:val="none"/>
          <w14:textFill>
            <w14:solidFill>
              <w14:schemeClr w14:val="tx1">
                <w14:lumMod w14:val="95000"/>
                <w14:lumOff w14:val="5000"/>
              </w14:schemeClr>
            </w14:solidFill>
          </w14:textFill>
        </w:rPr>
        <w:t>《大气污染物综合排放标准》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GB16297-1996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jc w:val="both"/>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5、</w:t>
      </w:r>
      <w:r>
        <w:rPr>
          <w:color w:val="0D0D0D" w:themeColor="text1" w:themeTint="F2"/>
          <w:szCs w:val="28"/>
          <w:highlight w:val="none"/>
          <w14:textFill>
            <w14:solidFill>
              <w14:schemeClr w14:val="tx1">
                <w14:lumMod w14:val="95000"/>
                <w14:lumOff w14:val="5000"/>
              </w14:schemeClr>
            </w14:solidFill>
          </w14:textFill>
        </w:rPr>
        <w:t>《环境空气质量功能区划分原则与技术方法》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HJ14-1996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560" w:leftChars="200" w:firstLine="0" w:firstLineChars="0"/>
        <w:jc w:val="both"/>
        <w:textAlignment w:val="auto"/>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6、</w:t>
      </w:r>
      <w:r>
        <w:rPr>
          <w:color w:val="0D0D0D" w:themeColor="text1" w:themeTint="F2"/>
          <w:szCs w:val="28"/>
          <w:highlight w:val="none"/>
          <w14:textFill>
            <w14:solidFill>
              <w14:schemeClr w14:val="tx1">
                <w14:lumMod w14:val="95000"/>
                <w14:lumOff w14:val="5000"/>
              </w14:schemeClr>
            </w14:solidFill>
          </w14:textFill>
        </w:rPr>
        <w:t>《环境空气质量评价技术规范</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试行</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HJ 663-2013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560" w:leftChars="200" w:firstLine="0" w:firstLineChars="0"/>
        <w:jc w:val="both"/>
        <w:textAlignment w:val="auto"/>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7、</w:t>
      </w:r>
      <w:r>
        <w:rPr>
          <w:color w:val="0D0D0D" w:themeColor="text1" w:themeTint="F2"/>
          <w:szCs w:val="28"/>
          <w:highlight w:val="none"/>
          <w14:textFill>
            <w14:solidFill>
              <w14:schemeClr w14:val="tx1">
                <w14:lumMod w14:val="95000"/>
                <w14:lumOff w14:val="5000"/>
              </w14:schemeClr>
            </w14:solidFill>
          </w14:textFill>
        </w:rPr>
        <w:t>《环境空气质量监测点位布设技术规范</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试行</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HJ 664-2013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560" w:leftChars="200" w:firstLine="0" w:firstLineChars="0"/>
        <w:textAlignment w:val="auto"/>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8、</w:t>
      </w:r>
      <w:r>
        <w:rPr>
          <w:color w:val="0D0D0D" w:themeColor="text1" w:themeTint="F2"/>
          <w:szCs w:val="28"/>
          <w:highlight w:val="none"/>
          <w14:textFill>
            <w14:solidFill>
              <w14:schemeClr w14:val="tx1">
                <w14:lumMod w14:val="95000"/>
                <w14:lumOff w14:val="5000"/>
              </w14:schemeClr>
            </w14:solidFill>
          </w14:textFill>
        </w:rPr>
        <w:t>《浙江省大气污染防治条例》</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浙江省人民代表大会常务委员会公告第41号</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《浙江省主体功能区规划》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浙政发〔2013〕43号</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0</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《浙江省丽水地区环境空气质量功能区划》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1997年颁布</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《丽水市城市总体规划》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2004-2020年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《景宁畲族自治县县域总体规划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2007-2020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《景宁畲族自治县生态保护红线》；</w:t>
      </w:r>
    </w:p>
    <w:p>
      <w:pPr>
        <w:spacing w:line="360" w:lineRule="auto"/>
        <w:ind w:left="1680" w:leftChars="200" w:hanging="1120" w:hangingChars="4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丽水市“三线一单”生态环境分区管控方案</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pStyle w:val="3"/>
        <w:rPr>
          <w:color w:val="0D0D0D" w:themeColor="text1" w:themeTint="F2"/>
          <w:highlight w:val="none"/>
          <w14:textFill>
            <w14:solidFill>
              <w14:schemeClr w14:val="tx1">
                <w14:lumMod w14:val="95000"/>
                <w14:lumOff w14:val="5000"/>
              </w14:schemeClr>
            </w14:solidFill>
          </w14:textFill>
        </w:rPr>
      </w:pPr>
      <w:bookmarkStart w:id="9" w:name="_Toc27659"/>
      <w:bookmarkStart w:id="10" w:name="_Toc39133126"/>
      <w:bookmarkStart w:id="11" w:name="_Toc514167198"/>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.3 </w:t>
      </w:r>
      <w:r>
        <w:rPr>
          <w:rFonts w:hint="eastAsia"/>
          <w:color w:val="0D0D0D" w:themeColor="text1" w:themeTint="F2"/>
          <w:highlight w:val="none"/>
          <w14:textFill>
            <w14:solidFill>
              <w14:schemeClr w14:val="tx1">
                <w14:lumMod w14:val="95000"/>
                <w14:lumOff w14:val="5000"/>
              </w14:schemeClr>
            </w14:solidFill>
          </w14:textFill>
        </w:rPr>
        <w:t>指导思想及原则</w:t>
      </w:r>
      <w:bookmarkEnd w:id="9"/>
      <w:bookmarkEnd w:id="10"/>
      <w:bookmarkEnd w:id="11"/>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1</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指导思想</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以“美丽中国”建设和生态文明理念为指导，坚定不移走“绿水青山就是金山银山”之路，牢固遵循“培育新引擎，建设大花园”的新定位、新使命，从协调景宁县环境空气保护与社会经济发展关系、提高环境空气质量、促进社会经济可持续发展出发，根据环境空气质量功能区划分的原则及地理、气象、政治、经济和大气污染源现状分布等因素分析结果，综合考虑实际管理需求、城市总体规划要求及被保护对象对环境空气质量的要求，且充分衔接景宁县近期重点建设项目分布情况，开展景宁县环境空气质量功能区划修编工作，确定大气保护目标，细化区域管控要求，提出大气环境功能区保护目标的保障体系。</w:t>
      </w:r>
    </w:p>
    <w:p>
      <w:pPr>
        <w:spacing w:before="60" w:beforeLines="25"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调整原则</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保护优先，以人为本</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优先保护重要生态功能区、生态脆弱区、生物多样性保育区，以及具有一定自然文化资源价值或尚未受到大规模人类活动影响且仍保留其自然特点的较大连片区域，严守生态保护红线。在环境相对不太敏感的区域，充分考虑人类社会和经济发展的需求，优化生态安全格局，保障基本的生产和生活环境，控制污染，以实现保障人群环境健康和环境经济社会协调发展的目标。</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综合评估，科学定位</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根据环境的区位、环境功能的基本特征和空间分布规律等自然属性，综合评价区域大气环境承载能力、环境功能和区域经济社会发展状态，结合对区域发展趋势的分析，以及人类生存、生活、生产对大气环境不同需求的评估，科学确定区域大气环境的基本功能，划分各类大气保护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衔接协调，操作可行</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区划编制应与主体功能区、土地利用、城乡建设等相关规划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区划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进行有机衔接，既要落实相关规划的保护要求，又要对开发类规划形成约束，并与周围相邻市、县各类生态环境保护类规划做好协调。要达到区划边界、环境目标、管控措施及负面清单清晰可落地的要求，为管理部门提供可行的操作手段。</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遵循规范，注重保护</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环境空气质量功能区修编过程应当遵循原有编制指南要求，充分利用现行行政区界或自然分界线，划分过程宜粗不宜细，一、二类功能区原则上单个区域面积不应小于4平方公里。注重区域生态环境保护的整体性，强调严格不突破现有生态保护红线区域范围，</w:t>
      </w:r>
    </w:p>
    <w:p>
      <w:pPr>
        <w:pStyle w:val="3"/>
        <w:rPr>
          <w:color w:val="0D0D0D" w:themeColor="text1" w:themeTint="F2"/>
          <w:highlight w:val="none"/>
          <w14:textFill>
            <w14:solidFill>
              <w14:schemeClr w14:val="tx1">
                <w14:lumMod w14:val="95000"/>
                <w14:lumOff w14:val="5000"/>
              </w14:schemeClr>
            </w14:solidFill>
          </w14:textFill>
        </w:rPr>
      </w:pPr>
      <w:bookmarkStart w:id="12" w:name="_Toc514167199"/>
      <w:bookmarkStart w:id="13" w:name="_Toc4441"/>
      <w:bookmarkStart w:id="14" w:name="_Toc39133127"/>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.4 </w:t>
      </w:r>
      <w:r>
        <w:rPr>
          <w:rFonts w:hint="eastAsia"/>
          <w:color w:val="0D0D0D" w:themeColor="text1" w:themeTint="F2"/>
          <w:highlight w:val="none"/>
          <w14:textFill>
            <w14:solidFill>
              <w14:schemeClr w14:val="tx1">
                <w14:lumMod w14:val="95000"/>
                <w14:lumOff w14:val="5000"/>
              </w14:schemeClr>
            </w14:solidFill>
          </w14:textFill>
        </w:rPr>
        <w:t>功能区类别及执行标准</w:t>
      </w:r>
      <w:bookmarkEnd w:id="12"/>
      <w:bookmarkEnd w:id="13"/>
      <w:bookmarkEnd w:id="14"/>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bookmarkStart w:id="15" w:name="OLE_LINK2"/>
      <w:bookmarkStart w:id="16" w:name="OLE_LINK1"/>
      <w:r>
        <w:rPr>
          <w:color w:val="0D0D0D" w:themeColor="text1" w:themeTint="F2"/>
          <w:szCs w:val="28"/>
          <w:highlight w:val="none"/>
          <w14:textFill>
            <w14:solidFill>
              <w14:schemeClr w14:val="tx1">
                <w14:lumMod w14:val="95000"/>
                <w14:lumOff w14:val="5000"/>
              </w14:schemeClr>
            </w14:solidFill>
          </w14:textFill>
        </w:rPr>
        <w:t>按照《环境空气质量标准》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和《环境空气质量功能区划分原则与技术方法》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HJ14-1996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，将环境空气功能区分为一类区、二类区，一类区、二类区之间设置缓冲带：</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一类区为自然保护区、风景名胜区和其他需要特殊保护的区域，执行《环境空气质量标准》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中一级标准。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二类区为居住区、商业交通居民混合区、文化区、工业区和农村地区，执行《环境空气质量标准》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中二级标准。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3、一类区、二类区之间设置宽度为300米</w:t>
      </w:r>
      <w:r>
        <w:rPr>
          <w:rStyle w:val="25"/>
          <w:color w:val="0D0D0D" w:themeColor="text1" w:themeTint="F2"/>
          <w:szCs w:val="28"/>
          <w:highlight w:val="none"/>
          <w14:textFill>
            <w14:solidFill>
              <w14:schemeClr w14:val="tx1">
                <w14:lumMod w14:val="95000"/>
                <w14:lumOff w14:val="5000"/>
              </w14:schemeClr>
            </w14:solidFill>
          </w14:textFill>
        </w:rPr>
        <w:footnoteReference w:id="0"/>
      </w:r>
      <w:r>
        <w:rPr>
          <w:color w:val="0D0D0D" w:themeColor="text1" w:themeTint="F2"/>
          <w:szCs w:val="28"/>
          <w:highlight w:val="none"/>
          <w14:textFill>
            <w14:solidFill>
              <w14:schemeClr w14:val="tx1">
                <w14:lumMod w14:val="95000"/>
                <w14:lumOff w14:val="5000"/>
              </w14:schemeClr>
            </w14:solidFill>
          </w14:textFill>
        </w:rPr>
        <w:t>的过渡地带为缓冲带，执行《环境空气质量标准》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一级标准。</w:t>
      </w:r>
    </w:p>
    <w:bookmarkEnd w:id="15"/>
    <w:bookmarkEnd w:id="16"/>
    <w:p>
      <w:pPr>
        <w:pStyle w:val="3"/>
        <w:spacing w:before="0" w:after="0" w:line="560" w:lineRule="exact"/>
        <w:rPr>
          <w:color w:val="0D0D0D" w:themeColor="text1" w:themeTint="F2"/>
          <w:highlight w:val="none"/>
          <w14:textFill>
            <w14:solidFill>
              <w14:schemeClr w14:val="tx1">
                <w14:lumMod w14:val="95000"/>
                <w14:lumOff w14:val="5000"/>
              </w14:schemeClr>
            </w14:solidFill>
          </w14:textFill>
        </w:rPr>
      </w:pPr>
      <w:bookmarkStart w:id="17" w:name="_Toc514167200"/>
      <w:bookmarkStart w:id="18" w:name="_Toc39133128"/>
      <w:bookmarkStart w:id="19" w:name="_Toc14351"/>
      <w:r>
        <w:rPr>
          <w:rFonts w:hint="eastAsia"/>
          <w:color w:val="0D0D0D" w:themeColor="text1" w:themeTint="F2"/>
          <w:highlight w:val="none"/>
          <w14:textFill>
            <w14:solidFill>
              <w14:schemeClr w14:val="tx1">
                <w14:lumMod w14:val="95000"/>
                <w14:lumOff w14:val="5000"/>
              </w14:schemeClr>
            </w14:solidFill>
          </w14:textFill>
        </w:rPr>
        <w:t>1</w:t>
      </w:r>
      <w:r>
        <w:rPr>
          <w:color w:val="0D0D0D" w:themeColor="text1" w:themeTint="F2"/>
          <w:highlight w:val="none"/>
          <w14:textFill>
            <w14:solidFill>
              <w14:schemeClr w14:val="tx1">
                <w14:lumMod w14:val="95000"/>
                <w14:lumOff w14:val="5000"/>
              </w14:schemeClr>
            </w14:solidFill>
          </w14:textFill>
        </w:rPr>
        <w:t xml:space="preserve">.5 </w:t>
      </w:r>
      <w:r>
        <w:rPr>
          <w:rFonts w:hint="eastAsia"/>
          <w:color w:val="0D0D0D" w:themeColor="text1" w:themeTint="F2"/>
          <w:highlight w:val="none"/>
          <w14:textFill>
            <w14:solidFill>
              <w14:schemeClr w14:val="tx1">
                <w14:lumMod w14:val="95000"/>
                <w14:lumOff w14:val="5000"/>
              </w14:schemeClr>
            </w14:solidFill>
          </w14:textFill>
        </w:rPr>
        <w:t>适用范围</w:t>
      </w:r>
      <w:bookmarkEnd w:id="17"/>
      <w:bookmarkEnd w:id="18"/>
      <w:bookmarkEnd w:id="19"/>
    </w:p>
    <w:p>
      <w:pPr>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调整范围为景宁畲族自治县全域，包括红星街道、鹤溪街道2个街道，英川镇、渤海镇、东坑镇、沙湾镇4个镇及景南乡、澄照乡、毛</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垟</w:t>
      </w:r>
      <w:r>
        <w:rPr>
          <w:color w:val="0D0D0D" w:themeColor="text1" w:themeTint="F2"/>
          <w:szCs w:val="28"/>
          <w:highlight w:val="none"/>
          <w14:textFill>
            <w14:solidFill>
              <w14:schemeClr w14:val="tx1">
                <w14:lumMod w14:val="95000"/>
                <w14:lumOff w14:val="5000"/>
              </w14:schemeClr>
            </w14:solidFill>
          </w14:textFill>
        </w:rPr>
        <w:t>乡、秋炉乡、大地乡、梅岐乡、郑坑乡、大均乡、梧桐乡、大</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乡、标溪乡、家地乡、鸬鹚乡、雁溪乡、九龙乡15个乡，区划总面积194.85平方公里，南北长58.8公里，东西宽73.3公里，见图1-1。</w:t>
      </w:r>
    </w:p>
    <w:p>
      <w:pPr>
        <w:spacing w:line="24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4935220" cy="2147570"/>
            <wp:effectExtent l="152400" t="152400" r="347980" b="341630"/>
            <wp:docPr id="19" name="图片 19" descr="../../Pictures/景宁县行政区划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ictures/景宁县行政区划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38853" cy="2149398"/>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before="120" w:beforeLines="50" w:after="120" w:afterLines="50"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图1-1 景宁畲族自治县地理位置及行政区划图</w:t>
      </w:r>
      <w:bookmarkStart w:id="20" w:name="_Toc39133129"/>
      <w:bookmarkStart w:id="21" w:name="_Toc514167201"/>
    </w:p>
    <w:p>
      <w:pP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br w:type="page"/>
      </w:r>
    </w:p>
    <w:p>
      <w:pPr>
        <w:pStyle w:val="2"/>
        <w:spacing w:before="360" w:beforeLines="150" w:after="0" w:line="360" w:lineRule="auto"/>
        <w:rPr>
          <w:color w:val="0D0D0D" w:themeColor="text1" w:themeTint="F2"/>
          <w:sz w:val="32"/>
          <w:szCs w:val="32"/>
          <w:highlight w:val="none"/>
          <w14:textFill>
            <w14:solidFill>
              <w14:schemeClr w14:val="tx1">
                <w14:lumMod w14:val="95000"/>
                <w14:lumOff w14:val="5000"/>
              </w14:schemeClr>
            </w14:solidFill>
          </w14:textFill>
        </w:rPr>
      </w:pPr>
      <w:bookmarkStart w:id="22" w:name="_Toc13374"/>
      <w:r>
        <w:rPr>
          <w:rFonts w:hint="eastAsia"/>
          <w:color w:val="0D0D0D" w:themeColor="text1" w:themeTint="F2"/>
          <w:sz w:val="32"/>
          <w:szCs w:val="32"/>
          <w:highlight w:val="none"/>
          <w14:textFill>
            <w14:solidFill>
              <w14:schemeClr w14:val="tx1">
                <w14:lumMod w14:val="95000"/>
                <w14:lumOff w14:val="5000"/>
              </w14:schemeClr>
            </w14:solidFill>
          </w14:textFill>
        </w:rPr>
        <w:t>2</w:t>
      </w:r>
      <w:r>
        <w:rPr>
          <w:color w:val="0D0D0D" w:themeColor="text1" w:themeTint="F2"/>
          <w:sz w:val="32"/>
          <w:szCs w:val="32"/>
          <w:highlight w:val="none"/>
          <w14:textFill>
            <w14:solidFill>
              <w14:schemeClr w14:val="tx1">
                <w14:lumMod w14:val="95000"/>
                <w14:lumOff w14:val="5000"/>
              </w14:schemeClr>
            </w14:solidFill>
          </w14:textFill>
        </w:rPr>
        <w:t xml:space="preserve"> </w:t>
      </w:r>
      <w:r>
        <w:rPr>
          <w:rFonts w:hint="eastAsia"/>
          <w:color w:val="0D0D0D" w:themeColor="text1" w:themeTint="F2"/>
          <w:sz w:val="32"/>
          <w:szCs w:val="32"/>
          <w:highlight w:val="none"/>
          <w14:textFill>
            <w14:solidFill>
              <w14:schemeClr w14:val="tx1">
                <w14:lumMod w14:val="95000"/>
                <w14:lumOff w14:val="5000"/>
              </w14:schemeClr>
            </w14:solidFill>
          </w14:textFill>
        </w:rPr>
        <w:t>区域基本情况</w:t>
      </w:r>
      <w:bookmarkEnd w:id="22"/>
    </w:p>
    <w:p>
      <w:pPr>
        <w:pStyle w:val="3"/>
        <w:spacing w:before="0" w:after="0"/>
        <w:rPr>
          <w:color w:val="0D0D0D" w:themeColor="text1" w:themeTint="F2"/>
          <w:highlight w:val="none"/>
          <w14:textFill>
            <w14:solidFill>
              <w14:schemeClr w14:val="tx1">
                <w14:lumMod w14:val="95000"/>
                <w14:lumOff w14:val="5000"/>
              </w14:schemeClr>
            </w14:solidFill>
          </w14:textFill>
        </w:rPr>
      </w:pPr>
      <w:bookmarkStart w:id="23" w:name="_Toc4651"/>
      <w:r>
        <w:rPr>
          <w:rFonts w:hint="eastAsia"/>
          <w:color w:val="0D0D0D" w:themeColor="text1" w:themeTint="F2"/>
          <w:highlight w:val="none"/>
          <w14:textFill>
            <w14:solidFill>
              <w14:schemeClr w14:val="tx1">
                <w14:lumMod w14:val="95000"/>
                <w14:lumOff w14:val="5000"/>
              </w14:schemeClr>
            </w14:solidFill>
          </w14:textFill>
        </w:rPr>
        <w:t>2</w:t>
      </w:r>
      <w:r>
        <w:rPr>
          <w:color w:val="0D0D0D" w:themeColor="text1" w:themeTint="F2"/>
          <w:highlight w:val="none"/>
          <w14:textFill>
            <w14:solidFill>
              <w14:schemeClr w14:val="tx1">
                <w14:lumMod w14:val="95000"/>
                <w14:lumOff w14:val="5000"/>
              </w14:schemeClr>
            </w14:solidFill>
          </w14:textFill>
        </w:rPr>
        <w:t xml:space="preserve">.1 </w:t>
      </w:r>
      <w:r>
        <w:rPr>
          <w:rFonts w:hint="eastAsia"/>
          <w:color w:val="0D0D0D" w:themeColor="text1" w:themeTint="F2"/>
          <w:highlight w:val="none"/>
          <w14:textFill>
            <w14:solidFill>
              <w14:schemeClr w14:val="tx1">
                <w14:lumMod w14:val="95000"/>
                <w14:lumOff w14:val="5000"/>
              </w14:schemeClr>
            </w14:solidFill>
          </w14:textFill>
        </w:rPr>
        <w:t>自然环境概况</w:t>
      </w:r>
      <w:bookmarkEnd w:id="23"/>
    </w:p>
    <w:p>
      <w:pPr>
        <w:outlineLvl w:val="2"/>
        <w:rPr>
          <w:b/>
          <w:bCs/>
          <w:color w:val="0D0D0D" w:themeColor="text1" w:themeTint="F2"/>
          <w:highlight w:val="none"/>
          <w14:textFill>
            <w14:solidFill>
              <w14:schemeClr w14:val="tx1">
                <w14:lumMod w14:val="95000"/>
                <w14:lumOff w14:val="5000"/>
              </w14:schemeClr>
            </w14:solidFill>
          </w14:textFill>
        </w:rPr>
      </w:pPr>
      <w:r>
        <w:rPr>
          <w:rFonts w:hint="eastAsia"/>
          <w:b/>
          <w:bCs/>
          <w:color w:val="0D0D0D" w:themeColor="text1" w:themeTint="F2"/>
          <w:highlight w:val="none"/>
          <w14:textFill>
            <w14:solidFill>
              <w14:schemeClr w14:val="tx1">
                <w14:lumMod w14:val="95000"/>
                <w14:lumOff w14:val="5000"/>
              </w14:schemeClr>
            </w14:solidFill>
          </w14:textFill>
        </w:rPr>
        <w:t>2</w:t>
      </w:r>
      <w:r>
        <w:rPr>
          <w:b/>
          <w:bCs/>
          <w:color w:val="0D0D0D" w:themeColor="text1" w:themeTint="F2"/>
          <w:highlight w:val="none"/>
          <w14:textFill>
            <w14:solidFill>
              <w14:schemeClr w14:val="tx1">
                <w14:lumMod w14:val="95000"/>
                <w14:lumOff w14:val="5000"/>
              </w14:schemeClr>
            </w14:solidFill>
          </w14:textFill>
        </w:rPr>
        <w:t xml:space="preserve">.1.1 </w:t>
      </w:r>
      <w:r>
        <w:rPr>
          <w:rFonts w:hint="eastAsia"/>
          <w:b/>
          <w:bCs/>
          <w:color w:val="0D0D0D" w:themeColor="text1" w:themeTint="F2"/>
          <w:highlight w:val="none"/>
          <w14:textFill>
            <w14:solidFill>
              <w14:schemeClr w14:val="tx1">
                <w14:lumMod w14:val="95000"/>
                <w14:lumOff w14:val="5000"/>
              </w14:schemeClr>
            </w14:solidFill>
          </w14:textFill>
        </w:rPr>
        <w:t>地理位置</w:t>
      </w:r>
    </w:p>
    <w:bookmarkEnd w:id="20"/>
    <w:bookmarkEnd w:id="21"/>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畲族自治县位于浙西南边陲，丽水市的东南部，地处洞宫山脉，其西北部和东南部分别属于瓯江、飞云江两水系支流之源，地理坐标位于东经119°11′~119°58′，北纬27°39′~28°11′之间，属东半球低纬度北部地区。景宁畲族自治县东邻青田、文成县，南衔泰顺、寿宁县(福建省</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西枕庆元县、龙泉市；北连云和县、丽水市，距省会杭州约259公里，距浙西南中心城市丽水80公里，距浙东南部沿海港口城市温州170余公里，是温州港口与浙西南的后花园，是以上海为中心的长江三角洲经济圈的第三层次，属于我国东南沿海经济开放区。</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r>
        <w:rPr>
          <w:color w:val="0D0D0D" w:themeColor="text1" w:themeTint="F2"/>
          <w:sz w:val="28"/>
          <w:szCs w:val="28"/>
          <w:highlight w:val="none"/>
          <w14:textFill>
            <w14:solidFill>
              <w14:schemeClr w14:val="tx1">
                <w14:lumMod w14:val="95000"/>
                <w14:lumOff w14:val="5000"/>
              </w14:schemeClr>
            </w14:solidFill>
          </w14:textFill>
        </w:rPr>
        <w:t>2.2.2 地形地貌</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景宁地形复杂，地势由西南向东北渐倾。地貌以深切割山地为主，发源于洞宫山脉的瓯江支流小溪，自西南向东北贯穿全境，将县境分为南北两部分，形成两岸宽约124.6</w:t>
      </w:r>
      <w:r>
        <w:rPr>
          <w:rFonts w:hint="eastAsia"/>
          <w:color w:val="0D0D0D" w:themeColor="text1" w:themeTint="F2"/>
          <w:szCs w:val="28"/>
          <w:highlight w:val="none"/>
          <w14:textFill>
            <w14:solidFill>
              <w14:schemeClr w14:val="tx1">
                <w14:lumMod w14:val="95000"/>
                <w14:lumOff w14:val="5000"/>
              </w14:schemeClr>
            </w14:solidFill>
          </w14:textFill>
        </w:rPr>
        <w:t>公里</w:t>
      </w:r>
      <w:r>
        <w:rPr>
          <w:color w:val="0D0D0D" w:themeColor="text1" w:themeTint="F2"/>
          <w:szCs w:val="28"/>
          <w:highlight w:val="none"/>
          <w14:textFill>
            <w14:solidFill>
              <w14:schemeClr w14:val="tx1">
                <w14:lumMod w14:val="95000"/>
                <w14:lumOff w14:val="5000"/>
              </w14:schemeClr>
            </w14:solidFill>
          </w14:textFill>
        </w:rPr>
        <w:t>的狭长带，构成了“九山半水半分田”和“两山夹一水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众壑闹飞流”的地貌格局。境内海拔高低悬殊，全县海拔千米以上的山峰779座，其中1500</w:t>
      </w:r>
      <w:r>
        <w:rPr>
          <w:rFonts w:hint="eastAsia"/>
          <w:color w:val="0D0D0D" w:themeColor="text1" w:themeTint="F2"/>
          <w:szCs w:val="28"/>
          <w:highlight w:val="none"/>
          <w14:textFill>
            <w14:solidFill>
              <w14:schemeClr w14:val="tx1">
                <w14:lumMod w14:val="95000"/>
                <w14:lumOff w14:val="5000"/>
              </w14:schemeClr>
            </w14:solidFill>
          </w14:textFill>
        </w:rPr>
        <w:t>米</w:t>
      </w:r>
      <w:r>
        <w:rPr>
          <w:color w:val="0D0D0D" w:themeColor="text1" w:themeTint="F2"/>
          <w:szCs w:val="28"/>
          <w:highlight w:val="none"/>
          <w14:textFill>
            <w14:solidFill>
              <w14:schemeClr w14:val="tx1">
                <w14:lumMod w14:val="95000"/>
                <w14:lumOff w14:val="5000"/>
              </w14:schemeClr>
            </w14:solidFill>
          </w14:textFill>
        </w:rPr>
        <w:t>以上的山峰有10座，最高峰为大</w:t>
      </w:r>
      <w:r>
        <w:rPr>
          <w:rFonts w:eastAsia="微软雅黑"/>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上山头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1689.1</w:t>
      </w:r>
      <w:r>
        <w:rPr>
          <w:rFonts w:hint="eastAsia"/>
          <w:color w:val="0D0D0D" w:themeColor="text1" w:themeTint="F2"/>
          <w:szCs w:val="28"/>
          <w:highlight w:val="none"/>
          <w14:textFill>
            <w14:solidFill>
              <w14:schemeClr w14:val="tx1">
                <w14:lumMod w14:val="95000"/>
                <w14:lumOff w14:val="5000"/>
              </w14:schemeClr>
            </w14:solidFill>
          </w14:textFill>
        </w:rPr>
        <w:t>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，海拔250</w:t>
      </w:r>
      <w:r>
        <w:rPr>
          <w:rFonts w:hint="eastAsia"/>
          <w:color w:val="0D0D0D" w:themeColor="text1" w:themeTint="F2"/>
          <w:szCs w:val="28"/>
          <w:highlight w:val="none"/>
          <w14:textFill>
            <w14:solidFill>
              <w14:schemeClr w14:val="tx1">
                <w14:lumMod w14:val="95000"/>
                <w14:lumOff w14:val="5000"/>
              </w14:schemeClr>
            </w14:solidFill>
          </w14:textFill>
        </w:rPr>
        <w:t>米</w:t>
      </w:r>
      <w:r>
        <w:rPr>
          <w:color w:val="0D0D0D" w:themeColor="text1" w:themeTint="F2"/>
          <w:szCs w:val="28"/>
          <w:highlight w:val="none"/>
          <w14:textFill>
            <w14:solidFill>
              <w14:schemeClr w14:val="tx1">
                <w14:lumMod w14:val="95000"/>
                <w14:lumOff w14:val="5000"/>
              </w14:schemeClr>
            </w14:solidFill>
          </w14:textFill>
        </w:rPr>
        <w:t>以下的低丘占4.4%，海拔250-500</w:t>
      </w:r>
      <w:r>
        <w:rPr>
          <w:rFonts w:hint="eastAsia"/>
          <w:color w:val="0D0D0D" w:themeColor="text1" w:themeTint="F2"/>
          <w:szCs w:val="28"/>
          <w:highlight w:val="none"/>
          <w14:textFill>
            <w14:solidFill>
              <w14:schemeClr w14:val="tx1">
                <w14:lumMod w14:val="95000"/>
                <w14:lumOff w14:val="5000"/>
              </w14:schemeClr>
            </w14:solidFill>
          </w14:textFill>
        </w:rPr>
        <w:t>米</w:t>
      </w:r>
      <w:r>
        <w:rPr>
          <w:color w:val="0D0D0D" w:themeColor="text1" w:themeTint="F2"/>
          <w:szCs w:val="28"/>
          <w:highlight w:val="none"/>
          <w14:textFill>
            <w14:solidFill>
              <w14:schemeClr w14:val="tx1">
                <w14:lumMod w14:val="95000"/>
                <w14:lumOff w14:val="5000"/>
              </w14:schemeClr>
            </w14:solidFill>
          </w14:textFill>
        </w:rPr>
        <w:t>的高丘占20.6%，海拔500-800</w:t>
      </w:r>
      <w:r>
        <w:rPr>
          <w:rFonts w:hint="eastAsia"/>
          <w:color w:val="0D0D0D" w:themeColor="text1" w:themeTint="F2"/>
          <w:szCs w:val="28"/>
          <w:highlight w:val="none"/>
          <w14:textFill>
            <w14:solidFill>
              <w14:schemeClr w14:val="tx1">
                <w14:lumMod w14:val="95000"/>
                <w14:lumOff w14:val="5000"/>
              </w14:schemeClr>
            </w14:solidFill>
          </w14:textFill>
        </w:rPr>
        <w:t>米</w:t>
      </w:r>
      <w:r>
        <w:rPr>
          <w:color w:val="0D0D0D" w:themeColor="text1" w:themeTint="F2"/>
          <w:szCs w:val="28"/>
          <w:highlight w:val="none"/>
          <w14:textFill>
            <w14:solidFill>
              <w14:schemeClr w14:val="tx1">
                <w14:lumMod w14:val="95000"/>
                <w14:lumOff w14:val="5000"/>
              </w14:schemeClr>
            </w14:solidFill>
          </w14:textFill>
        </w:rPr>
        <w:t>的低山占34.5%，海拔800</w:t>
      </w:r>
      <w:r>
        <w:rPr>
          <w:rFonts w:hint="eastAsia"/>
          <w:color w:val="0D0D0D" w:themeColor="text1" w:themeTint="F2"/>
          <w:szCs w:val="28"/>
          <w:highlight w:val="none"/>
          <w14:textFill>
            <w14:solidFill>
              <w14:schemeClr w14:val="tx1">
                <w14:lumMod w14:val="95000"/>
                <w14:lumOff w14:val="5000"/>
              </w14:schemeClr>
            </w14:solidFill>
          </w14:textFill>
        </w:rPr>
        <w:t>米</w:t>
      </w:r>
      <w:r>
        <w:rPr>
          <w:color w:val="0D0D0D" w:themeColor="text1" w:themeTint="F2"/>
          <w:szCs w:val="28"/>
          <w:highlight w:val="none"/>
          <w14:textFill>
            <w14:solidFill>
              <w14:schemeClr w14:val="tx1">
                <w14:lumMod w14:val="95000"/>
                <w14:lumOff w14:val="5000"/>
              </w14:schemeClr>
            </w14:solidFill>
          </w14:textFill>
        </w:rPr>
        <w:t>以上中山占40.5%，中低山合占70%，坡度25º以上的占91.7%，25º以下的8.3%，整个地面千皱万裙，峰峦簇拥。</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r>
        <w:rPr>
          <w:color w:val="0D0D0D" w:themeColor="text1" w:themeTint="F2"/>
          <w:sz w:val="28"/>
          <w:szCs w:val="28"/>
          <w:highlight w:val="none"/>
          <w14:textFill>
            <w14:solidFill>
              <w14:schemeClr w14:val="tx1">
                <w14:lumMod w14:val="95000"/>
                <w14:lumOff w14:val="5000"/>
              </w14:schemeClr>
            </w14:solidFill>
          </w14:textFill>
        </w:rPr>
        <w:t>2.2.3 水文特征</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t>景宁县境内有河道600余条、总长1800余千米，</w:t>
      </w:r>
      <w:r>
        <w:rPr>
          <w:color w:val="0D0D0D" w:themeColor="text1" w:themeTint="F2"/>
          <w:szCs w:val="28"/>
          <w:highlight w:val="none"/>
          <w14:textFill>
            <w14:solidFill>
              <w14:schemeClr w14:val="tx1">
                <w14:lumMod w14:val="95000"/>
                <w14:lumOff w14:val="5000"/>
              </w14:schemeClr>
            </w14:solidFill>
          </w14:textFill>
        </w:rPr>
        <w:t>境内溪流均属山溪性河流，源短流急，河流切割严重，主要是瓯江水系和飞云江水系：瓯江支流小溪发源于庆元县大毛峰山麓，由西向东北贯穿景宁全县。瓯江流域在境内流长124.6</w:t>
      </w:r>
      <w:r>
        <w:rPr>
          <w:rFonts w:hint="eastAsia"/>
          <w:color w:val="0D0D0D" w:themeColor="text1" w:themeTint="F2"/>
          <w:szCs w:val="28"/>
          <w:highlight w:val="none"/>
          <w14:textFill>
            <w14:solidFill>
              <w14:schemeClr w14:val="tx1">
                <w14:lumMod w14:val="95000"/>
                <w14:lumOff w14:val="5000"/>
              </w14:schemeClr>
            </w14:solidFill>
          </w14:textFill>
        </w:rPr>
        <w:t>千米</w:t>
      </w:r>
      <w:r>
        <w:rPr>
          <w:color w:val="0D0D0D" w:themeColor="text1" w:themeTint="F2"/>
          <w:szCs w:val="28"/>
          <w:highlight w:val="none"/>
          <w14:textFill>
            <w14:solidFill>
              <w14:schemeClr w14:val="tx1">
                <w14:lumMod w14:val="95000"/>
                <w14:lumOff w14:val="5000"/>
              </w14:schemeClr>
            </w14:solidFill>
          </w14:textFill>
        </w:rPr>
        <w:t>，流域集雨面积1725.56平方公里，占全县总面积的88.5%，支流主要有毛</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垟</w:t>
      </w:r>
      <w:r>
        <w:rPr>
          <w:color w:val="0D0D0D" w:themeColor="text1" w:themeTint="F2"/>
          <w:szCs w:val="28"/>
          <w:highlight w:val="none"/>
          <w14:textFill>
            <w14:solidFill>
              <w14:schemeClr w14:val="tx1">
                <w14:lumMod w14:val="95000"/>
                <w14:lumOff w14:val="5000"/>
              </w14:schemeClr>
            </w14:solidFill>
          </w14:textFill>
        </w:rPr>
        <w:t>港、英川港、梧桐坑、鹤溪等10余条；飞云江流经景宁县东坑、景南等南部乡镇入泰顺，大白坑为飞云江源头之支流，县内流长21.9</w:t>
      </w:r>
      <w:r>
        <w:rPr>
          <w:rFonts w:hint="eastAsia"/>
          <w:color w:val="0D0D0D" w:themeColor="text1" w:themeTint="F2"/>
          <w:szCs w:val="28"/>
          <w:highlight w:val="none"/>
          <w14:textFill>
            <w14:solidFill>
              <w14:schemeClr w14:val="tx1">
                <w14:lumMod w14:val="95000"/>
                <w14:lumOff w14:val="5000"/>
              </w14:schemeClr>
            </w14:solidFill>
          </w14:textFill>
        </w:rPr>
        <w:t>千米</w:t>
      </w:r>
      <w:r>
        <w:rPr>
          <w:color w:val="0D0D0D" w:themeColor="text1" w:themeTint="F2"/>
          <w:szCs w:val="28"/>
          <w:highlight w:val="none"/>
          <w14:textFill>
            <w14:solidFill>
              <w14:schemeClr w14:val="tx1">
                <w14:lumMod w14:val="95000"/>
                <w14:lumOff w14:val="5000"/>
              </w14:schemeClr>
            </w14:solidFill>
          </w14:textFill>
        </w:rPr>
        <w:t>，流域面积224.42平方公里。</w:t>
      </w:r>
      <w:r>
        <w:rPr>
          <w:rFonts w:hint="eastAsia"/>
          <w:color w:val="0D0D0D" w:themeColor="text1" w:themeTint="F2"/>
          <w:szCs w:val="28"/>
          <w:highlight w:val="none"/>
          <w14:textFill>
            <w14:solidFill>
              <w14:schemeClr w14:val="tx1">
                <w14:lumMod w14:val="95000"/>
                <w14:lumOff w14:val="5000"/>
              </w14:schemeClr>
            </w14:solidFill>
          </w14:textFill>
        </w:rPr>
        <w:t>全县</w:t>
      </w:r>
      <w:r>
        <w:rPr>
          <w:color w:val="0D0D0D" w:themeColor="text1" w:themeTint="F2"/>
          <w:highlight w:val="none"/>
          <w14:textFill>
            <w14:solidFill>
              <w14:schemeClr w14:val="tx1">
                <w14:lumMod w14:val="95000"/>
                <w14:lumOff w14:val="5000"/>
              </w14:schemeClr>
            </w14:solidFill>
          </w14:textFill>
        </w:rPr>
        <w:t>水资源丰富且优质，年均水资源总量为17.02亿立方米</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表2-1 景宁县境内河流概括表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79"/>
        <w:gridCol w:w="1286"/>
        <w:gridCol w:w="1807"/>
        <w:gridCol w:w="127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1382" w:type="dxa"/>
            <w:vMerge w:val="restart"/>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水系名称</w:t>
            </w:r>
          </w:p>
        </w:tc>
        <w:tc>
          <w:tcPr>
            <w:tcW w:w="2765" w:type="dxa"/>
            <w:gridSpan w:val="2"/>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起止地点</w:t>
            </w:r>
          </w:p>
        </w:tc>
        <w:tc>
          <w:tcPr>
            <w:tcW w:w="1807" w:type="dxa"/>
            <w:vMerge w:val="restart"/>
            <w:vAlign w:val="center"/>
          </w:tcPr>
          <w:p>
            <w:pPr>
              <w:spacing w:line="320" w:lineRule="exact"/>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集水面积</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b/>
                <w:bCs/>
                <w:color w:val="0D0D0D" w:themeColor="text1" w:themeTint="F2"/>
                <w:sz w:val="24"/>
                <w:szCs w:val="24"/>
                <w:highlight w:val="none"/>
                <w14:textFill>
                  <w14:solidFill>
                    <w14:schemeClr w14:val="tx1">
                      <w14:lumMod w14:val="95000"/>
                      <w14:lumOff w14:val="5000"/>
                    </w14:schemeClr>
                  </w14:solidFill>
                </w14:textFill>
              </w:rPr>
              <w:t>平方公里</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276" w:type="dxa"/>
            <w:vMerge w:val="restart"/>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河长</w:t>
            </w:r>
          </w:p>
          <w:p>
            <w:pPr>
              <w:spacing w:line="320" w:lineRule="exact"/>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b/>
                <w:bCs/>
                <w:color w:val="0D0D0D" w:themeColor="text1" w:themeTint="F2"/>
                <w:sz w:val="24"/>
                <w:szCs w:val="24"/>
                <w:highlight w:val="none"/>
                <w14:textFill>
                  <w14:solidFill>
                    <w14:schemeClr w14:val="tx1">
                      <w14:lumMod w14:val="95000"/>
                      <w14:lumOff w14:val="5000"/>
                    </w14:schemeClr>
                  </w14:solidFill>
                </w14:textFill>
              </w:rPr>
              <w:t>公里</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066" w:type="dxa"/>
            <w:vMerge w:val="restart"/>
            <w:vAlign w:val="center"/>
          </w:tcPr>
          <w:p>
            <w:pPr>
              <w:spacing w:line="320" w:lineRule="exact"/>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比降</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jc w:val="center"/>
        </w:trPr>
        <w:tc>
          <w:tcPr>
            <w:tcW w:w="1382" w:type="dxa"/>
            <w:vMerge w:val="continue"/>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p>
        </w:tc>
        <w:tc>
          <w:tcPr>
            <w:tcW w:w="1479" w:type="dxa"/>
            <w:vAlign w:val="center"/>
          </w:tcPr>
          <w:p>
            <w:pPr>
              <w:spacing w:line="320" w:lineRule="exact"/>
              <w:jc w:val="center"/>
              <w:rPr>
                <w:rFonts w:hint="eastAsia" w:eastAsia="仿宋_GB2312"/>
                <w:b/>
                <w:bCs/>
                <w:color w:val="0D0D0D" w:themeColor="text1" w:themeTint="F2"/>
                <w:sz w:val="24"/>
                <w:szCs w:val="24"/>
                <w:highlight w:val="none"/>
                <w:lang w:val="en-US"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起</w:t>
            </w:r>
            <w:r>
              <w:rPr>
                <w:rFonts w:hint="eastAsia"/>
                <w:b/>
                <w:bCs/>
                <w:color w:val="0D0D0D" w:themeColor="text1" w:themeTint="F2"/>
                <w:sz w:val="24"/>
                <w:szCs w:val="24"/>
                <w:highlight w:val="none"/>
                <w:lang w:val="en-US" w:eastAsia="zh-CN"/>
                <w14:textFill>
                  <w14:solidFill>
                    <w14:schemeClr w14:val="tx1">
                      <w14:lumMod w14:val="95000"/>
                      <w14:lumOff w14:val="5000"/>
                    </w14:schemeClr>
                  </w14:solidFill>
                </w14:textFill>
              </w:rPr>
              <w:t>点</w:t>
            </w:r>
          </w:p>
        </w:tc>
        <w:tc>
          <w:tcPr>
            <w:tcW w:w="1286" w:type="dxa"/>
            <w:vAlign w:val="center"/>
          </w:tcPr>
          <w:p>
            <w:pPr>
              <w:spacing w:line="320" w:lineRule="exact"/>
              <w:jc w:val="center"/>
              <w:rPr>
                <w:rFonts w:hint="eastAsia" w:eastAsia="仿宋_GB2312"/>
                <w:b/>
                <w:bCs/>
                <w:color w:val="0D0D0D" w:themeColor="text1" w:themeTint="F2"/>
                <w:sz w:val="24"/>
                <w:szCs w:val="24"/>
                <w:highlight w:val="none"/>
                <w:lang w:val="en-US"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终</w:t>
            </w:r>
            <w:r>
              <w:rPr>
                <w:rFonts w:hint="eastAsia"/>
                <w:b/>
                <w:bCs/>
                <w:color w:val="0D0D0D" w:themeColor="text1" w:themeTint="F2"/>
                <w:sz w:val="24"/>
                <w:szCs w:val="24"/>
                <w:highlight w:val="none"/>
                <w:lang w:val="en-US" w:eastAsia="zh-CN"/>
                <w14:textFill>
                  <w14:solidFill>
                    <w14:schemeClr w14:val="tx1">
                      <w14:lumMod w14:val="95000"/>
                      <w14:lumOff w14:val="5000"/>
                    </w14:schemeClr>
                  </w14:solidFill>
                </w14:textFill>
              </w:rPr>
              <w:t>点</w:t>
            </w:r>
          </w:p>
        </w:tc>
        <w:tc>
          <w:tcPr>
            <w:tcW w:w="1807" w:type="dxa"/>
            <w:vMerge w:val="continue"/>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p>
        </w:tc>
        <w:tc>
          <w:tcPr>
            <w:tcW w:w="1276" w:type="dxa"/>
            <w:vMerge w:val="continue"/>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p>
        </w:tc>
        <w:tc>
          <w:tcPr>
            <w:tcW w:w="1066" w:type="dxa"/>
            <w:vMerge w:val="continue"/>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英川溪</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百山祖北坡</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交见圩</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40.33</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42.5</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毛洋港</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亭下</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交见圩</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781.2</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77</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梧桐坑</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陈坞</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梧桐</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145.0</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32.1</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标溪</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苦竹尖</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标溪</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363.9</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43.9</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大赤坑</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后垄</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大赤坑口</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85.8</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17.1</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鹤溪</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梨树岙</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鹤溪口</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51.1</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15.3</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章坑</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白云山</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景泰交界</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224.2</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21.9</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炉西坑</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茗源</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坑口</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202.3</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38.3</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82"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大顺溪</w:t>
            </w:r>
          </w:p>
        </w:tc>
        <w:tc>
          <w:tcPr>
            <w:tcW w:w="1479"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黄泥坦</w:t>
            </w:r>
          </w:p>
        </w:tc>
        <w:tc>
          <w:tcPr>
            <w:tcW w:w="128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大顺</w:t>
            </w:r>
          </w:p>
        </w:tc>
        <w:tc>
          <w:tcPr>
            <w:tcW w:w="1807"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156.0</w:t>
            </w:r>
          </w:p>
        </w:tc>
        <w:tc>
          <w:tcPr>
            <w:tcW w:w="127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32.4</w:t>
            </w:r>
          </w:p>
        </w:tc>
        <w:tc>
          <w:tcPr>
            <w:tcW w:w="1066" w:type="dxa"/>
            <w:vAlign w:val="center"/>
          </w:tcPr>
          <w:p>
            <w:pPr>
              <w:spacing w:line="320" w:lineRule="exact"/>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23.5</w:t>
            </w:r>
          </w:p>
        </w:tc>
      </w:tr>
    </w:tbl>
    <w:p>
      <w:pPr>
        <w:pStyle w:val="4"/>
        <w:spacing w:before="60" w:beforeLines="25" w:after="0" w:line="360" w:lineRule="auto"/>
        <w:rPr>
          <w:color w:val="0D0D0D" w:themeColor="text1" w:themeTint="F2"/>
          <w:sz w:val="28"/>
          <w:szCs w:val="28"/>
          <w:highlight w:val="none"/>
          <w14:textFill>
            <w14:solidFill>
              <w14:schemeClr w14:val="tx1">
                <w14:lumMod w14:val="95000"/>
                <w14:lumOff w14:val="5000"/>
              </w14:schemeClr>
            </w14:solidFill>
          </w14:textFill>
        </w:rPr>
      </w:pPr>
      <w:r>
        <w:rPr>
          <w:color w:val="0D0D0D" w:themeColor="text1" w:themeTint="F2"/>
          <w:sz w:val="28"/>
          <w:szCs w:val="28"/>
          <w:highlight w:val="none"/>
          <w14:textFill>
            <w14:solidFill>
              <w14:schemeClr w14:val="tx1">
                <w14:lumMod w14:val="95000"/>
                <w14:lumOff w14:val="5000"/>
              </w14:schemeClr>
            </w14:solidFill>
          </w14:textFill>
        </w:rPr>
        <w:t>2.2.4</w:t>
      </w:r>
      <w:r>
        <w:rPr>
          <w:rFonts w:hint="eastAsia"/>
          <w:color w:val="0D0D0D" w:themeColor="text1" w:themeTint="F2"/>
          <w:sz w:val="28"/>
          <w:szCs w:val="28"/>
          <w:highlight w:val="none"/>
          <w14:textFill>
            <w14:solidFill>
              <w14:schemeClr w14:val="tx1">
                <w14:lumMod w14:val="95000"/>
                <w14:lumOff w14:val="5000"/>
              </w14:schemeClr>
            </w14:solidFill>
          </w14:textFill>
        </w:rPr>
        <w:t xml:space="preserve"> </w:t>
      </w:r>
      <w:r>
        <w:rPr>
          <w:color w:val="0D0D0D" w:themeColor="text1" w:themeTint="F2"/>
          <w:sz w:val="28"/>
          <w:szCs w:val="28"/>
          <w:highlight w:val="none"/>
          <w14:textFill>
            <w14:solidFill>
              <w14:schemeClr w14:val="tx1">
                <w14:lumMod w14:val="95000"/>
                <w14:lumOff w14:val="5000"/>
              </w14:schemeClr>
            </w14:solidFill>
          </w14:textFill>
        </w:rPr>
        <w:t>气候特征</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景宁畲族自治县属中亚热带季风气候</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温暖湿润</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雨量充沛</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四季分明</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冬夏长</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春秋短</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热量资源丰富。因地形复杂,海拔高度悬殊,气候存在着垂直地带。据县气象部门测计</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县城年平均气温17.5℃。其内海拔每升高100米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年平均气温约降低0.59℃。100米以下的河谷地区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年平均气温18℃左右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200-300米的丘陵地区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年平均气温17℃左右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400-600米的丘陵低山区年平均气温15——16℃左右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800——1000米以上的地区年平均气温14-12℃左右。一月份为全年最冷月</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月平均气温6.6℃；七月份为全年最热月</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月平均气温为27.7℃</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县域极端最低气温-8.3℃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一般年份极端最低气温为–3—-4℃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极端最高气温为40.5℃</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一般年份为38℃左右。年平均无霜期为241天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最长259天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最短230天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平均初霜期为11月中下旬</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终霜期为3月份的上旬。年平均降水量为1542.7毫米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年日照时数1774.4小时</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年太阳辐射量102.2千卡/平方厘米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年平均日照百分率仅为40%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为全省日照时数最少的县之一。</w:t>
      </w:r>
    </w:p>
    <w:p>
      <w:pPr>
        <w:pStyle w:val="4"/>
        <w:spacing w:before="120" w:beforeLines="50" w:after="0" w:line="360" w:lineRule="auto"/>
        <w:rPr>
          <w:color w:val="0D0D0D" w:themeColor="text1" w:themeTint="F2"/>
          <w:sz w:val="28"/>
          <w:szCs w:val="28"/>
          <w:highlight w:val="none"/>
          <w14:textFill>
            <w14:solidFill>
              <w14:schemeClr w14:val="tx1">
                <w14:lumMod w14:val="95000"/>
                <w14:lumOff w14:val="5000"/>
              </w14:schemeClr>
            </w14:solidFill>
          </w14:textFill>
        </w:rPr>
      </w:pPr>
      <w:r>
        <w:rPr>
          <w:color w:val="0D0D0D" w:themeColor="text1" w:themeTint="F2"/>
          <w:sz w:val="28"/>
          <w:szCs w:val="28"/>
          <w:highlight w:val="none"/>
          <w14:textFill>
            <w14:solidFill>
              <w14:schemeClr w14:val="tx1">
                <w14:lumMod w14:val="95000"/>
                <w14:lumOff w14:val="5000"/>
              </w14:schemeClr>
            </w14:solidFill>
          </w14:textFill>
        </w:rPr>
        <w:t xml:space="preserve">2.2.5 </w:t>
      </w:r>
      <w:r>
        <w:rPr>
          <w:rFonts w:hint="eastAsia"/>
          <w:color w:val="0D0D0D" w:themeColor="text1" w:themeTint="F2"/>
          <w:sz w:val="28"/>
          <w:szCs w:val="28"/>
          <w:highlight w:val="none"/>
          <w14:textFill>
            <w14:solidFill>
              <w14:schemeClr w14:val="tx1">
                <w14:lumMod w14:val="95000"/>
                <w14:lumOff w14:val="5000"/>
              </w14:schemeClr>
            </w14:solidFill>
          </w14:textFill>
        </w:rPr>
        <w:t>自然资源</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1、</w:t>
      </w:r>
      <w:r>
        <w:rPr>
          <w:b/>
          <w:bCs/>
          <w:color w:val="0D0D0D" w:themeColor="text1" w:themeTint="F2"/>
          <w:szCs w:val="28"/>
          <w:highlight w:val="none"/>
          <w14:textFill>
            <w14:solidFill>
              <w14:schemeClr w14:val="tx1">
                <w14:lumMod w14:val="95000"/>
                <w14:lumOff w14:val="5000"/>
              </w14:schemeClr>
            </w14:solidFill>
          </w14:textFill>
        </w:rPr>
        <w:t>土地资源</w:t>
      </w:r>
    </w:p>
    <w:p>
      <w:pPr>
        <w:spacing w:line="360" w:lineRule="auto"/>
        <w:ind w:firstLine="560" w:firstLineChars="200"/>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根据201</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9</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年景宁县土地利用变更调查数据，全县区域总面积为</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193883.57</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公顷，其中农用地面积为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179907.94</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公顷，占土地总面积的</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92.79</w:t>
      </w:r>
      <w:r>
        <w:rPr>
          <w:rFonts w:hint="default" w:ascii="Times New Roman" w:hAnsi="Times New Roman" w:eastAsia="仿宋_GB2312" w:cs="Times New Roman"/>
          <w:color w:val="0D0D0D" w:themeColor="text1" w:themeTint="F2"/>
          <w:kern w:val="0"/>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，建设用地面积为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9345.9</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公顷，占土地总面积的</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4.82%</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其他</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土地面积为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4629.73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公顷，占土地总面积的</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2.3</w:t>
      </w:r>
      <w:r>
        <w:rPr>
          <w:rFonts w:hint="eastAsia"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9</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p>
    <w:p>
      <w:pPr>
        <w:spacing w:line="360" w:lineRule="auto"/>
        <w:ind w:firstLine="560" w:firstLineChars="200"/>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sz w:val="28"/>
          <w:szCs w:val="28"/>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1</w:t>
      </w:r>
      <w:r>
        <w:rPr>
          <w:rFonts w:hint="eastAsia" w:cs="Times New Roman"/>
          <w:color w:val="0D0D0D" w:themeColor="text1" w:themeTint="F2"/>
          <w:sz w:val="28"/>
          <w:szCs w:val="28"/>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农用地中，</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湿地面积为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51.34公顷，占农用地总面积</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0.03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%耕地面积为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15983.53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公顷，占农用地总面积</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8.88</w:t>
      </w:r>
      <w:r>
        <w:rPr>
          <w:rFonts w:hint="default" w:ascii="Times New Roman" w:hAnsi="Times New Roman" w:eastAsia="仿宋_GB2312" w:cs="Times New Roman"/>
          <w:color w:val="0D0D0D" w:themeColor="text1" w:themeTint="F2"/>
          <w:kern w:val="0"/>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；园地面积</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3089</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公顷，占农用地总面积</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1.72</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%；林地面积</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159927.15</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公顷，占农用地总面积</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88.89</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%；草地面积</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856.92</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公顷，占农用地总面积0.</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48</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eastAsia" w:cs="Times New Roman"/>
          <w:color w:val="0D0D0D" w:themeColor="text1" w:themeTint="F2"/>
          <w:sz w:val="28"/>
          <w:szCs w:val="28"/>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2</w:t>
      </w:r>
      <w:r>
        <w:rPr>
          <w:rFonts w:hint="eastAsia" w:cs="Times New Roman"/>
          <w:color w:val="0D0D0D" w:themeColor="text1" w:themeTint="F2"/>
          <w:sz w:val="28"/>
          <w:szCs w:val="28"/>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建设用地包括</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商业服务用地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工矿用地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交通运输</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等用地，其中</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商业服务业用地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57.53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0.62</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工矿用地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141.16</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1.51</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14:textFill>
            <w14:solidFill>
              <w14:schemeClr w14:val="tx1">
                <w14:lumMod w14:val="95000"/>
                <w14:lumOff w14:val="5000"/>
              </w14:schemeClr>
            </w14:solidFill>
          </w14:textFill>
        </w:rPr>
        <w:t>住宅用地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1381.69</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14.78</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14:textFill>
            <w14:solidFill>
              <w14:schemeClr w14:val="tx1">
                <w14:lumMod w14:val="95000"/>
                <w14:lumOff w14:val="5000"/>
              </w14:schemeClr>
            </w14:solidFill>
          </w14:textFill>
        </w:rPr>
        <w:t>公共管理与公共服务用地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197.21</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2.11</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特殊用地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57.45</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0.61</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lang w:val="en-US" w:eastAsia="zh-CN"/>
          <w14:textFill>
            <w14:solidFill>
              <w14:schemeClr w14:val="tx1">
                <w14:lumMod w14:val="95000"/>
                <w14:lumOff w14:val="5000"/>
              </w14:schemeClr>
            </w14:solidFill>
          </w14:textFill>
        </w:rPr>
        <w:t>交通运输用地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1697.43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18.16</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kern w:val="0"/>
          <w:sz w:val="28"/>
          <w:szCs w:val="28"/>
          <w:highlight w:val="none"/>
          <w14:textFill>
            <w14:solidFill>
              <w14:schemeClr w14:val="tx1">
                <w14:lumMod w14:val="95000"/>
                <w14:lumOff w14:val="5000"/>
              </w14:schemeClr>
            </w14:solidFill>
          </w14:textFill>
        </w:rPr>
        <w:t>水域及水利设施用地</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面积为</w:t>
      </w:r>
      <w:r>
        <w:rPr>
          <w:rFonts w:hint="default" w:ascii="Times New Roman" w:hAnsi="Times New Roman" w:eastAsia="仿宋_GB2312" w:cs="Times New Roman"/>
          <w:i w:val="0"/>
          <w:color w:val="0D0D0D" w:themeColor="text1" w:themeTint="F2"/>
          <w:kern w:val="0"/>
          <w:sz w:val="28"/>
          <w:szCs w:val="28"/>
          <w:highlight w:val="none"/>
          <w:u w:val="none"/>
          <w:lang w:val="en-US" w:eastAsia="zh-CN" w:bidi="ar"/>
          <w14:textFill>
            <w14:solidFill>
              <w14:schemeClr w14:val="tx1">
                <w14:lumMod w14:val="95000"/>
                <w14:lumOff w14:val="5000"/>
              </w14:schemeClr>
            </w14:solidFill>
          </w14:textFill>
        </w:rPr>
        <w:t>5813.43</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公顷，占建设用地面积的</w:t>
      </w:r>
      <w:r>
        <w:rPr>
          <w:rFonts w:hint="default" w:ascii="Times New Roman" w:hAnsi="Times New Roman" w:eastAsia="仿宋_GB2312" w:cs="Times New Roman"/>
          <w:color w:val="0D0D0D" w:themeColor="text1" w:themeTint="F2"/>
          <w:sz w:val="28"/>
          <w:szCs w:val="28"/>
          <w:highlight w:val="none"/>
          <w:lang w:val="en-US" w:eastAsia="zh-CN"/>
          <w14:textFill>
            <w14:solidFill>
              <w14:schemeClr w14:val="tx1">
                <w14:lumMod w14:val="95000"/>
                <w14:lumOff w14:val="5000"/>
              </w14:schemeClr>
            </w14:solidFill>
          </w14:textFill>
        </w:rPr>
        <w:t>62.20</w:t>
      </w:r>
      <w:r>
        <w:rPr>
          <w:rFonts w:hint="default" w:ascii="Times New Roman" w:hAnsi="Times New Roman" w:eastAsia="仿宋_GB2312" w:cs="Times New Roman"/>
          <w:color w:val="0D0D0D" w:themeColor="text1" w:themeTint="F2"/>
          <w:sz w:val="28"/>
          <w:szCs w:val="28"/>
          <w:highlight w:val="none"/>
          <w14:textFill>
            <w14:solidFill>
              <w14:schemeClr w14:val="tx1">
                <w14:lumMod w14:val="95000"/>
                <w14:lumOff w14:val="5000"/>
              </w14:schemeClr>
            </w14:solidFill>
          </w14:textFill>
        </w:rPr>
        <w:t>%</w:t>
      </w:r>
      <w:r>
        <w:rPr>
          <w:rFonts w:hint="default" w:ascii="Times New Roman" w:hAnsi="Times New Roman" w:eastAsia="仿宋_GB2312" w:cs="Times New Roman"/>
          <w:color w:val="0D0D0D" w:themeColor="text1" w:themeTint="F2"/>
          <w:sz w:val="28"/>
          <w:szCs w:val="28"/>
          <w:highlight w:val="none"/>
          <w:lang w:eastAsia="zh-CN"/>
          <w14:textFill>
            <w14:solidFill>
              <w14:schemeClr w14:val="tx1">
                <w14:lumMod w14:val="95000"/>
                <w14:lumOff w14:val="5000"/>
              </w14:schemeClr>
            </w14:solidFill>
          </w14:textFill>
        </w:rPr>
        <w:t>。</w:t>
      </w:r>
    </w:p>
    <w:p>
      <w:pPr>
        <w:spacing w:after="60" w:afterLines="25" w:line="480" w:lineRule="exact"/>
        <w:jc w:val="center"/>
        <w:rPr>
          <w:color w:val="0D0D0D" w:themeColor="text1" w:themeTint="F2"/>
          <w:sz w:val="22"/>
          <w:szCs w:val="21"/>
          <w:highlight w:val="none"/>
          <w14:textFill>
            <w14:solidFill>
              <w14:schemeClr w14:val="tx1">
                <w14:lumMod w14:val="95000"/>
                <w14:lumOff w14:val="5000"/>
              </w14:schemeClr>
            </w14:solidFill>
          </w14:textFill>
        </w:rPr>
      </w:pPr>
      <w:r>
        <w:rPr>
          <w:rFonts w:hint="eastAsia"/>
          <w:b/>
          <w:color w:val="0D0D0D" w:themeColor="text1" w:themeTint="F2"/>
          <w:sz w:val="24"/>
          <w:szCs w:val="20"/>
          <w:highlight w:val="none"/>
          <w14:textFill>
            <w14:solidFill>
              <w14:schemeClr w14:val="tx1">
                <w14:lumMod w14:val="95000"/>
                <w14:lumOff w14:val="5000"/>
              </w14:schemeClr>
            </w14:solidFill>
          </w14:textFill>
        </w:rPr>
        <w:t>表2</w:t>
      </w:r>
      <w:r>
        <w:rPr>
          <w:b/>
          <w:color w:val="0D0D0D" w:themeColor="text1" w:themeTint="F2"/>
          <w:sz w:val="24"/>
          <w:szCs w:val="20"/>
          <w:highlight w:val="none"/>
          <w14:textFill>
            <w14:solidFill>
              <w14:schemeClr w14:val="tx1">
                <w14:lumMod w14:val="95000"/>
                <w14:lumOff w14:val="5000"/>
              </w14:schemeClr>
            </w14:solidFill>
          </w14:textFill>
        </w:rPr>
        <w:t>-</w:t>
      </w:r>
      <w:r>
        <w:rPr>
          <w:rFonts w:hint="eastAsia"/>
          <w:b/>
          <w:color w:val="0D0D0D" w:themeColor="text1" w:themeTint="F2"/>
          <w:sz w:val="24"/>
          <w:szCs w:val="20"/>
          <w:highlight w:val="none"/>
          <w:lang w:val="en-US" w:eastAsia="zh-CN"/>
          <w14:textFill>
            <w14:solidFill>
              <w14:schemeClr w14:val="tx1">
                <w14:lumMod w14:val="95000"/>
                <w14:lumOff w14:val="5000"/>
              </w14:schemeClr>
            </w14:solidFill>
          </w14:textFill>
        </w:rPr>
        <w:t>2</w:t>
      </w:r>
      <w:r>
        <w:rPr>
          <w:b/>
          <w:color w:val="0D0D0D" w:themeColor="text1" w:themeTint="F2"/>
          <w:sz w:val="24"/>
          <w:szCs w:val="20"/>
          <w:highlight w:val="none"/>
          <w14:textFill>
            <w14:solidFill>
              <w14:schemeClr w14:val="tx1">
                <w14:lumMod w14:val="95000"/>
                <w14:lumOff w14:val="5000"/>
              </w14:schemeClr>
            </w14:solidFill>
          </w14:textFill>
        </w:rPr>
        <w:t xml:space="preserve"> 201</w:t>
      </w:r>
      <w:r>
        <w:rPr>
          <w:rFonts w:hint="eastAsia"/>
          <w:b/>
          <w:color w:val="0D0D0D" w:themeColor="text1" w:themeTint="F2"/>
          <w:sz w:val="24"/>
          <w:szCs w:val="20"/>
          <w:highlight w:val="none"/>
          <w:lang w:val="en-US" w:eastAsia="zh-CN"/>
          <w14:textFill>
            <w14:solidFill>
              <w14:schemeClr w14:val="tx1">
                <w14:lumMod w14:val="95000"/>
                <w14:lumOff w14:val="5000"/>
              </w14:schemeClr>
            </w14:solidFill>
          </w14:textFill>
        </w:rPr>
        <w:t>9</w:t>
      </w:r>
      <w:r>
        <w:rPr>
          <w:rFonts w:hint="eastAsia"/>
          <w:b/>
          <w:color w:val="0D0D0D" w:themeColor="text1" w:themeTint="F2"/>
          <w:sz w:val="24"/>
          <w:szCs w:val="20"/>
          <w:highlight w:val="none"/>
          <w14:textFill>
            <w14:solidFill>
              <w14:schemeClr w14:val="tx1">
                <w14:lumMod w14:val="95000"/>
                <w14:lumOff w14:val="5000"/>
              </w14:schemeClr>
            </w14:solidFill>
          </w14:textFill>
        </w:rPr>
        <w:t>年景宁畲族自治县土地利用结构</w:t>
      </w:r>
    </w:p>
    <w:tbl>
      <w:tblPr>
        <w:tblStyle w:val="18"/>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629"/>
        <w:gridCol w:w="2641"/>
        <w:gridCol w:w="1431"/>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256"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地类</w:t>
            </w:r>
          </w:p>
        </w:tc>
        <w:tc>
          <w:tcPr>
            <w:tcW w:w="3103"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201</w:t>
            </w:r>
            <w:r>
              <w:rPr>
                <w:rFonts w:hint="default" w:ascii="Times New Roman" w:hAnsi="Times New Roman" w:eastAsia="仿宋_GB2312" w:cs="Times New Roman"/>
                <w:b/>
                <w:bCs/>
                <w:color w:val="0D0D0D" w:themeColor="text1" w:themeTint="F2"/>
                <w:kern w:val="0"/>
                <w:sz w:val="24"/>
                <w:szCs w:val="24"/>
                <w:highlight w:val="none"/>
                <w:lang w:val="en-US" w:eastAsia="zh-CN"/>
                <w14:textFill>
                  <w14:solidFill>
                    <w14:schemeClr w14:val="tx1">
                      <w14:lumMod w14:val="95000"/>
                      <w14:lumOff w14:val="5000"/>
                    </w14:schemeClr>
                  </w14:solidFill>
                </w14:textFill>
              </w:rPr>
              <w:t>9</w:t>
            </w: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256" w:type="dxa"/>
            <w:gridSpan w:val="3"/>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公顷</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仿宋_GB2312"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比重</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25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土地总面积</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193883.57</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农用地</w:t>
            </w: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湿地</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51.34</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0.03</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耕地</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15983.53</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8.24</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sz w:val="24"/>
                <w:szCs w:val="24"/>
                <w:highlight w:val="none"/>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园地</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3089.00</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1.59</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林地</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159927.15</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82.49</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草地</w:t>
            </w:r>
          </w:p>
        </w:tc>
        <w:tc>
          <w:tcPr>
            <w:tcW w:w="143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856.92</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0.</w:t>
            </w: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44</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农用地合计</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179907.94</w:t>
            </w:r>
          </w:p>
        </w:tc>
        <w:tc>
          <w:tcPr>
            <w:tcW w:w="16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92.79</w:t>
            </w: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建设</w:t>
            </w:r>
          </w:p>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用地</w:t>
            </w: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商业服务业用地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57.53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商业服务业设施用地</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51.02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物流仓储用地</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6.51</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工矿用地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141.16</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工业用地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112.70</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采矿用地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28.46</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住宅用地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1381.69</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城镇住宅用地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324.16</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农村宅基地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1057.53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公共管理与公共服务用地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197.21</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机关团体新闻出版用地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53.64</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科教文卫用地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99.80</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公用设施用地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34.25</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公园与绿地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9.52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特殊用地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57.45</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交通运输用地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1697.43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公路用地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535.52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城镇村道路用地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96.52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交通服务场站用地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18.77</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农村道路</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1044.05</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港口码头用地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1.18</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管道运输用地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1.39</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水域及水利设施用地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5813.43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河流水面</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2097.83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水库水面</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3532.92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坑塘水面</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71.41</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沟渠</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32.70</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162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水工建筑用地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78.57</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86"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p>
        </w:tc>
        <w:tc>
          <w:tcPr>
            <w:tcW w:w="427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建设用地合计</w:t>
            </w:r>
          </w:p>
        </w:tc>
        <w:tc>
          <w:tcPr>
            <w:tcW w:w="14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9345.90</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15" w:type="dxa"/>
            <w:gridSpan w:val="2"/>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其他土地</w:t>
            </w: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小计</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4629.73</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15"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空闲地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0.65</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15"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设施农用地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108.96</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15"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田坎</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4494.52</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15"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裸土地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10.21</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5"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p>
        </w:tc>
        <w:tc>
          <w:tcPr>
            <w:tcW w:w="264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裸岩石砾地</w:t>
            </w:r>
          </w:p>
        </w:tc>
        <w:tc>
          <w:tcPr>
            <w:tcW w:w="14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color w:val="0D0D0D" w:themeColor="text1" w:themeTint="F2"/>
                <w:kern w:val="2"/>
                <w:sz w:val="24"/>
                <w:szCs w:val="24"/>
                <w:highlight w:val="none"/>
                <w:u w:val="none"/>
                <w:lang w:val="en-US" w:eastAsia="zh-CN" w:bidi="ar-SA"/>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15.39</w:t>
            </w:r>
          </w:p>
        </w:tc>
        <w:tc>
          <w:tcPr>
            <w:tcW w:w="16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i w:val="0"/>
                <w:color w:val="0D0D0D" w:themeColor="text1" w:themeTint="F2"/>
                <w:kern w:val="0"/>
                <w:sz w:val="24"/>
                <w:szCs w:val="24"/>
                <w:highlight w:val="none"/>
                <w:u w:val="none"/>
                <w:lang w:val="en-US" w:eastAsia="zh-CN" w:bidi="ar"/>
                <w14:textFill>
                  <w14:solidFill>
                    <w14:schemeClr w14:val="tx1">
                      <w14:lumMod w14:val="95000"/>
                      <w14:lumOff w14:val="5000"/>
                    </w14:schemeClr>
                  </w14:solidFill>
                </w14:textFill>
              </w:rPr>
              <w:t>0.008%</w:t>
            </w:r>
          </w:p>
        </w:tc>
      </w:tr>
    </w:tbl>
    <w:p>
      <w:pPr>
        <w:spacing w:line="40" w:lineRule="exact"/>
        <w:rPr>
          <w:color w:val="0D0D0D" w:themeColor="text1" w:themeTint="F2"/>
          <w:szCs w:val="28"/>
          <w:highlight w:val="none"/>
          <w14:textFill>
            <w14:solidFill>
              <w14:schemeClr w14:val="tx1">
                <w14:lumMod w14:val="95000"/>
                <w14:lumOff w14:val="5000"/>
              </w14:schemeClr>
            </w14:solidFill>
          </w14:textFill>
        </w:rPr>
      </w:pPr>
    </w:p>
    <w:p>
      <w:pPr>
        <w:spacing w:line="20" w:lineRule="exact"/>
        <w:ind w:firstLine="560" w:firstLineChars="200"/>
        <w:rPr>
          <w:color w:val="0D0D0D" w:themeColor="text1" w:themeTint="F2"/>
          <w:szCs w:val="28"/>
          <w:highlight w:val="none"/>
          <w14:textFill>
            <w14:solidFill>
              <w14:schemeClr w14:val="tx1">
                <w14:lumMod w14:val="95000"/>
                <w14:lumOff w14:val="5000"/>
              </w14:schemeClr>
            </w14:solidFill>
          </w14:textFill>
        </w:rPr>
        <w:sectPr>
          <w:footerReference r:id="rId8" w:type="default"/>
          <w:pgSz w:w="11907" w:h="16840"/>
          <w:pgMar w:top="1440" w:right="1797" w:bottom="1440" w:left="1797" w:header="851" w:footer="992" w:gutter="0"/>
          <w:pgNumType w:fmt="decimal" w:start="1"/>
          <w:cols w:space="425" w:num="1"/>
          <w:docGrid w:linePitch="387" w:charSpace="1355"/>
        </w:sect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5" w:hRule="atLeast"/>
          <w:jc w:val="center"/>
        </w:trPr>
        <w:tc>
          <w:tcPr>
            <w:tcW w:w="13948" w:type="dxa"/>
          </w:tcPr>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6529705" cy="4799330"/>
                  <wp:effectExtent l="25400" t="25400" r="23495" b="266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cstate="print">
                            <a:extLst>
                              <a:ext uri="{28A0092B-C50C-407E-A947-70E740481C1C}">
                                <a14:useLocalDpi xmlns:a14="http://schemas.microsoft.com/office/drawing/2010/main" val="0"/>
                              </a:ext>
                            </a:extLst>
                          </a:blip>
                          <a:srcRect l="3905" t="6240" r="3746" b="4560"/>
                          <a:stretch>
                            <a:fillRect/>
                          </a:stretch>
                        </pic:blipFill>
                        <pic:spPr>
                          <a:xfrm>
                            <a:off x="0" y="0"/>
                            <a:ext cx="6537773" cy="4804951"/>
                          </a:xfrm>
                          <a:prstGeom prst="rect">
                            <a:avLst/>
                          </a:prstGeom>
                          <a:ln w="635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948" w:type="dxa"/>
          </w:tcPr>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图2-</w:t>
            </w:r>
            <w:r>
              <w:rPr>
                <w:rFonts w:hint="eastAsia"/>
                <w:b/>
                <w:bCs/>
                <w:color w:val="0D0D0D" w:themeColor="text1" w:themeTint="F2"/>
                <w:szCs w:val="28"/>
                <w:highlight w:val="none"/>
                <w:lang w:val="en-US" w:eastAsia="zh-CN"/>
                <w14:textFill>
                  <w14:solidFill>
                    <w14:schemeClr w14:val="tx1">
                      <w14:lumMod w14:val="95000"/>
                      <w14:lumOff w14:val="5000"/>
                    </w14:schemeClr>
                  </w14:solidFill>
                </w14:textFill>
              </w:rPr>
              <w:t>1</w:t>
            </w:r>
            <w:r>
              <w:rPr>
                <w:b/>
                <w:bCs/>
                <w:color w:val="0D0D0D" w:themeColor="text1" w:themeTint="F2"/>
                <w:szCs w:val="28"/>
                <w:highlight w:val="none"/>
                <w14:textFill>
                  <w14:solidFill>
                    <w14:schemeClr w14:val="tx1">
                      <w14:lumMod w14:val="95000"/>
                      <w14:lumOff w14:val="5000"/>
                    </w14:schemeClr>
                  </w14:solidFill>
                </w14:textFill>
              </w:rPr>
              <w:t xml:space="preserve"> 景宁畲族自治县土地利用现状图</w:t>
            </w:r>
          </w:p>
        </w:tc>
      </w:tr>
    </w:tbl>
    <w:p>
      <w:pPr>
        <w:spacing w:line="360" w:lineRule="auto"/>
        <w:rPr>
          <w:color w:val="0D0D0D" w:themeColor="text1" w:themeTint="F2"/>
          <w:szCs w:val="28"/>
          <w:highlight w:val="none"/>
          <w14:textFill>
            <w14:solidFill>
              <w14:schemeClr w14:val="tx1">
                <w14:lumMod w14:val="95000"/>
                <w14:lumOff w14:val="5000"/>
              </w14:schemeClr>
            </w14:solidFill>
          </w14:textFill>
        </w:rPr>
        <w:sectPr>
          <w:pgSz w:w="16840" w:h="11907"/>
          <w:pgMar w:top="1440" w:right="1800" w:bottom="1440" w:left="1800" w:header="851" w:footer="992" w:gutter="0"/>
          <w:pgNumType w:fmt="decimal"/>
          <w:cols w:space="425" w:num="1"/>
          <w:docGrid w:linePitch="381" w:charSpace="0"/>
        </w:sectPr>
      </w:pP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2、</w:t>
      </w:r>
      <w:r>
        <w:rPr>
          <w:b/>
          <w:bCs/>
          <w:color w:val="0D0D0D" w:themeColor="text1" w:themeTint="F2"/>
          <w:szCs w:val="28"/>
          <w:highlight w:val="none"/>
          <w14:textFill>
            <w14:solidFill>
              <w14:schemeClr w14:val="tx1">
                <w14:lumMod w14:val="95000"/>
                <w14:lumOff w14:val="5000"/>
              </w14:schemeClr>
            </w14:solidFill>
          </w14:textFill>
        </w:rPr>
        <w:t>森林资源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县属中亚热带常绿阔叶林北部亚地带，浙闽山丘甜槠、木荷林植被区。境内高等植物种类异常丰富，已知种子植物166科2163种，并且起源古老，地理成分复杂，还含有一些特有属和孓遗种，且有多样性和过渡性的自然地理成分分布特点，是浙江省具有生物多样性的典型县之一。代表性的森林类型是常绿阔叶林，以壳斗科、樟科、木兰科、山茶科和金缕梅科为主，乔木以青冈属、栲属、石栎属等为常见。灌木中也多常绿种类，常见的有冬青、柃木属和杜鹃等。草本植物有常绿的蕨类如狼衣、狗脊、金毛狗和苔草等。境内竹类植物也很丰富，据初步统计有50多种，其中毛竹占很大比重。在众多植物中，不但有优良的用材树种，还有许多重要的观赏树种和药用植物。</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3、</w:t>
      </w:r>
      <w:r>
        <w:rPr>
          <w:b/>
          <w:bCs/>
          <w:color w:val="0D0D0D" w:themeColor="text1" w:themeTint="F2"/>
          <w:szCs w:val="28"/>
          <w:highlight w:val="none"/>
          <w14:textFill>
            <w14:solidFill>
              <w14:schemeClr w14:val="tx1">
                <w14:lumMod w14:val="95000"/>
                <w14:lumOff w14:val="5000"/>
              </w14:schemeClr>
            </w14:solidFill>
          </w14:textFill>
        </w:rPr>
        <w:t>湿地资源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湿地资源丰富。</w:t>
      </w:r>
      <w:r>
        <w:rPr>
          <w:color w:val="0D0D0D" w:themeColor="text1" w:themeTint="F2"/>
          <w:szCs w:val="28"/>
          <w:highlight w:val="none"/>
          <w14:textFill>
            <w14:solidFill>
              <w14:schemeClr w14:val="tx1">
                <w14:lumMod w14:val="95000"/>
                <w14:lumOff w14:val="5000"/>
              </w14:schemeClr>
            </w14:solidFill>
          </w14:textFill>
        </w:rPr>
        <w:t>全县境内有三个较为集中的高山湿地群，望东洋高山湿地、大仰湖湿地、仰天湖湿地，总共湿地面积约1200多亩。最为突出的望东洋高山湿地，海拔1230米，面积达600多亩，湿地内的江南恺木林属省内罕见，绝无仅有，国内也属凤毛麟角，以高山湿地群为保护对象的保护区在全省至今仍是首例。</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4、</w:t>
      </w:r>
      <w:r>
        <w:rPr>
          <w:b/>
          <w:bCs/>
          <w:color w:val="0D0D0D" w:themeColor="text1" w:themeTint="F2"/>
          <w:szCs w:val="28"/>
          <w:highlight w:val="none"/>
          <w14:textFill>
            <w14:solidFill>
              <w14:schemeClr w14:val="tx1">
                <w14:lumMod w14:val="95000"/>
                <w14:lumOff w14:val="5000"/>
              </w14:schemeClr>
            </w14:solidFill>
          </w14:textFill>
        </w:rPr>
        <w:t>生物资源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动植物资源丰富，以上标望东洋湿地保护区最为突出，全县有植物178多科，691多属，1552余种。植被以马尾松、杉木等会叶林为主，夹杂着阔叶林和针阔混交林，竹林，灌丛、草甸等。林相多种，其中有国家重点保护植物伯乐树、南方红豆杉、鹅掌楸、福建柏、香果树、银杏、厚朴等30多种。野生动物有国家一类保护动物黑麂、白颈长尾雉、云豹、金雕、短尾猴等44种。全县共有脊椎动物31目，78科，272种。其中兽类8目，20科48种；鸟类15目40科162种；爬行类3目9科30种；两栖类2目5科18种；鱼类3目4科40多种。</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lang w:val="en-US" w:eastAsia="zh-CN"/>
          <w14:textFill>
            <w14:solidFill>
              <w14:schemeClr w14:val="tx1">
                <w14:lumMod w14:val="95000"/>
                <w14:lumOff w14:val="5000"/>
              </w14:schemeClr>
            </w14:solidFill>
          </w14:textFill>
        </w:rPr>
        <w:t>5</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旅游资源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县是畲族文化、廊桥文化、森林文化、农耕文化等的汇聚地之一，其中，畲族传统文化蕴涵深厚，形成了本民族特有的语言和文化体系，包含宗教信仰、民俗节庆、文化艺术、医疗体育等多方面多种形式，遗留下丰富灿烂的畲族文化遗产。景宁县山水风光秀丽迷人，旅游家誉之为“神奇畲乡，休闲胜地”，又称之为“浙江的西双版纳”、“华东的香格里拉”。目前，景宁县区域内已确定的旅游资源单体共计212个，有五级旅游单体2处，四级10处，有“华东第一峡”炉西峡、溪源湿地的典型代表望东</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垟</w:t>
      </w:r>
      <w:r>
        <w:rPr>
          <w:color w:val="0D0D0D" w:themeColor="text1" w:themeTint="F2"/>
          <w:szCs w:val="28"/>
          <w:highlight w:val="none"/>
          <w14:textFill>
            <w14:solidFill>
              <w14:schemeClr w14:val="tx1">
                <w14:lumMod w14:val="95000"/>
                <w14:lumOff w14:val="5000"/>
              </w14:schemeClr>
            </w14:solidFill>
          </w14:textFill>
        </w:rPr>
        <w:t>、地质公园九龙湾遗址，国家AAAA级景区“中国畲乡之窗”和“云中大</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漈</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，以及九重</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、古廊桥等自然人文景观，发展民族风情旅游业潜力巨大</w:t>
      </w:r>
      <w:bookmarkStart w:id="24" w:name="_Toc39133131"/>
      <w:bookmarkStart w:id="25" w:name="_Toc514167203"/>
      <w:r>
        <w:rPr>
          <w:rFonts w:hint="eastAsia"/>
          <w:color w:val="0D0D0D" w:themeColor="text1" w:themeTint="F2"/>
          <w:szCs w:val="28"/>
          <w:highlight w:val="none"/>
          <w14:textFill>
            <w14:solidFill>
              <w14:schemeClr w14:val="tx1">
                <w14:lumMod w14:val="95000"/>
                <w14:lumOff w14:val="5000"/>
              </w14:schemeClr>
            </w14:solidFill>
          </w14:textFill>
        </w:rPr>
        <w:t>。</w:t>
      </w:r>
    </w:p>
    <w:p>
      <w:pPr>
        <w:pStyle w:val="3"/>
        <w:spacing w:before="120"/>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26" w:name="_Toc22184"/>
      <w:r>
        <w:rPr>
          <w:rFonts w:eastAsia="仿宋_GB2312"/>
          <w:color w:val="0D0D0D" w:themeColor="text1" w:themeTint="F2"/>
          <w:sz w:val="28"/>
          <w:szCs w:val="28"/>
          <w:highlight w:val="none"/>
          <w14:textFill>
            <w14:solidFill>
              <w14:schemeClr w14:val="tx1">
                <w14:lumMod w14:val="95000"/>
                <w14:lumOff w14:val="5000"/>
              </w14:schemeClr>
            </w14:solidFill>
          </w14:textFill>
        </w:rPr>
        <w:t>2.2 社会经济</w:t>
      </w:r>
      <w:bookmarkEnd w:id="24"/>
      <w:bookmarkEnd w:id="25"/>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现状</w:t>
      </w:r>
      <w:bookmarkEnd w:id="26"/>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1、行政区划与人口</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景宁下辖4镇2街道15个乡，包括红星街道、鹤溪街道2个街道，英川镇、渤海镇、东坑镇、沙湾镇4个镇及景南乡、澄照乡、毛</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垟</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乡、秋炉乡、大地乡、梅岐乡、郑坑乡、大均乡、梧桐乡、大</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漈</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乡、标溪乡、家地乡、鸬鹚乡、雁溪乡、九龙乡</w:t>
      </w:r>
      <w:r>
        <w:rPr>
          <w:rFonts w:hint="eastAsia"/>
          <w:color w:val="0D0D0D" w:themeColor="text1" w:themeTint="F2"/>
          <w:szCs w:val="28"/>
          <w:highlight w:val="none"/>
          <w14:textFill>
            <w14:solidFill>
              <w14:schemeClr w14:val="tx1">
                <w14:lumMod w14:val="95000"/>
                <w14:lumOff w14:val="5000"/>
              </w14:schemeClr>
            </w14:solidFill>
          </w14:textFill>
        </w:rPr>
        <w:t>15个乡。另有6个社区、136个行政村。</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2019年，景宁县户籍人口数17.02万人，其中城镇人口3.22万人，乡村人口13.80万人；全年人口自然增长率1.88‰，出生率8.99‰，死亡率7.12‰；常住人口11.21万人，城市化率达到55.6%。</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、社会经济发展现状</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近年来，在县政府决策部署下，景宁坚持走“绿水青山就是金山银山”的绿色生态发展之路，主动适应引领新常态，以新理念指导新实践，加快推进转型升级，加大固定资产投资力度，努力化解生态环境治理、强力推进污染企业整治阵痛等压力，大力推进第三产业加快发展，全县经济持续平稳健康发展，社会保持和谐稳定。</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国民经济稳定增长，2019年景宁县生产总值69.01亿元，按可比价计算，比上年增长9.2%。其中，第一、二、三产业增加值分别实现6.42亿元、17.04亿元、45.55亿元，分别同比增长2.9%、2.9%、13.0%。三次产业结构由上年的9.9</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26.5</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63.6调整为9.3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24.7</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66，产业结构逐步优化</w:t>
      </w:r>
      <w:r>
        <w:rPr>
          <w:rFonts w:hint="eastAsia"/>
          <w:color w:val="0D0D0D" w:themeColor="text1" w:themeTint="F2"/>
          <w:szCs w:val="28"/>
          <w:highlight w:val="none"/>
          <w14:textFill>
            <w14:solidFill>
              <w14:schemeClr w14:val="tx1">
                <w14:lumMod w14:val="95000"/>
                <w14:lumOff w14:val="5000"/>
              </w14:schemeClr>
            </w14:solidFill>
          </w14:textFill>
        </w:rPr>
        <w:t>，第三产业比重比上年提高了2</w:t>
      </w: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个百分点。</w:t>
      </w:r>
      <w:r>
        <w:rPr>
          <w:color w:val="0D0D0D" w:themeColor="text1" w:themeTint="F2"/>
          <w:szCs w:val="28"/>
          <w:highlight w:val="none"/>
          <w14:textFill>
            <w14:solidFill>
              <w14:schemeClr w14:val="tx1">
                <w14:lumMod w14:val="95000"/>
                <w14:lumOff w14:val="5000"/>
              </w14:schemeClr>
            </w14:solidFill>
          </w14:textFill>
        </w:rPr>
        <w:t>全县人均生产总值(按常住人口计算</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为62306元，同比增长7.6%。</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城乡居民收入同步较快提高，2019年城镇居民人均可支配收入达40014元，同比增长8.8%，农村居民人均可支配收入为20005元，同比增长10.1%，其中低收入农户人均可支配收入同比上升14.5%。</w:t>
      </w:r>
    </w:p>
    <w:p>
      <w:pPr>
        <w:pStyle w:val="3"/>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27" w:name="_Toc514167206"/>
      <w:bookmarkStart w:id="28" w:name="_Toc11606"/>
      <w:bookmarkStart w:id="29" w:name="_Toc39133134"/>
      <w:r>
        <w:rPr>
          <w:rFonts w:eastAsia="仿宋_GB2312"/>
          <w:color w:val="0D0D0D" w:themeColor="text1" w:themeTint="F2"/>
          <w:sz w:val="28"/>
          <w:szCs w:val="28"/>
          <w:highlight w:val="none"/>
          <w14:textFill>
            <w14:solidFill>
              <w14:schemeClr w14:val="tx1">
                <w14:lumMod w14:val="95000"/>
                <w14:lumOff w14:val="5000"/>
              </w14:schemeClr>
            </w14:solidFill>
          </w14:textFill>
        </w:rPr>
        <w:t>2.3 生态环境现状</w:t>
      </w:r>
      <w:bookmarkEnd w:id="27"/>
      <w:bookmarkEnd w:id="28"/>
      <w:bookmarkEnd w:id="29"/>
    </w:p>
    <w:p>
      <w:pPr>
        <w:pStyle w:val="4"/>
        <w:spacing w:before="0" w:after="95" w:afterLines="25" w:line="360" w:lineRule="auto"/>
        <w:rPr>
          <w:color w:val="0D0D0D" w:themeColor="text1" w:themeTint="F2"/>
          <w:sz w:val="28"/>
          <w:szCs w:val="28"/>
          <w:highlight w:val="none"/>
          <w14:textFill>
            <w14:solidFill>
              <w14:schemeClr w14:val="tx1">
                <w14:lumMod w14:val="95000"/>
                <w14:lumOff w14:val="5000"/>
              </w14:schemeClr>
            </w14:solidFill>
          </w14:textFill>
        </w:rPr>
      </w:pPr>
      <w:bookmarkStart w:id="30" w:name="_Toc514167207"/>
      <w:bookmarkStart w:id="31" w:name="_Toc39133135"/>
      <w:r>
        <w:rPr>
          <w:color w:val="0D0D0D" w:themeColor="text1" w:themeTint="F2"/>
          <w:sz w:val="28"/>
          <w:szCs w:val="28"/>
          <w:highlight w:val="none"/>
          <w14:textFill>
            <w14:solidFill>
              <w14:schemeClr w14:val="tx1">
                <w14:lumMod w14:val="95000"/>
                <w14:lumOff w14:val="5000"/>
              </w14:schemeClr>
            </w14:solidFill>
          </w14:textFill>
        </w:rPr>
        <w:t>2.3.1 环境空气质量现状</w:t>
      </w:r>
      <w:bookmarkEnd w:id="30"/>
      <w:bookmarkEnd w:id="31"/>
    </w:p>
    <w:p>
      <w:pPr>
        <w:spacing w:before="190" w:beforeLines="50" w:line="360" w:lineRule="auto"/>
        <w:ind w:firstLine="562" w:firstLineChars="200"/>
        <w:rPr>
          <w:rFonts w:hint="eastAsia" w:eastAsia="仿宋_GB2312"/>
          <w:b/>
          <w:bCs/>
          <w:color w:val="0D0D0D" w:themeColor="text1" w:themeTint="F2"/>
          <w:szCs w:val="28"/>
          <w:highlight w:val="none"/>
          <w:lang w:eastAsia="zh-CN"/>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1</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环境空气质量指数</w:t>
      </w:r>
      <w:r>
        <w:rPr>
          <w:rFonts w:hint="eastAsia"/>
          <w:b/>
          <w:bCs/>
          <w:color w:val="0D0D0D" w:themeColor="text1" w:themeTint="F2"/>
          <w:szCs w:val="28"/>
          <w:highlight w:val="none"/>
          <w:lang w:eastAsia="zh-CN"/>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AQI</w:t>
      </w:r>
      <w:r>
        <w:rPr>
          <w:rFonts w:hint="eastAsia"/>
          <w:b/>
          <w:bCs/>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2019年，</w:t>
      </w:r>
      <w:r>
        <w:rPr>
          <w:color w:val="0D0D0D" w:themeColor="text1" w:themeTint="F2"/>
          <w:szCs w:val="28"/>
          <w:highlight w:val="none"/>
          <w14:textFill>
            <w14:solidFill>
              <w14:schemeClr w14:val="tx1">
                <w14:lumMod w14:val="95000"/>
                <w14:lumOff w14:val="5000"/>
              </w14:schemeClr>
            </w14:solidFill>
          </w14:textFill>
        </w:rPr>
        <w:t>景宁县全年有效空气监测天数为3</w:t>
      </w:r>
      <w:r>
        <w:rPr>
          <w:rFonts w:hint="eastAsia"/>
          <w:color w:val="0D0D0D" w:themeColor="text1" w:themeTint="F2"/>
          <w:szCs w:val="28"/>
          <w:highlight w:val="none"/>
          <w14:textFill>
            <w14:solidFill>
              <w14:schemeClr w14:val="tx1">
                <w14:lumMod w14:val="95000"/>
                <w14:lumOff w14:val="5000"/>
              </w14:schemeClr>
            </w14:solidFill>
          </w14:textFill>
        </w:rPr>
        <w:t>62</w:t>
      </w:r>
      <w:r>
        <w:rPr>
          <w:color w:val="0D0D0D" w:themeColor="text1" w:themeTint="F2"/>
          <w:szCs w:val="28"/>
          <w:highlight w:val="none"/>
          <w14:textFill>
            <w14:solidFill>
              <w14:schemeClr w14:val="tx1">
                <w14:lumMod w14:val="95000"/>
                <w14:lumOff w14:val="5000"/>
              </w14:schemeClr>
            </w14:solidFill>
          </w14:textFill>
        </w:rPr>
        <w:t>天，</w:t>
      </w:r>
      <w:r>
        <w:rPr>
          <w:rFonts w:hint="eastAsia"/>
          <w:color w:val="0D0D0D" w:themeColor="text1" w:themeTint="F2"/>
          <w:szCs w:val="28"/>
          <w:highlight w:val="none"/>
          <w14:textFill>
            <w14:solidFill>
              <w14:schemeClr w14:val="tx1">
                <w14:lumMod w14:val="95000"/>
                <w14:lumOff w14:val="5000"/>
              </w14:schemeClr>
            </w14:solidFill>
          </w14:textFill>
        </w:rPr>
        <w:t>全县空气质量优良天数362天，空气质量指数</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AQI</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优良率100%，较2018年提高0.6个百分点，排名全省并列第1、全市并列第1，综合指数为2.56，排名全省第8，全市第4。主要污染指标PM</w:t>
      </w:r>
      <w:r>
        <w:rPr>
          <w:color w:val="0D0D0D" w:themeColor="text1" w:themeTint="F2"/>
          <w:szCs w:val="28"/>
          <w:highlight w:val="none"/>
          <w:vertAlign w:val="subscript"/>
          <w14:textFill>
            <w14:solidFill>
              <w14:schemeClr w14:val="tx1">
                <w14:lumMod w14:val="95000"/>
                <w14:lumOff w14:val="5000"/>
              </w14:schemeClr>
            </w14:solidFill>
          </w14:textFill>
        </w:rPr>
        <w:t>2.5</w:t>
      </w:r>
      <w:r>
        <w:rPr>
          <w:rFonts w:hint="eastAsia"/>
          <w:color w:val="0D0D0D" w:themeColor="text1" w:themeTint="F2"/>
          <w:szCs w:val="28"/>
          <w:highlight w:val="none"/>
          <w14:textFill>
            <w14:solidFill>
              <w14:schemeClr w14:val="tx1">
                <w14:lumMod w14:val="95000"/>
                <w14:lumOff w14:val="5000"/>
              </w14:schemeClr>
            </w14:solidFill>
          </w14:textFill>
        </w:rPr>
        <w:t>平均浓度为22ug/m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，达到国家二级标准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35ug/m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，全市排名并列第2、全省并列第4，其余五项污染物指标PM</w:t>
      </w:r>
      <w:r>
        <w:rPr>
          <w:color w:val="0D0D0D" w:themeColor="text1" w:themeTint="F2"/>
          <w:szCs w:val="28"/>
          <w:highlight w:val="none"/>
          <w:vertAlign w:val="subscript"/>
          <w14:textFill>
            <w14:solidFill>
              <w14:schemeClr w14:val="tx1">
                <w14:lumMod w14:val="95000"/>
                <w14:lumOff w14:val="5000"/>
              </w14:schemeClr>
            </w14:solidFill>
          </w14:textFill>
        </w:rPr>
        <w:t>10</w:t>
      </w:r>
      <w:r>
        <w:rPr>
          <w:rFonts w:hint="eastAsia"/>
          <w:color w:val="0D0D0D" w:themeColor="text1" w:themeTint="F2"/>
          <w:szCs w:val="28"/>
          <w:highlight w:val="none"/>
          <w14:textFill>
            <w14:solidFill>
              <w14:schemeClr w14:val="tx1">
                <w14:lumMod w14:val="95000"/>
                <w14:lumOff w14:val="5000"/>
              </w14:schemeClr>
            </w14:solidFill>
          </w14:textFill>
        </w:rPr>
        <w:t>、二氧化硫</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SO</w:t>
      </w:r>
      <w:r>
        <w:rPr>
          <w:color w:val="0D0D0D" w:themeColor="text1" w:themeTint="F2"/>
          <w:szCs w:val="28"/>
          <w:highlight w:val="none"/>
          <w:vertAlign w:val="subscript"/>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、二氧化氮</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NO</w:t>
      </w:r>
      <w:r>
        <w:rPr>
          <w:color w:val="0D0D0D" w:themeColor="text1" w:themeTint="F2"/>
          <w:szCs w:val="28"/>
          <w:highlight w:val="none"/>
          <w:vertAlign w:val="subscript"/>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、臭氧</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O</w:t>
      </w:r>
      <w:r>
        <w:rPr>
          <w:rFonts w:hint="eastAsia"/>
          <w:color w:val="0D0D0D" w:themeColor="text1" w:themeTint="F2"/>
          <w:szCs w:val="28"/>
          <w:highlight w:val="none"/>
          <w:vertAlign w:val="sub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、一氧化碳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CO</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的平均浓度达标率100%，较2018年均有下降。</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从近五年空气优良天数变化来看，总体呈上升趋势，其中优良天数201</w:t>
      </w:r>
      <w:r>
        <w:rPr>
          <w:rFonts w:hint="eastAsia"/>
          <w:color w:val="0D0D0D" w:themeColor="text1" w:themeTint="F2"/>
          <w:szCs w:val="28"/>
          <w:highlight w:val="none"/>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年比201</w:t>
      </w:r>
      <w:r>
        <w:rPr>
          <w:rFonts w:hint="eastAsia"/>
          <w:color w:val="0D0D0D" w:themeColor="text1" w:themeTint="F2"/>
          <w:szCs w:val="28"/>
          <w:highlight w:val="none"/>
          <w14:textFill>
            <w14:solidFill>
              <w14:schemeClr w14:val="tx1">
                <w14:lumMod w14:val="95000"/>
                <w14:lumOff w14:val="5000"/>
              </w14:schemeClr>
            </w14:solidFill>
          </w14:textFill>
        </w:rPr>
        <w:t>5</w:t>
      </w:r>
      <w:r>
        <w:rPr>
          <w:color w:val="0D0D0D" w:themeColor="text1" w:themeTint="F2"/>
          <w:szCs w:val="28"/>
          <w:highlight w:val="none"/>
          <w14:textFill>
            <w14:solidFill>
              <w14:schemeClr w14:val="tx1">
                <w14:lumMod w14:val="95000"/>
                <w14:lumOff w14:val="5000"/>
              </w14:schemeClr>
            </w14:solidFill>
          </w14:textFill>
        </w:rPr>
        <w:t>年增加了1</w:t>
      </w:r>
      <w:r>
        <w:rPr>
          <w:rFonts w:hint="eastAsia"/>
          <w:color w:val="0D0D0D" w:themeColor="text1" w:themeTint="F2"/>
          <w:szCs w:val="28"/>
          <w:highlight w:val="none"/>
          <w14:textFill>
            <w14:solidFill>
              <w14:schemeClr w14:val="tx1">
                <w14:lumMod w14:val="95000"/>
                <w14:lumOff w14:val="5000"/>
              </w14:schemeClr>
            </w14:solidFill>
          </w14:textFill>
        </w:rPr>
        <w:t>4</w:t>
      </w:r>
      <w:r>
        <w:rPr>
          <w:color w:val="0D0D0D" w:themeColor="text1" w:themeTint="F2"/>
          <w:szCs w:val="28"/>
          <w:highlight w:val="none"/>
          <w14:textFill>
            <w14:solidFill>
              <w14:schemeClr w14:val="tx1">
                <w14:lumMod w14:val="95000"/>
                <w14:lumOff w14:val="5000"/>
              </w14:schemeClr>
            </w14:solidFill>
          </w14:textFill>
        </w:rPr>
        <w:t>天，优良率上升了</w:t>
      </w:r>
      <w:r>
        <w:rPr>
          <w:rFonts w:hint="eastAsia"/>
          <w:color w:val="0D0D0D" w:themeColor="text1" w:themeTint="F2"/>
          <w:szCs w:val="28"/>
          <w:highlight w:val="none"/>
          <w14:textFill>
            <w14:solidFill>
              <w14:schemeClr w14:val="tx1">
                <w14:lumMod w14:val="95000"/>
                <w14:lumOff w14:val="5000"/>
              </w14:schemeClr>
            </w14:solidFill>
          </w14:textFill>
        </w:rPr>
        <w:t>3.2</w:t>
      </w:r>
      <w:r>
        <w:rPr>
          <w:color w:val="0D0D0D" w:themeColor="text1" w:themeTint="F2"/>
          <w:szCs w:val="28"/>
          <w:highlight w:val="none"/>
          <w14:textFill>
            <w14:solidFill>
              <w14:schemeClr w14:val="tx1">
                <w14:lumMod w14:val="95000"/>
                <w14:lumOff w14:val="5000"/>
              </w14:schemeClr>
            </w14:solidFill>
          </w14:textFill>
        </w:rPr>
        <w:t>个百分点，具体详见图2-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所示。据初步分析，景宁县近年来空气优良率提升的主要原因有以下几个方面：1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全县积极响应丽水市生态环境局景宁分局按照“蓝天保卫”攻坚战的工作要求，突出抓好工业集聚区环境综合整治，促进竹木制品加工等企业挥发性有机物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VOCs</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达标排放，“厂中厂”企业规范化生产，高污染燃料锅炉整治提升；2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相关部门开展建筑工地和道路扬尘治理、秸秆焚烧等专项执法行动，不断加大执法力度，全面形成长效机制；3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随着居民生活水平提高，黄标车不断减少，新能源汽车和公共观光车的不断投入，减少了尾气的排放量；4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全县县域实施烟花爆竹禁燃行动，为全县环境空气质量提升奠定了坚实基础。</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5264150" cy="2876550"/>
            <wp:effectExtent l="4445" t="4445" r="82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2</w:t>
      </w:r>
      <w:r>
        <w:rPr>
          <w:b/>
          <w:color w:val="0D0D0D" w:themeColor="text1" w:themeTint="F2"/>
          <w:sz w:val="24"/>
          <w:szCs w:val="24"/>
          <w:highlight w:val="none"/>
          <w14:textFill>
            <w14:solidFill>
              <w14:schemeClr w14:val="tx1">
                <w14:lumMod w14:val="95000"/>
                <w14:lumOff w14:val="5000"/>
              </w14:schemeClr>
            </w14:solidFill>
          </w14:textFill>
        </w:rPr>
        <w:t xml:space="preserve"> 景宁县近五年AQI优良天数及优良率变化趋势图</w:t>
      </w:r>
    </w:p>
    <w:p>
      <w:pPr>
        <w:spacing w:before="190" w:beforeLines="50"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常规污染因子</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二氧化硫</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SO</w:t>
      </w:r>
      <w:r>
        <w:rPr>
          <w:color w:val="0D0D0D" w:themeColor="text1" w:themeTint="F2"/>
          <w:szCs w:val="28"/>
          <w:highlight w:val="none"/>
          <w:vertAlign w:val="subscript"/>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after="190" w:afterLines="50"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w:t>
      </w:r>
      <w:r>
        <w:rPr>
          <w:rFonts w:hint="eastAsia"/>
          <w:color w:val="0D0D0D" w:themeColor="text1" w:themeTint="F2"/>
          <w:szCs w:val="28"/>
          <w:highlight w:val="none"/>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年，景宁县监测点位SO</w:t>
      </w:r>
      <w:r>
        <w:rPr>
          <w:color w:val="0D0D0D" w:themeColor="text1" w:themeTint="F2"/>
          <w:szCs w:val="28"/>
          <w:highlight w:val="none"/>
          <w:vertAlign w:val="sub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监测数据为</w:t>
      </w:r>
      <w:r>
        <w:rPr>
          <w:rFonts w:hint="eastAsia"/>
          <w:color w:val="0D0D0D" w:themeColor="text1" w:themeTint="F2"/>
          <w:szCs w:val="28"/>
          <w:highlight w:val="none"/>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μg/m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，达到了国家一级标准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20μg/m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，与201</w:t>
      </w:r>
      <w:r>
        <w:rPr>
          <w:rFonts w:hint="eastAsia"/>
          <w:color w:val="0D0D0D" w:themeColor="text1" w:themeTint="F2"/>
          <w:szCs w:val="28"/>
          <w:highlight w:val="none"/>
          <w14:textFill>
            <w14:solidFill>
              <w14:schemeClr w14:val="tx1">
                <w14:lumMod w14:val="95000"/>
                <w14:lumOff w14:val="5000"/>
              </w14:schemeClr>
            </w14:solidFill>
          </w14:textFill>
        </w:rPr>
        <w:t>5</w:t>
      </w:r>
      <w:r>
        <w:rPr>
          <w:color w:val="0D0D0D" w:themeColor="text1" w:themeTint="F2"/>
          <w:szCs w:val="28"/>
          <w:highlight w:val="none"/>
          <w14:textFill>
            <w14:solidFill>
              <w14:schemeClr w14:val="tx1">
                <w14:lumMod w14:val="95000"/>
                <w14:lumOff w14:val="5000"/>
              </w14:schemeClr>
            </w14:solidFill>
          </w14:textFill>
        </w:rPr>
        <w:t>年相比，年平均浓度显著下降</w:t>
      </w:r>
      <w:r>
        <w:rPr>
          <w:rFonts w:hint="eastAsia"/>
          <w:color w:val="0D0D0D" w:themeColor="text1" w:themeTint="F2"/>
          <w:szCs w:val="28"/>
          <w:highlight w:val="none"/>
          <w14:textFill>
            <w14:solidFill>
              <w14:schemeClr w14:val="tx1">
                <w14:lumMod w14:val="95000"/>
                <w14:lumOff w14:val="5000"/>
              </w14:schemeClr>
            </w14:solidFill>
          </w14:textFill>
        </w:rPr>
        <w:t>50.0</w:t>
      </w:r>
      <w:r>
        <w:rPr>
          <w:color w:val="0D0D0D" w:themeColor="text1" w:themeTint="F2"/>
          <w:szCs w:val="28"/>
          <w:highlight w:val="none"/>
          <w14:textFill>
            <w14:solidFill>
              <w14:schemeClr w14:val="tx1">
                <w14:lumMod w14:val="95000"/>
                <w14:lumOff w14:val="5000"/>
              </w14:schemeClr>
            </w14:solidFill>
          </w14:textFill>
        </w:rPr>
        <w:t>%，详见图2-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所示。</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3</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2015-2019年景宁县SO</w:t>
      </w:r>
      <w:r>
        <w:rPr>
          <w:b/>
          <w:color w:val="0D0D0D" w:themeColor="text1" w:themeTint="F2"/>
          <w:sz w:val="24"/>
          <w:szCs w:val="24"/>
          <w:highlight w:val="none"/>
          <w:vertAlign w:val="subscript"/>
          <w14:textFill>
            <w14:solidFill>
              <w14:schemeClr w14:val="tx1">
                <w14:lumMod w14:val="95000"/>
                <w14:lumOff w14:val="5000"/>
              </w14:schemeClr>
            </w14:solidFill>
          </w14:textFill>
        </w:rPr>
        <w:t>2</w:t>
      </w:r>
      <w:r>
        <w:rPr>
          <w:b/>
          <w:color w:val="0D0D0D" w:themeColor="text1" w:themeTint="F2"/>
          <w:sz w:val="24"/>
          <w:szCs w:val="24"/>
          <w:highlight w:val="none"/>
          <w14:textFill>
            <w14:solidFill>
              <w14:schemeClr w14:val="tx1">
                <w14:lumMod w14:val="95000"/>
                <w14:lumOff w14:val="5000"/>
              </w14:schemeClr>
            </w14:solidFill>
          </w14:textFill>
        </w:rPr>
        <w:t>监测数据变化趋势图</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二氧化氮</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NO</w:t>
      </w:r>
      <w:r>
        <w:rPr>
          <w:color w:val="0D0D0D" w:themeColor="text1" w:themeTint="F2"/>
          <w:szCs w:val="28"/>
          <w:highlight w:val="none"/>
          <w:vertAlign w:val="subscript"/>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after="95" w:afterLines="25"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2019年，景宁县监测点位NO</w:t>
      </w:r>
      <w:r>
        <w:rPr>
          <w:color w:val="0D0D0D" w:themeColor="text1" w:themeTint="F2"/>
          <w:szCs w:val="28"/>
          <w:highlight w:val="none"/>
          <w:vertAlign w:val="sub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监测数据为16μg/m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，达到了国家一级标准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40μg/m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，与2015年相比，年平均浓度显著下降23.8%，详见图2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-4</w:t>
      </w:r>
      <w:r>
        <w:rPr>
          <w:color w:val="0D0D0D" w:themeColor="text1" w:themeTint="F2"/>
          <w:szCs w:val="28"/>
          <w:highlight w:val="none"/>
          <w14:textFill>
            <w14:solidFill>
              <w14:schemeClr w14:val="tx1">
                <w14:lumMod w14:val="95000"/>
                <w14:lumOff w14:val="5000"/>
              </w14:schemeClr>
            </w14:solidFill>
          </w14:textFill>
        </w:rPr>
        <w:t>所示。</w:t>
      </w:r>
    </w:p>
    <w:p>
      <w:pPr>
        <w:spacing w:after="95" w:afterLines="25"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360" w:lineRule="auto"/>
        <w:jc w:val="center"/>
        <w:rPr>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4</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2015-2019年景宁县NO</w:t>
      </w:r>
      <w:r>
        <w:rPr>
          <w:b/>
          <w:color w:val="0D0D0D" w:themeColor="text1" w:themeTint="F2"/>
          <w:sz w:val="24"/>
          <w:szCs w:val="24"/>
          <w:highlight w:val="none"/>
          <w:vertAlign w:val="subscript"/>
          <w14:textFill>
            <w14:solidFill>
              <w14:schemeClr w14:val="tx1">
                <w14:lumMod w14:val="95000"/>
                <w14:lumOff w14:val="5000"/>
              </w14:schemeClr>
            </w14:solidFill>
          </w14:textFill>
        </w:rPr>
        <w:t>2</w:t>
      </w:r>
      <w:r>
        <w:rPr>
          <w:b/>
          <w:color w:val="0D0D0D" w:themeColor="text1" w:themeTint="F2"/>
          <w:sz w:val="24"/>
          <w:szCs w:val="24"/>
          <w:highlight w:val="none"/>
          <w14:textFill>
            <w14:solidFill>
              <w14:schemeClr w14:val="tx1">
                <w14:lumMod w14:val="95000"/>
                <w14:lumOff w14:val="5000"/>
              </w14:schemeClr>
            </w14:solidFill>
          </w14:textFill>
        </w:rPr>
        <w:t>监测数据变化趋势图</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可吸入颗粒物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PM</w:t>
      </w:r>
      <w:r>
        <w:rPr>
          <w:color w:val="0D0D0D" w:themeColor="text1" w:themeTint="F2"/>
          <w:szCs w:val="28"/>
          <w:highlight w:val="none"/>
          <w:vertAlign w:val="subscript"/>
          <w14:textFill>
            <w14:solidFill>
              <w14:schemeClr w14:val="tx1">
                <w14:lumMod w14:val="95000"/>
                <w14:lumOff w14:val="5000"/>
              </w14:schemeClr>
            </w14:solidFill>
          </w14:textFill>
        </w:rPr>
        <w:t>10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2019年，景宁县监测点位PM</w:t>
      </w:r>
      <w:r>
        <w:rPr>
          <w:color w:val="0D0D0D" w:themeColor="text1" w:themeTint="F2"/>
          <w:szCs w:val="28"/>
          <w:highlight w:val="none"/>
          <w:vertAlign w:val="subscript"/>
          <w14:textFill>
            <w14:solidFill>
              <w14:schemeClr w14:val="tx1">
                <w14:lumMod w14:val="95000"/>
                <w14:lumOff w14:val="5000"/>
              </w14:schemeClr>
            </w14:solidFill>
          </w14:textFill>
        </w:rPr>
        <w:t>10</w:t>
      </w:r>
      <w:r>
        <w:rPr>
          <w:color w:val="0D0D0D" w:themeColor="text1" w:themeTint="F2"/>
          <w:szCs w:val="28"/>
          <w:highlight w:val="none"/>
          <w14:textFill>
            <w14:solidFill>
              <w14:schemeClr w14:val="tx1">
                <w14:lumMod w14:val="95000"/>
                <w14:lumOff w14:val="5000"/>
              </w14:schemeClr>
            </w14:solidFill>
          </w14:textFill>
        </w:rPr>
        <w:t>年均监测浓度为</w:t>
      </w:r>
      <w:r>
        <w:rPr>
          <w:rFonts w:hint="eastAsia" w:eastAsia="PMingLiU"/>
          <w:color w:val="0D0D0D" w:themeColor="text1" w:themeTint="F2"/>
          <w:szCs w:val="28"/>
          <w:highlight w:val="none"/>
          <w14:textFill>
            <w14:solidFill>
              <w14:schemeClr w14:val="tx1">
                <w14:lumMod w14:val="95000"/>
                <w14:lumOff w14:val="5000"/>
              </w14:schemeClr>
            </w14:solidFill>
          </w14:textFill>
        </w:rPr>
        <w:t>3</w:t>
      </w:r>
      <w:r>
        <w:rPr>
          <w:rFonts w:eastAsia="PMingLiU"/>
          <w:color w:val="0D0D0D" w:themeColor="text1" w:themeTint="F2"/>
          <w:szCs w:val="28"/>
          <w:highlight w:val="none"/>
          <w14:textFill>
            <w14:solidFill>
              <w14:schemeClr w14:val="tx1">
                <w14:lumMod w14:val="95000"/>
                <w14:lumOff w14:val="5000"/>
              </w14:schemeClr>
            </w14:solidFill>
          </w14:textFill>
        </w:rPr>
        <w:t>7</w:t>
      </w:r>
      <w:r>
        <w:rPr>
          <w:color w:val="0D0D0D" w:themeColor="text1" w:themeTint="F2"/>
          <w:szCs w:val="28"/>
          <w:highlight w:val="none"/>
          <w14:textFill>
            <w14:solidFill>
              <w14:schemeClr w14:val="tx1">
                <w14:lumMod w14:val="95000"/>
                <w14:lumOff w14:val="5000"/>
              </w14:schemeClr>
            </w14:solidFill>
          </w14:textFill>
        </w:rPr>
        <w:t>μg/m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，达到了国家一级标准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40μg/m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，与2015年相比，年平均浓度下降了44.8%，具体详见图2-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5</w:t>
      </w:r>
      <w:r>
        <w:rPr>
          <w:color w:val="0D0D0D" w:themeColor="text1" w:themeTint="F2"/>
          <w:szCs w:val="28"/>
          <w:highlight w:val="none"/>
          <w14:textFill>
            <w14:solidFill>
              <w14:schemeClr w14:val="tx1">
                <w14:lumMod w14:val="95000"/>
                <w14:lumOff w14:val="5000"/>
              </w14:schemeClr>
            </w14:solidFill>
          </w14:textFill>
        </w:rPr>
        <w:t>所示。</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360" w:lineRule="auto"/>
        <w:jc w:val="center"/>
        <w:rPr>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5</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2015-2019年景宁县PM</w:t>
      </w:r>
      <w:r>
        <w:rPr>
          <w:b/>
          <w:color w:val="0D0D0D" w:themeColor="text1" w:themeTint="F2"/>
          <w:sz w:val="24"/>
          <w:szCs w:val="24"/>
          <w:highlight w:val="none"/>
          <w:vertAlign w:val="subscript"/>
          <w14:textFill>
            <w14:solidFill>
              <w14:schemeClr w14:val="tx1">
                <w14:lumMod w14:val="95000"/>
                <w14:lumOff w14:val="5000"/>
              </w14:schemeClr>
            </w14:solidFill>
          </w14:textFill>
        </w:rPr>
        <w:t>10</w:t>
      </w:r>
      <w:r>
        <w:rPr>
          <w:b/>
          <w:color w:val="0D0D0D" w:themeColor="text1" w:themeTint="F2"/>
          <w:sz w:val="24"/>
          <w:szCs w:val="24"/>
          <w:highlight w:val="none"/>
          <w14:textFill>
            <w14:solidFill>
              <w14:schemeClr w14:val="tx1">
                <w14:lumMod w14:val="95000"/>
                <w14:lumOff w14:val="5000"/>
              </w14:schemeClr>
            </w14:solidFill>
          </w14:textFill>
        </w:rPr>
        <w:t>监测数据变化趋势图</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细颗粒物</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PM</w:t>
      </w:r>
      <w:r>
        <w:rPr>
          <w:color w:val="0D0D0D" w:themeColor="text1" w:themeTint="F2"/>
          <w:szCs w:val="28"/>
          <w:highlight w:val="none"/>
          <w:vertAlign w:val="subscript"/>
          <w14:textFill>
            <w14:solidFill>
              <w14:schemeClr w14:val="tx1">
                <w14:lumMod w14:val="95000"/>
                <w14:lumOff w14:val="5000"/>
              </w14:schemeClr>
            </w14:solidFill>
          </w14:textFill>
        </w:rPr>
        <w:t>2.5</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2019年，景宁县监测点位PM</w:t>
      </w:r>
      <w:r>
        <w:rPr>
          <w:color w:val="0D0D0D" w:themeColor="text1" w:themeTint="F2"/>
          <w:szCs w:val="28"/>
          <w:highlight w:val="none"/>
          <w:vertAlign w:val="subscript"/>
          <w14:textFill>
            <w14:solidFill>
              <w14:schemeClr w14:val="tx1">
                <w14:lumMod w14:val="95000"/>
                <w14:lumOff w14:val="5000"/>
              </w14:schemeClr>
            </w14:solidFill>
          </w14:textFill>
        </w:rPr>
        <w:t>2.5</w:t>
      </w:r>
      <w:r>
        <w:rPr>
          <w:color w:val="0D0D0D" w:themeColor="text1" w:themeTint="F2"/>
          <w:szCs w:val="28"/>
          <w:highlight w:val="none"/>
          <w14:textFill>
            <w14:solidFill>
              <w14:schemeClr w14:val="tx1">
                <w14:lumMod w14:val="95000"/>
                <w14:lumOff w14:val="5000"/>
              </w14:schemeClr>
            </w14:solidFill>
          </w14:textFill>
        </w:rPr>
        <w:t>年均监测浓度为22μg/m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之间，达到了国家二级标准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35μg/m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，相比2015年，年平均浓度均下降39.0%，详见图2-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6</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360" w:lineRule="auto"/>
        <w:jc w:val="center"/>
        <w:rPr>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6</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2015-2019年景宁县PM</w:t>
      </w:r>
      <w:r>
        <w:rPr>
          <w:b/>
          <w:color w:val="0D0D0D" w:themeColor="text1" w:themeTint="F2"/>
          <w:sz w:val="24"/>
          <w:szCs w:val="24"/>
          <w:highlight w:val="none"/>
          <w:vertAlign w:val="subscript"/>
          <w14:textFill>
            <w14:solidFill>
              <w14:schemeClr w14:val="tx1">
                <w14:lumMod w14:val="95000"/>
                <w14:lumOff w14:val="5000"/>
              </w14:schemeClr>
            </w14:solidFill>
          </w14:textFill>
        </w:rPr>
        <w:t>2.5</w:t>
      </w:r>
      <w:r>
        <w:rPr>
          <w:b/>
          <w:color w:val="0D0D0D" w:themeColor="text1" w:themeTint="F2"/>
          <w:sz w:val="24"/>
          <w:szCs w:val="24"/>
          <w:highlight w:val="none"/>
          <w14:textFill>
            <w14:solidFill>
              <w14:schemeClr w14:val="tx1">
                <w14:lumMod w14:val="95000"/>
                <w14:lumOff w14:val="5000"/>
              </w14:schemeClr>
            </w14:solidFill>
          </w14:textFill>
        </w:rPr>
        <w:t>监测数据变化趋势图</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一氧化碳</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CO</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2019年，景宁县监测点位CO年均监测浓度为</w:t>
      </w:r>
      <w:r>
        <w:rPr>
          <w:rFonts w:hint="eastAsia" w:eastAsia="PMingLiU"/>
          <w:color w:val="0D0D0D" w:themeColor="text1" w:themeTint="F2"/>
          <w:szCs w:val="28"/>
          <w:highlight w:val="none"/>
          <w14:textFill>
            <w14:solidFill>
              <w14:schemeClr w14:val="tx1">
                <w14:lumMod w14:val="95000"/>
                <w14:lumOff w14:val="5000"/>
              </w14:schemeClr>
            </w14:solidFill>
          </w14:textFill>
        </w:rPr>
        <w:t>0</w:t>
      </w:r>
      <w:r>
        <w:rPr>
          <w:rFonts w:eastAsia="PMingLiU"/>
          <w:color w:val="0D0D0D" w:themeColor="text1" w:themeTint="F2"/>
          <w:szCs w:val="28"/>
          <w:highlight w:val="none"/>
          <w14:textFill>
            <w14:solidFill>
              <w14:schemeClr w14:val="tx1">
                <w14:lumMod w14:val="95000"/>
                <w14:lumOff w14:val="5000"/>
              </w14:schemeClr>
            </w14:solidFill>
          </w14:textFill>
        </w:rPr>
        <w:t xml:space="preserve">.7 </w:t>
      </w:r>
      <w:r>
        <w:rPr>
          <w:color w:val="0D0D0D" w:themeColor="text1" w:themeTint="F2"/>
          <w:szCs w:val="28"/>
          <w:highlight w:val="none"/>
          <w14:textFill>
            <w14:solidFill>
              <w14:schemeClr w14:val="tx1">
                <w14:lumMod w14:val="95000"/>
                <w14:lumOff w14:val="5000"/>
              </w14:schemeClr>
            </w14:solidFill>
          </w14:textFill>
        </w:rPr>
        <w:t>mg/m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，达到了国家一级标准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4mg/m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，相比2015年，年平均浓度均下降22.2%，近5</w:t>
      </w:r>
      <w:r>
        <w:rPr>
          <w:rFonts w:hint="eastAsia"/>
          <w:color w:val="0D0D0D" w:themeColor="text1" w:themeTint="F2"/>
          <w:szCs w:val="28"/>
          <w:highlight w:val="none"/>
          <w14:textFill>
            <w14:solidFill>
              <w14:schemeClr w14:val="tx1">
                <w14:lumMod w14:val="95000"/>
                <w14:lumOff w14:val="5000"/>
              </w14:schemeClr>
            </w14:solidFill>
          </w14:textFill>
        </w:rPr>
        <w:t>年</w:t>
      </w:r>
      <w:r>
        <w:rPr>
          <w:color w:val="0D0D0D" w:themeColor="text1" w:themeTint="F2"/>
          <w:szCs w:val="28"/>
          <w:highlight w:val="none"/>
          <w14:textFill>
            <w14:solidFill>
              <w14:schemeClr w14:val="tx1">
                <w14:lumMod w14:val="95000"/>
                <w14:lumOff w14:val="5000"/>
              </w14:schemeClr>
            </w14:solidFill>
          </w14:textFill>
        </w:rPr>
        <w:t>，浓度基本保持稳定，具体详见图2-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7</w:t>
      </w:r>
      <w:r>
        <w:rPr>
          <w:color w:val="0D0D0D" w:themeColor="text1" w:themeTint="F2"/>
          <w:szCs w:val="28"/>
          <w:highlight w:val="none"/>
          <w14:textFill>
            <w14:solidFill>
              <w14:schemeClr w14:val="tx1">
                <w14:lumMod w14:val="95000"/>
                <w14:lumOff w14:val="5000"/>
              </w14:schemeClr>
            </w14:solidFill>
          </w14:textFill>
        </w:rPr>
        <w:t>所示。</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7</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2015-2019年景宁县CO监测数据变化趋势图</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臭氧</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O</w:t>
      </w:r>
      <w:r>
        <w:rPr>
          <w:rFonts w:hint="eastAsia"/>
          <w:color w:val="0D0D0D" w:themeColor="text1" w:themeTint="F2"/>
          <w:szCs w:val="28"/>
          <w:highlight w:val="none"/>
          <w:vertAlign w:val="sub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2019年，景宁县监测点位</w:t>
      </w:r>
      <w:r>
        <w:rPr>
          <w:rFonts w:hint="eastAsia"/>
          <w:color w:val="0D0D0D" w:themeColor="text1" w:themeTint="F2"/>
          <w:szCs w:val="28"/>
          <w:highlight w:val="none"/>
          <w14:textFill>
            <w14:solidFill>
              <w14:schemeClr w14:val="tx1">
                <w14:lumMod w14:val="95000"/>
                <w14:lumOff w14:val="5000"/>
              </w14:schemeClr>
            </w14:solidFill>
          </w14:textFill>
        </w:rPr>
        <w:t>O</w:t>
      </w:r>
      <w:r>
        <w:rPr>
          <w:rFonts w:hint="eastAsia"/>
          <w:color w:val="0D0D0D" w:themeColor="text1" w:themeTint="F2"/>
          <w:szCs w:val="28"/>
          <w:highlight w:val="none"/>
          <w:vertAlign w:val="subscript"/>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日最大8小时平均</w:t>
      </w:r>
      <w:r>
        <w:rPr>
          <w:color w:val="0D0D0D" w:themeColor="text1" w:themeTint="F2"/>
          <w:szCs w:val="28"/>
          <w:highlight w:val="none"/>
          <w14:textFill>
            <w14:solidFill>
              <w14:schemeClr w14:val="tx1">
                <w14:lumMod w14:val="95000"/>
                <w14:lumOff w14:val="5000"/>
              </w14:schemeClr>
            </w14:solidFill>
          </w14:textFill>
        </w:rPr>
        <w:t>监测浓度为</w:t>
      </w:r>
      <w:r>
        <w:rPr>
          <w:rFonts w:eastAsiaTheme="minorEastAsia"/>
          <w:color w:val="0D0D0D" w:themeColor="text1" w:themeTint="F2"/>
          <w:szCs w:val="28"/>
          <w:highlight w:val="none"/>
          <w14:textFill>
            <w14:solidFill>
              <w14:schemeClr w14:val="tx1">
                <w14:lumMod w14:val="95000"/>
                <w14:lumOff w14:val="5000"/>
              </w14:schemeClr>
            </w14:solidFill>
          </w14:textFill>
        </w:rPr>
        <w:t>69</w:t>
      </w:r>
      <w:r>
        <w:rPr>
          <w:rFonts w:eastAsia="PMingLiU"/>
          <w:color w:val="0D0D0D" w:themeColor="text1" w:themeTint="F2"/>
          <w:szCs w:val="28"/>
          <w:highlight w:val="none"/>
          <w14:textFill>
            <w14:solidFill>
              <w14:schemeClr w14:val="tx1">
                <w14:lumMod w14:val="95000"/>
                <w14:lumOff w14:val="5000"/>
              </w14:schemeClr>
            </w14:solidFill>
          </w14:textFill>
        </w:rPr>
        <w:t xml:space="preserve"> </w:t>
      </w:r>
      <w:r>
        <w:rPr>
          <w:color w:val="0D0D0D" w:themeColor="text1" w:themeTint="F2"/>
          <w:szCs w:val="28"/>
          <w:highlight w:val="none"/>
          <w14:textFill>
            <w14:solidFill>
              <w14:schemeClr w14:val="tx1">
                <w14:lumMod w14:val="95000"/>
                <w14:lumOff w14:val="5000"/>
              </w14:schemeClr>
            </w14:solidFill>
          </w14:textFill>
        </w:rPr>
        <w:t>μg/m</w:t>
      </w:r>
      <w:r>
        <w:rPr>
          <w:color w:val="0D0D0D" w:themeColor="text1" w:themeTint="F2"/>
          <w:szCs w:val="28"/>
          <w:highlight w:val="none"/>
          <w:vertAlign w:val="superscript"/>
          <w14:textFill>
            <w14:solidFill>
              <w14:schemeClr w14:val="tx1">
                <w14:lumMod w14:val="95000"/>
                <w14:lumOff w14:val="5000"/>
              </w14:schemeClr>
            </w14:solidFill>
          </w14:textFill>
        </w:rPr>
        <w:t>3</w:t>
      </w:r>
      <w:r>
        <w:rPr>
          <w:color w:val="0D0D0D" w:themeColor="text1" w:themeTint="F2"/>
          <w:szCs w:val="28"/>
          <w:highlight w:val="none"/>
          <w14:textFill>
            <w14:solidFill>
              <w14:schemeClr w14:val="tx1">
                <w14:lumMod w14:val="95000"/>
                <w14:lumOff w14:val="5000"/>
              </w14:schemeClr>
            </w14:solidFill>
          </w14:textFill>
        </w:rPr>
        <w:t>，达到了国家一级标准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100</w:t>
      </w:r>
      <w:r>
        <w:rPr>
          <w:color w:val="0D0D0D" w:themeColor="text1" w:themeTint="F2"/>
          <w:szCs w:val="28"/>
          <w:highlight w:val="none"/>
          <w14:textFill>
            <w14:solidFill>
              <w14:schemeClr w14:val="tx1">
                <w14:lumMod w14:val="95000"/>
                <w14:lumOff w14:val="5000"/>
              </w14:schemeClr>
            </w14:solidFill>
          </w14:textFill>
        </w:rPr>
        <w:t>μg /m</w:t>
      </w:r>
      <w:r>
        <w:rPr>
          <w:color w:val="0D0D0D" w:themeColor="text1" w:themeTint="F2"/>
          <w:szCs w:val="28"/>
          <w:highlight w:val="none"/>
          <w:vertAlign w:val="superscript"/>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，相比2015年，</w:t>
      </w:r>
      <w:r>
        <w:rPr>
          <w:rFonts w:hint="eastAsia"/>
          <w:color w:val="0D0D0D" w:themeColor="text1" w:themeTint="F2"/>
          <w:szCs w:val="28"/>
          <w:highlight w:val="none"/>
          <w14:textFill>
            <w14:solidFill>
              <w14:schemeClr w14:val="tx1">
                <w14:lumMod w14:val="95000"/>
                <w14:lumOff w14:val="5000"/>
              </w14:schemeClr>
            </w14:solidFill>
          </w14:textFill>
        </w:rPr>
        <w:t>日最大8小时平均</w:t>
      </w:r>
      <w:r>
        <w:rPr>
          <w:color w:val="0D0D0D" w:themeColor="text1" w:themeTint="F2"/>
          <w:szCs w:val="28"/>
          <w:highlight w:val="none"/>
          <w14:textFill>
            <w14:solidFill>
              <w14:schemeClr w14:val="tx1">
                <w14:lumMod w14:val="95000"/>
                <w14:lumOff w14:val="5000"/>
              </w14:schemeClr>
            </w14:solidFill>
          </w14:textFill>
        </w:rPr>
        <w:t>监测浓度</w:t>
      </w:r>
      <w:r>
        <w:rPr>
          <w:rFonts w:hint="eastAsia"/>
          <w:color w:val="0D0D0D" w:themeColor="text1" w:themeTint="F2"/>
          <w:szCs w:val="28"/>
          <w:highlight w:val="none"/>
          <w14:textFill>
            <w14:solidFill>
              <w14:schemeClr w14:val="tx1">
                <w14:lumMod w14:val="95000"/>
                <w14:lumOff w14:val="5000"/>
              </w14:schemeClr>
            </w14:solidFill>
          </w14:textFill>
        </w:rPr>
        <w:t>略有上升</w:t>
      </w:r>
      <w:r>
        <w:rPr>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但</w:t>
      </w:r>
      <w:r>
        <w:rPr>
          <w:color w:val="0D0D0D" w:themeColor="text1" w:themeTint="F2"/>
          <w:szCs w:val="28"/>
          <w:highlight w:val="none"/>
          <w14:textFill>
            <w14:solidFill>
              <w14:schemeClr w14:val="tx1">
                <w14:lumMod w14:val="95000"/>
                <w14:lumOff w14:val="5000"/>
              </w14:schemeClr>
            </w14:solidFill>
          </w14:textFill>
        </w:rPr>
        <w:t>相比201</w:t>
      </w:r>
      <w:r>
        <w:rPr>
          <w:rFonts w:hint="eastAsia"/>
          <w:color w:val="0D0D0D" w:themeColor="text1" w:themeTint="F2"/>
          <w:szCs w:val="28"/>
          <w:highlight w:val="none"/>
          <w14:textFill>
            <w14:solidFill>
              <w14:schemeClr w14:val="tx1">
                <w14:lumMod w14:val="95000"/>
                <w14:lumOff w14:val="5000"/>
              </w14:schemeClr>
            </w14:solidFill>
          </w14:textFill>
        </w:rPr>
        <w:t>8</w:t>
      </w:r>
      <w:r>
        <w:rPr>
          <w:color w:val="0D0D0D" w:themeColor="text1" w:themeTint="F2"/>
          <w:szCs w:val="28"/>
          <w:highlight w:val="none"/>
          <w14:textFill>
            <w14:solidFill>
              <w14:schemeClr w14:val="tx1">
                <w14:lumMod w14:val="95000"/>
                <w14:lumOff w14:val="5000"/>
              </w14:schemeClr>
            </w14:solidFill>
          </w14:textFill>
        </w:rPr>
        <w:t>年，年平均浓度均下降3</w:t>
      </w:r>
      <w:r>
        <w:rPr>
          <w:rFonts w:hint="eastAsia"/>
          <w:color w:val="0D0D0D" w:themeColor="text1" w:themeTint="F2"/>
          <w:szCs w:val="28"/>
          <w:highlight w:val="none"/>
          <w14:textFill>
            <w14:solidFill>
              <w14:schemeClr w14:val="tx1">
                <w14:lumMod w14:val="95000"/>
                <w14:lumOff w14:val="5000"/>
              </w14:schemeClr>
            </w14:solidFill>
          </w14:textFill>
        </w:rPr>
        <w:t>2.4</w:t>
      </w:r>
      <w:r>
        <w:rPr>
          <w:color w:val="0D0D0D" w:themeColor="text1" w:themeTint="F2"/>
          <w:szCs w:val="28"/>
          <w:highlight w:val="none"/>
          <w14:textFill>
            <w14:solidFill>
              <w14:schemeClr w14:val="tx1">
                <w14:lumMod w14:val="95000"/>
                <w14:lumOff w14:val="5000"/>
              </w14:schemeClr>
            </w14:solidFill>
          </w14:textFill>
        </w:rPr>
        <w:t>%，具体详见图2-</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8</w:t>
      </w:r>
      <w:r>
        <w:rPr>
          <w:color w:val="0D0D0D" w:themeColor="text1" w:themeTint="F2"/>
          <w:szCs w:val="28"/>
          <w:highlight w:val="none"/>
          <w14:textFill>
            <w14:solidFill>
              <w14:schemeClr w14:val="tx1">
                <w14:lumMod w14:val="95000"/>
                <w14:lumOff w14:val="5000"/>
              </w14:schemeClr>
            </w14:solidFill>
          </w14:textFill>
        </w:rPr>
        <w:t>所示。</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0" distR="0">
            <wp:extent cx="3959860" cy="2519680"/>
            <wp:effectExtent l="0" t="0" r="254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8</w:t>
      </w:r>
      <w:r>
        <w:rPr>
          <w:b/>
          <w:color w:val="0D0D0D" w:themeColor="text1" w:themeTint="F2"/>
          <w:sz w:val="24"/>
          <w:szCs w:val="24"/>
          <w:highlight w:val="none"/>
          <w14:textFill>
            <w14:solidFill>
              <w14:schemeClr w14:val="tx1">
                <w14:lumMod w14:val="95000"/>
                <w14:lumOff w14:val="5000"/>
              </w14:schemeClr>
            </w14:solidFill>
          </w14:textFill>
        </w:rPr>
        <w:t xml:space="preserve"> 2015-2019年景宁县</w:t>
      </w:r>
      <w:r>
        <w:rPr>
          <w:rFonts w:hint="eastAsia"/>
          <w:b/>
          <w:color w:val="0D0D0D" w:themeColor="text1" w:themeTint="F2"/>
          <w:sz w:val="24"/>
          <w:szCs w:val="24"/>
          <w:highlight w:val="none"/>
          <w14:textFill>
            <w14:solidFill>
              <w14:schemeClr w14:val="tx1">
                <w14:lumMod w14:val="95000"/>
                <w14:lumOff w14:val="5000"/>
              </w14:schemeClr>
            </w14:solidFill>
          </w14:textFill>
        </w:rPr>
        <w:t>O</w:t>
      </w:r>
      <w:r>
        <w:rPr>
          <w:rFonts w:hint="eastAsia"/>
          <w:b/>
          <w:color w:val="0D0D0D" w:themeColor="text1" w:themeTint="F2"/>
          <w:sz w:val="24"/>
          <w:szCs w:val="24"/>
          <w:highlight w:val="none"/>
          <w:vertAlign w:val="subscript"/>
          <w14:textFill>
            <w14:solidFill>
              <w14:schemeClr w14:val="tx1">
                <w14:lumMod w14:val="95000"/>
                <w14:lumOff w14:val="5000"/>
              </w14:schemeClr>
            </w14:solidFill>
          </w14:textFill>
        </w:rPr>
        <w:t>3</w:t>
      </w:r>
      <w:r>
        <w:rPr>
          <w:b/>
          <w:color w:val="0D0D0D" w:themeColor="text1" w:themeTint="F2"/>
          <w:sz w:val="24"/>
          <w:szCs w:val="24"/>
          <w:highlight w:val="none"/>
          <w14:textFill>
            <w14:solidFill>
              <w14:schemeClr w14:val="tx1">
                <w14:lumMod w14:val="95000"/>
                <w14:lumOff w14:val="5000"/>
              </w14:schemeClr>
            </w14:solidFill>
          </w14:textFill>
        </w:rPr>
        <w:t>监测数据变化趋势图</w:t>
      </w:r>
    </w:p>
    <w:p>
      <w:pPr>
        <w:pStyle w:val="4"/>
        <w:spacing w:before="0" w:after="95" w:afterLines="25" w:line="360" w:lineRule="auto"/>
        <w:rPr>
          <w:color w:val="0D0D0D" w:themeColor="text1" w:themeTint="F2"/>
          <w:sz w:val="28"/>
          <w:szCs w:val="28"/>
          <w:highlight w:val="none"/>
          <w14:textFill>
            <w14:solidFill>
              <w14:schemeClr w14:val="tx1">
                <w14:lumMod w14:val="95000"/>
                <w14:lumOff w14:val="5000"/>
              </w14:schemeClr>
            </w14:solidFill>
          </w14:textFill>
        </w:rPr>
      </w:pPr>
      <w:bookmarkStart w:id="32" w:name="_Toc514167208"/>
      <w:bookmarkStart w:id="33" w:name="_Toc39133136"/>
      <w:r>
        <w:rPr>
          <w:color w:val="0D0D0D" w:themeColor="text1" w:themeTint="F2"/>
          <w:sz w:val="28"/>
          <w:szCs w:val="28"/>
          <w:highlight w:val="none"/>
          <w14:textFill>
            <w14:solidFill>
              <w14:schemeClr w14:val="tx1">
                <w14:lumMod w14:val="95000"/>
                <w14:lumOff w14:val="5000"/>
              </w14:schemeClr>
            </w14:solidFill>
          </w14:textFill>
        </w:rPr>
        <w:t>2.3.2 污染源排放情况</w:t>
      </w:r>
      <w:bookmarkEnd w:id="32"/>
      <w:bookmarkEnd w:id="33"/>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1、排放总体情况</w:t>
      </w:r>
    </w:p>
    <w:p>
      <w:pPr>
        <w:spacing w:after="95" w:afterLines="25"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根据环统数据，201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年我县大气污染物排放情况较往年呈现显著下降趋势，其中二氧化硫排放量由2013年的360.64吨下降至</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44.19</w:t>
      </w:r>
      <w:r>
        <w:rPr>
          <w:color w:val="0D0D0D" w:themeColor="text1" w:themeTint="F2"/>
          <w:szCs w:val="28"/>
          <w:highlight w:val="none"/>
          <w14:textFill>
            <w14:solidFill>
              <w14:schemeClr w14:val="tx1">
                <w14:lumMod w14:val="95000"/>
                <w14:lumOff w14:val="5000"/>
              </w14:schemeClr>
            </w14:solidFill>
          </w14:textFill>
        </w:rPr>
        <w:t>吨，下降幅度8</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7.75</w:t>
      </w:r>
      <w:r>
        <w:rPr>
          <w:color w:val="0D0D0D" w:themeColor="text1" w:themeTint="F2"/>
          <w:szCs w:val="28"/>
          <w:highlight w:val="none"/>
          <w14:textFill>
            <w14:solidFill>
              <w14:schemeClr w14:val="tx1">
                <w14:lumMod w14:val="95000"/>
                <w14:lumOff w14:val="5000"/>
              </w14:schemeClr>
            </w14:solidFill>
          </w14:textFill>
        </w:rPr>
        <w:t>%；氮氧化物排放量由2013年的97.10吨下降至</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18.57</w:t>
      </w:r>
      <w:r>
        <w:rPr>
          <w:color w:val="0D0D0D" w:themeColor="text1" w:themeTint="F2"/>
          <w:szCs w:val="28"/>
          <w:highlight w:val="none"/>
          <w14:textFill>
            <w14:solidFill>
              <w14:schemeClr w14:val="tx1">
                <w14:lumMod w14:val="95000"/>
                <w14:lumOff w14:val="5000"/>
              </w14:schemeClr>
            </w14:solidFill>
          </w14:textFill>
        </w:rPr>
        <w:t>吨，下降</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80.86</w:t>
      </w:r>
      <w:r>
        <w:rPr>
          <w:color w:val="0D0D0D" w:themeColor="text1" w:themeTint="F2"/>
          <w:szCs w:val="28"/>
          <w:highlight w:val="none"/>
          <w14:textFill>
            <w14:solidFill>
              <w14:schemeClr w14:val="tx1">
                <w14:lumMod w14:val="95000"/>
                <w14:lumOff w14:val="5000"/>
              </w14:schemeClr>
            </w14:solidFill>
          </w14:textFill>
        </w:rPr>
        <w:t>%；烟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尘下降趋势略有波动，可能与统计口径有较大关联。</w:t>
      </w:r>
    </w:p>
    <w:p>
      <w:pPr>
        <w:spacing w:after="95" w:after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3</w:t>
      </w:r>
      <w:r>
        <w:rPr>
          <w:b/>
          <w:color w:val="0D0D0D" w:themeColor="text1" w:themeTint="F2"/>
          <w:sz w:val="24"/>
          <w:szCs w:val="24"/>
          <w:highlight w:val="none"/>
          <w14:textFill>
            <w14:solidFill>
              <w14:schemeClr w14:val="tx1">
                <w14:lumMod w14:val="95000"/>
                <w14:lumOff w14:val="5000"/>
              </w14:schemeClr>
            </w14:solidFill>
          </w14:textFill>
        </w:rPr>
        <w:t xml:space="preserve"> 2013-201</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9</w:t>
      </w:r>
      <w:r>
        <w:rPr>
          <w:b/>
          <w:color w:val="0D0D0D" w:themeColor="text1" w:themeTint="F2"/>
          <w:sz w:val="24"/>
          <w:szCs w:val="24"/>
          <w:highlight w:val="none"/>
          <w14:textFill>
            <w14:solidFill>
              <w14:schemeClr w14:val="tx1">
                <w14:lumMod w14:val="95000"/>
                <w14:lumOff w14:val="5000"/>
              </w14:schemeClr>
            </w14:solidFill>
          </w14:textFill>
        </w:rPr>
        <w:t>年景宁畲族自治县大气污染物排放情况汇总表</w:t>
      </w:r>
    </w:p>
    <w:tbl>
      <w:tblPr>
        <w:tblStyle w:val="19"/>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628"/>
        <w:gridCol w:w="1933"/>
        <w:gridCol w:w="1823"/>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02"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年份</w:t>
            </w:r>
          </w:p>
        </w:tc>
        <w:tc>
          <w:tcPr>
            <w:tcW w:w="1628"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二氧化硫</w:t>
            </w:r>
          </w:p>
          <w:p>
            <w:pPr>
              <w:spacing w:line="240" w:lineRule="auto"/>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排放量</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吨</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933"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氮氧化物</w:t>
            </w:r>
          </w:p>
          <w:p>
            <w:pPr>
              <w:spacing w:line="240" w:lineRule="auto"/>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排放量</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吨</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823"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烟</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粉</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尘</w:t>
            </w:r>
          </w:p>
          <w:p>
            <w:pPr>
              <w:spacing w:line="240" w:lineRule="auto"/>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排放量</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吨</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2083"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挥发性有机物</w:t>
            </w:r>
          </w:p>
          <w:p>
            <w:pPr>
              <w:spacing w:line="240" w:lineRule="auto"/>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排放量</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吨</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2013年</w:t>
            </w:r>
          </w:p>
        </w:tc>
        <w:tc>
          <w:tcPr>
            <w:tcW w:w="16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360.64</w:t>
            </w:r>
          </w:p>
        </w:tc>
        <w:tc>
          <w:tcPr>
            <w:tcW w:w="193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97.10</w:t>
            </w:r>
          </w:p>
        </w:tc>
        <w:tc>
          <w:tcPr>
            <w:tcW w:w="182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208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2014年</w:t>
            </w:r>
          </w:p>
        </w:tc>
        <w:tc>
          <w:tcPr>
            <w:tcW w:w="16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358.84</w:t>
            </w:r>
          </w:p>
        </w:tc>
        <w:tc>
          <w:tcPr>
            <w:tcW w:w="193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117.50</w:t>
            </w:r>
          </w:p>
        </w:tc>
        <w:tc>
          <w:tcPr>
            <w:tcW w:w="182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6.09</w:t>
            </w:r>
          </w:p>
        </w:tc>
        <w:tc>
          <w:tcPr>
            <w:tcW w:w="208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2015年</w:t>
            </w:r>
          </w:p>
        </w:tc>
        <w:tc>
          <w:tcPr>
            <w:tcW w:w="16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358.80</w:t>
            </w:r>
          </w:p>
        </w:tc>
        <w:tc>
          <w:tcPr>
            <w:tcW w:w="193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138.44</w:t>
            </w:r>
          </w:p>
        </w:tc>
        <w:tc>
          <w:tcPr>
            <w:tcW w:w="182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12.59</w:t>
            </w:r>
          </w:p>
        </w:tc>
        <w:tc>
          <w:tcPr>
            <w:tcW w:w="208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2016年</w:t>
            </w:r>
          </w:p>
        </w:tc>
        <w:tc>
          <w:tcPr>
            <w:tcW w:w="16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60.43</w:t>
            </w:r>
          </w:p>
        </w:tc>
        <w:tc>
          <w:tcPr>
            <w:tcW w:w="193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22.19</w:t>
            </w:r>
          </w:p>
        </w:tc>
        <w:tc>
          <w:tcPr>
            <w:tcW w:w="182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10.60</w:t>
            </w:r>
          </w:p>
        </w:tc>
        <w:tc>
          <w:tcPr>
            <w:tcW w:w="208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2017年</w:t>
            </w:r>
          </w:p>
        </w:tc>
        <w:tc>
          <w:tcPr>
            <w:tcW w:w="16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49.50</w:t>
            </w:r>
          </w:p>
        </w:tc>
        <w:tc>
          <w:tcPr>
            <w:tcW w:w="193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5.39</w:t>
            </w:r>
          </w:p>
        </w:tc>
        <w:tc>
          <w:tcPr>
            <w:tcW w:w="182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14.74</w:t>
            </w:r>
          </w:p>
        </w:tc>
        <w:tc>
          <w:tcPr>
            <w:tcW w:w="2083"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2018年</w:t>
            </w:r>
          </w:p>
        </w:tc>
        <w:tc>
          <w:tcPr>
            <w:tcW w:w="1628"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44.55</w:t>
            </w:r>
          </w:p>
        </w:tc>
        <w:tc>
          <w:tcPr>
            <w:tcW w:w="193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5.36</w:t>
            </w:r>
          </w:p>
        </w:tc>
        <w:tc>
          <w:tcPr>
            <w:tcW w:w="182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8.72</w:t>
            </w:r>
          </w:p>
        </w:tc>
        <w:tc>
          <w:tcPr>
            <w:tcW w:w="208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2019年</w:t>
            </w:r>
          </w:p>
        </w:tc>
        <w:tc>
          <w:tcPr>
            <w:tcW w:w="1628"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44.19</w:t>
            </w:r>
          </w:p>
        </w:tc>
        <w:tc>
          <w:tcPr>
            <w:tcW w:w="193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18.57</w:t>
            </w:r>
          </w:p>
        </w:tc>
        <w:tc>
          <w:tcPr>
            <w:tcW w:w="182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7.64</w:t>
            </w:r>
          </w:p>
        </w:tc>
        <w:tc>
          <w:tcPr>
            <w:tcW w:w="2083" w:type="dxa"/>
            <w:vAlign w:val="center"/>
          </w:tcPr>
          <w:p>
            <w:pPr>
              <w:spacing w:line="240" w:lineRule="auto"/>
              <w:jc w:val="center"/>
              <w:rPr>
                <w:rFonts w:hint="default" w:eastAsia="仿宋_GB2312"/>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sz w:val="24"/>
                <w:szCs w:val="24"/>
                <w:highlight w:val="none"/>
                <w:lang w:val="en-US" w:eastAsia="zh-CN"/>
                <w14:textFill>
                  <w14:solidFill>
                    <w14:schemeClr w14:val="tx1">
                      <w14:lumMod w14:val="95000"/>
                      <w14:lumOff w14:val="5000"/>
                    </w14:schemeClr>
                  </w14:solidFill>
                </w14:textFill>
              </w:rPr>
              <w:t>4.81</w:t>
            </w:r>
          </w:p>
        </w:tc>
      </w:tr>
    </w:tbl>
    <w:p>
      <w:pPr>
        <w:spacing w:before="95" w:beforeLines="25"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highlight w:val="none"/>
          <w14:textFill>
            <w14:solidFill>
              <w14:schemeClr w14:val="tx1">
                <w14:lumMod w14:val="95000"/>
                <w14:lumOff w14:val="5000"/>
              </w14:schemeClr>
            </w14:solidFill>
          </w14:textFill>
        </w:rPr>
        <w:drawing>
          <wp:inline distT="0" distB="0" distL="114300" distR="114300">
            <wp:extent cx="4076065" cy="268605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before="95" w:before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9</w:t>
      </w:r>
      <w:r>
        <w:rPr>
          <w:b/>
          <w:color w:val="0D0D0D" w:themeColor="text1" w:themeTint="F2"/>
          <w:sz w:val="24"/>
          <w:szCs w:val="24"/>
          <w:highlight w:val="none"/>
          <w14:textFill>
            <w14:solidFill>
              <w14:schemeClr w14:val="tx1">
                <w14:lumMod w14:val="95000"/>
                <w14:lumOff w14:val="5000"/>
              </w14:schemeClr>
            </w14:solidFill>
          </w14:textFill>
        </w:rPr>
        <w:t xml:space="preserve"> 2013-201</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9</w:t>
      </w:r>
      <w:r>
        <w:rPr>
          <w:b/>
          <w:color w:val="0D0D0D" w:themeColor="text1" w:themeTint="F2"/>
          <w:sz w:val="24"/>
          <w:szCs w:val="24"/>
          <w:highlight w:val="none"/>
          <w14:textFill>
            <w14:solidFill>
              <w14:schemeClr w14:val="tx1">
                <w14:lumMod w14:val="95000"/>
                <w14:lumOff w14:val="5000"/>
              </w14:schemeClr>
            </w14:solidFill>
          </w14:textFill>
        </w:rPr>
        <w:t>年景宁畲族自治县大气污染物排放趋势图</w:t>
      </w:r>
    </w:p>
    <w:p>
      <w:pPr>
        <w:spacing w:before="285" w:beforeLines="75"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2、重点工业企业排放情况</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2013-201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年，除挥发性有机物外，景宁县重点排污企业大气污染物排放量总体呈下降趋势，其中二氧化硫排放量由2013年的301.03吨下降到201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年的</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6.03吨</w:t>
      </w:r>
      <w:r>
        <w:rPr>
          <w:color w:val="0D0D0D" w:themeColor="text1" w:themeTint="F2"/>
          <w:szCs w:val="28"/>
          <w:highlight w:val="none"/>
          <w14:textFill>
            <w14:solidFill>
              <w14:schemeClr w14:val="tx1">
                <w14:lumMod w14:val="95000"/>
                <w14:lumOff w14:val="5000"/>
              </w14:schemeClr>
            </w14:solidFill>
          </w14:textFill>
        </w:rPr>
        <w:t>；氮氧化物由2013年的84.02吨下降到201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年的</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14.59</w:t>
      </w:r>
      <w:r>
        <w:rPr>
          <w:color w:val="0D0D0D" w:themeColor="text1" w:themeTint="F2"/>
          <w:szCs w:val="28"/>
          <w:highlight w:val="none"/>
          <w14:textFill>
            <w14:solidFill>
              <w14:schemeClr w14:val="tx1">
                <w14:lumMod w14:val="95000"/>
                <w14:lumOff w14:val="5000"/>
              </w14:schemeClr>
            </w14:solidFill>
          </w14:textFill>
        </w:rPr>
        <w:t>吨，累计下降了</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82.64</w:t>
      </w:r>
      <w:r>
        <w:rPr>
          <w:color w:val="0D0D0D" w:themeColor="text1" w:themeTint="F2"/>
          <w:szCs w:val="28"/>
          <w:highlight w:val="none"/>
          <w14:textFill>
            <w14:solidFill>
              <w14:schemeClr w14:val="tx1">
                <w14:lumMod w14:val="95000"/>
                <w14:lumOff w14:val="5000"/>
              </w14:schemeClr>
            </w14:solidFill>
          </w14:textFill>
        </w:rPr>
        <w:t>%；烟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尘排放量有所波动，但总体排放量相较区域其他县</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市、区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体量非常小。挥发性有机物排放量201</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9</w:t>
      </w:r>
      <w:r>
        <w:rPr>
          <w:color w:val="0D0D0D" w:themeColor="text1" w:themeTint="F2"/>
          <w:szCs w:val="28"/>
          <w:highlight w:val="none"/>
          <w14:textFill>
            <w14:solidFill>
              <w14:schemeClr w14:val="tx1">
                <w14:lumMod w14:val="95000"/>
                <w14:lumOff w14:val="5000"/>
              </w14:schemeClr>
            </w14:solidFill>
          </w14:textFill>
        </w:rPr>
        <w:t>年排放量为</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3.61</w:t>
      </w:r>
      <w:r>
        <w:rPr>
          <w:color w:val="0D0D0D" w:themeColor="text1" w:themeTint="F2"/>
          <w:szCs w:val="28"/>
          <w:highlight w:val="none"/>
          <w14:textFill>
            <w14:solidFill>
              <w14:schemeClr w14:val="tx1">
                <w14:lumMod w14:val="95000"/>
                <w14:lumOff w14:val="5000"/>
              </w14:schemeClr>
            </w14:solidFill>
          </w14:textFill>
        </w:rPr>
        <w:t>吨，比2016年增长了</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14.24</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表2-</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4</w:t>
      </w:r>
      <w:r>
        <w:rPr>
          <w:b/>
          <w:color w:val="0D0D0D" w:themeColor="text1" w:themeTint="F2"/>
          <w:sz w:val="24"/>
          <w:szCs w:val="24"/>
          <w:highlight w:val="none"/>
          <w14:textFill>
            <w14:solidFill>
              <w14:schemeClr w14:val="tx1">
                <w14:lumMod w14:val="95000"/>
                <w14:lumOff w14:val="5000"/>
              </w14:schemeClr>
            </w14:solidFill>
          </w14:textFill>
        </w:rPr>
        <w:t xml:space="preserve"> 2013-201</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9</w:t>
      </w:r>
      <w:r>
        <w:rPr>
          <w:b/>
          <w:color w:val="0D0D0D" w:themeColor="text1" w:themeTint="F2"/>
          <w:sz w:val="24"/>
          <w:szCs w:val="24"/>
          <w:highlight w:val="none"/>
          <w14:textFill>
            <w14:solidFill>
              <w14:schemeClr w14:val="tx1">
                <w14:lumMod w14:val="95000"/>
                <w14:lumOff w14:val="5000"/>
              </w14:schemeClr>
            </w14:solidFill>
          </w14:textFill>
        </w:rPr>
        <w:t>年景宁畲族自治县重点企业大气污染物排放情况</w:t>
      </w:r>
    </w:p>
    <w:tbl>
      <w:tblPr>
        <w:tblStyle w:val="18"/>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659"/>
        <w:gridCol w:w="1659"/>
        <w:gridCol w:w="1659"/>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年份</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二氧化硫</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氮氧化物</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烟</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粉</w:t>
            </w:r>
            <w:r>
              <w:rPr>
                <w:rFonts w:hint="eastAsia" w:cs="Times New Roman"/>
                <w:b/>
                <w:bCs/>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尘</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pPr>
            <w:r>
              <w:rPr>
                <w:rFonts w:hint="default" w:ascii="Times New Roman" w:hAnsi="Times New Roman" w:eastAsia="仿宋_GB2312" w:cs="Times New Roman"/>
                <w:b/>
                <w:bCs/>
                <w:color w:val="0D0D0D" w:themeColor="text1" w:themeTint="F2"/>
                <w:kern w:val="0"/>
                <w:sz w:val="24"/>
                <w:szCs w:val="24"/>
                <w:highlight w:val="none"/>
                <w14:textFill>
                  <w14:solidFill>
                    <w14:schemeClr w14:val="tx1">
                      <w14:lumMod w14:val="95000"/>
                      <w14:lumOff w14:val="5000"/>
                    </w14:schemeClr>
                  </w14:solidFill>
                </w14:textFill>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2013</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301.03</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84.02</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2014</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252.83</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93.01</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0.81</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2015</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194.03</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93.06</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6.31</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2016</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9.29</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9.33</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3.37</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2017</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0</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0.19</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9.54</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14:textFill>
                  <w14:solidFill>
                    <w14:schemeClr w14:val="tx1">
                      <w14:lumMod w14:val="95000"/>
                      <w14:lumOff w14:val="5000"/>
                    </w14:schemeClr>
                  </w14:solidFill>
                </w14:textFill>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2018</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0</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0.68</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4.04</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2019</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6.30</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14.59</w:t>
            </w:r>
          </w:p>
        </w:tc>
        <w:tc>
          <w:tcPr>
            <w:tcW w:w="1659"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3.66</w:t>
            </w:r>
          </w:p>
        </w:tc>
        <w:tc>
          <w:tcPr>
            <w:tcW w:w="1832" w:type="dxa"/>
            <w:shd w:val="clear" w:color="auto" w:fill="auto"/>
            <w:vAlign w:val="center"/>
          </w:tcPr>
          <w:p>
            <w:pPr>
              <w:widowControl/>
              <w:spacing w:line="240" w:lineRule="auto"/>
              <w:jc w:val="cente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仿宋_GB2312" w:cs="Times New Roman"/>
                <w:color w:val="0D0D0D" w:themeColor="text1" w:themeTint="F2"/>
                <w:kern w:val="0"/>
                <w:sz w:val="24"/>
                <w:szCs w:val="24"/>
                <w:highlight w:val="none"/>
                <w:lang w:val="en-US" w:eastAsia="zh-CN"/>
                <w14:textFill>
                  <w14:solidFill>
                    <w14:schemeClr w14:val="tx1">
                      <w14:lumMod w14:val="95000"/>
                      <w14:lumOff w14:val="5000"/>
                    </w14:schemeClr>
                  </w14:solidFill>
                </w14:textFill>
              </w:rPr>
              <w:t>3.61</w:t>
            </w:r>
          </w:p>
        </w:tc>
      </w:tr>
    </w:tbl>
    <w:p>
      <w:pPr>
        <w:spacing w:before="95" w:beforeLines="25" w:after="95" w:afterLines="25"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val="en-US" w:eastAsia="zh-CN"/>
          <w14:textFill>
            <w14:solidFill>
              <w14:schemeClr w14:val="tx1">
                <w14:lumMod w14:val="95000"/>
                <w14:lumOff w14:val="5000"/>
              </w14:schemeClr>
            </w14:solidFill>
          </w14:textFill>
        </w:rPr>
        <w:t>总体来说</w:t>
      </w:r>
      <w:r>
        <w:rPr>
          <w:color w:val="0D0D0D" w:themeColor="text1" w:themeTint="F2"/>
          <w:szCs w:val="28"/>
          <w:highlight w:val="none"/>
          <w14:textFill>
            <w14:solidFill>
              <w14:schemeClr w14:val="tx1">
                <w14:lumMod w14:val="95000"/>
                <w14:lumOff w14:val="5000"/>
              </w14:schemeClr>
            </w14:solidFill>
          </w14:textFill>
        </w:rPr>
        <w:t>，景宁县大气污染物排放量相较其他县</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市、区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非常微小；就其区域实际来看，木材加工制造业</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主要分布在红星街道</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产生的烟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尘和挥发性有机物是最为主要的地区大气污染物来源，农副食品加工业</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位于鹤溪街道</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带来少量的氮氧化物和烟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尘的污染排放，其余当地重点行业</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非金属矿选业、黑色金属冶炼和压延加工业等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基本没有大气污染物排放情况存在。景宁县全域没有任何大气污染物重点源，总体污染负荷基础好，对后续大气环境的提升和保持有着非常积极正面的影响。</w:t>
      </w:r>
    </w:p>
    <w:p>
      <w:pP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br w:type="page"/>
      </w:r>
    </w:p>
    <w:p>
      <w:pPr>
        <w:pStyle w:val="2"/>
        <w:spacing w:after="0"/>
        <w:rPr>
          <w:color w:val="0D0D0D" w:themeColor="text1" w:themeTint="F2"/>
          <w:sz w:val="32"/>
          <w:szCs w:val="32"/>
          <w:highlight w:val="none"/>
          <w14:textFill>
            <w14:solidFill>
              <w14:schemeClr w14:val="tx1">
                <w14:lumMod w14:val="95000"/>
                <w14:lumOff w14:val="5000"/>
              </w14:schemeClr>
            </w14:solidFill>
          </w14:textFill>
        </w:rPr>
      </w:pPr>
      <w:bookmarkStart w:id="34" w:name="_Toc16393"/>
      <w:bookmarkStart w:id="35" w:name="_Toc39133137"/>
      <w:bookmarkStart w:id="36" w:name="_Toc514167209"/>
      <w:r>
        <w:rPr>
          <w:rFonts w:hint="eastAsia"/>
          <w:color w:val="0D0D0D" w:themeColor="text1" w:themeTint="F2"/>
          <w:sz w:val="32"/>
          <w:szCs w:val="32"/>
          <w:highlight w:val="none"/>
          <w14:textFill>
            <w14:solidFill>
              <w14:schemeClr w14:val="tx1">
                <w14:lumMod w14:val="95000"/>
                <w14:lumOff w14:val="5000"/>
              </w14:schemeClr>
            </w14:solidFill>
          </w14:textFill>
        </w:rPr>
        <w:t>3</w:t>
      </w:r>
      <w:r>
        <w:rPr>
          <w:color w:val="0D0D0D" w:themeColor="text1" w:themeTint="F2"/>
          <w:sz w:val="32"/>
          <w:szCs w:val="32"/>
          <w:highlight w:val="none"/>
          <w14:textFill>
            <w14:solidFill>
              <w14:schemeClr w14:val="tx1">
                <w14:lumMod w14:val="95000"/>
                <w14:lumOff w14:val="5000"/>
              </w14:schemeClr>
            </w14:solidFill>
          </w14:textFill>
        </w:rPr>
        <w:t xml:space="preserve"> </w:t>
      </w:r>
      <w:r>
        <w:rPr>
          <w:rFonts w:hint="eastAsia"/>
          <w:color w:val="0D0D0D" w:themeColor="text1" w:themeTint="F2"/>
          <w:sz w:val="32"/>
          <w:szCs w:val="32"/>
          <w:highlight w:val="none"/>
          <w14:textFill>
            <w14:solidFill>
              <w14:schemeClr w14:val="tx1">
                <w14:lumMod w14:val="95000"/>
                <w14:lumOff w14:val="5000"/>
              </w14:schemeClr>
            </w14:solidFill>
          </w14:textFill>
        </w:rPr>
        <w:t>相关规划衔接</w:t>
      </w:r>
      <w:bookmarkEnd w:id="34"/>
    </w:p>
    <w:bookmarkEnd w:id="35"/>
    <w:bookmarkEnd w:id="36"/>
    <w:p>
      <w:pPr>
        <w:pStyle w:val="3"/>
        <w:spacing w:before="95" w:beforeLines="25"/>
        <w:rPr>
          <w:color w:val="0D0D0D" w:themeColor="text1" w:themeTint="F2"/>
          <w:sz w:val="28"/>
          <w:szCs w:val="28"/>
          <w:highlight w:val="none"/>
          <w14:textFill>
            <w14:solidFill>
              <w14:schemeClr w14:val="tx1">
                <w14:lumMod w14:val="95000"/>
                <w14:lumOff w14:val="5000"/>
              </w14:schemeClr>
            </w14:solidFill>
          </w14:textFill>
        </w:rPr>
      </w:pPr>
      <w:bookmarkStart w:id="37" w:name="_Toc31280"/>
      <w:bookmarkStart w:id="38" w:name="_Toc39133139"/>
      <w:bookmarkStart w:id="39" w:name="_Toc514167211"/>
      <w:r>
        <w:rPr>
          <w:color w:val="0D0D0D" w:themeColor="text1" w:themeTint="F2"/>
          <w:sz w:val="28"/>
          <w:szCs w:val="28"/>
          <w:highlight w:val="none"/>
          <w14:textFill>
            <w14:solidFill>
              <w14:schemeClr w14:val="tx1">
                <w14:lumMod w14:val="95000"/>
                <w14:lumOff w14:val="5000"/>
              </w14:schemeClr>
            </w14:solidFill>
          </w14:textFill>
        </w:rPr>
        <w:t xml:space="preserve">3.1 </w:t>
      </w:r>
      <w:r>
        <w:rPr>
          <w:rFonts w:hint="eastAsia"/>
          <w:color w:val="0D0D0D" w:themeColor="text1" w:themeTint="F2"/>
          <w:sz w:val="28"/>
          <w:szCs w:val="28"/>
          <w:highlight w:val="none"/>
          <w14:textFill>
            <w14:solidFill>
              <w14:schemeClr w14:val="tx1">
                <w14:lumMod w14:val="95000"/>
                <w14:lumOff w14:val="5000"/>
              </w14:schemeClr>
            </w14:solidFill>
          </w14:textFill>
        </w:rPr>
        <w:t>与自然保护地衔接情况</w:t>
      </w:r>
      <w:bookmarkEnd w:id="37"/>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根据《浙江省省级自然保护区名录》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截止2017年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，国家公园有丽水百山祖国家公园；自然保护区有景宁大仰湖湿地群省级自然保护区、景宁望东</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垟</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高山湿地省级自然保护区；省级风景名胜区有云中大</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漈</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风景名胜区；森</w:t>
      </w:r>
      <w:r>
        <w:rPr>
          <w:rFonts w:hint="eastAsia"/>
          <w:color w:val="0D0D0D" w:themeColor="text1" w:themeTint="F2"/>
          <w:szCs w:val="28"/>
          <w:highlight w:val="none"/>
          <w14:textFill>
            <w14:solidFill>
              <w14:schemeClr w14:val="tx1">
                <w14:lumMod w14:val="95000"/>
                <w14:lumOff w14:val="5000"/>
              </w14:schemeClr>
            </w14:solidFill>
          </w14:textFill>
        </w:rPr>
        <w:t>林公园有浙江畲乡草鱼塘森林公园；地质公园有景宁九龙山省级地质公园</w:t>
      </w:r>
      <w:r>
        <w:rPr>
          <w:color w:val="0D0D0D" w:themeColor="text1" w:themeTint="F2"/>
          <w:szCs w:val="28"/>
          <w:highlight w:val="none"/>
          <w14:textFill>
            <w14:solidFill>
              <w14:schemeClr w14:val="tx1">
                <w14:lumMod w14:val="95000"/>
                <w14:lumOff w14:val="5000"/>
              </w14:schemeClr>
            </w14:solidFill>
          </w14:textFill>
        </w:rPr>
        <w:t>。</w:t>
      </w:r>
    </w:p>
    <w:p>
      <w:pPr>
        <w:spacing w:after="95" w:after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表3-1 景宁畲族自治县省级以上自然保护区情况</w:t>
      </w:r>
    </w:p>
    <w:tbl>
      <w:tblPr>
        <w:tblStyle w:val="18"/>
        <w:tblW w:w="8779" w:type="dxa"/>
        <w:jc w:val="center"/>
        <w:tblLayout w:type="autofit"/>
        <w:tblCellMar>
          <w:top w:w="0" w:type="dxa"/>
          <w:left w:w="108" w:type="dxa"/>
          <w:bottom w:w="0" w:type="dxa"/>
          <w:right w:w="108" w:type="dxa"/>
        </w:tblCellMar>
      </w:tblPr>
      <w:tblGrid>
        <w:gridCol w:w="699"/>
        <w:gridCol w:w="1985"/>
        <w:gridCol w:w="1559"/>
        <w:gridCol w:w="1417"/>
        <w:gridCol w:w="1418"/>
        <w:gridCol w:w="1701"/>
      </w:tblGrid>
      <w:tr>
        <w:tblPrEx>
          <w:tblCellMar>
            <w:top w:w="0" w:type="dxa"/>
            <w:left w:w="108" w:type="dxa"/>
            <w:bottom w:w="0" w:type="dxa"/>
            <w:right w:w="108" w:type="dxa"/>
          </w:tblCellMar>
        </w:tblPrEx>
        <w:trPr>
          <w:trHeight w:val="632" w:hRule="atLeast"/>
          <w:jc w:val="center"/>
        </w:trPr>
        <w:tc>
          <w:tcPr>
            <w:tcW w:w="699" w:type="dxa"/>
            <w:tcBorders>
              <w:top w:val="single" w:color="auto" w:sz="8" w:space="0"/>
              <w:left w:val="single" w:color="auto" w:sz="8" w:space="0"/>
              <w:bottom w:val="single" w:color="auto" w:sz="8" w:space="0"/>
              <w:right w:val="single" w:color="auto" w:sz="8" w:space="0"/>
            </w:tcBorders>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rFonts w:hint="eastAsia"/>
                <w:b/>
                <w:bCs/>
                <w:color w:val="0D0D0D" w:themeColor="text1" w:themeTint="F2"/>
                <w:sz w:val="24"/>
                <w:szCs w:val="24"/>
                <w:highlight w:val="none"/>
                <w14:textFill>
                  <w14:solidFill>
                    <w14:schemeClr w14:val="tx1">
                      <w14:lumMod w14:val="95000"/>
                      <w14:lumOff w14:val="5000"/>
                    </w14:schemeClr>
                  </w14:solidFill>
                </w14:textFill>
              </w:rPr>
              <w:t>序号</w:t>
            </w:r>
          </w:p>
        </w:tc>
        <w:tc>
          <w:tcPr>
            <w:tcW w:w="1985" w:type="dxa"/>
            <w:tcBorders>
              <w:top w:val="single" w:color="auto" w:sz="8" w:space="0"/>
              <w:left w:val="single" w:color="auto" w:sz="8" w:space="0"/>
              <w:bottom w:val="single" w:color="auto" w:sz="8" w:space="0"/>
              <w:right w:val="single" w:color="auto" w:sz="8" w:space="0"/>
            </w:tcBorders>
            <w:shd w:val="clear" w:color="auto" w:fill="auto"/>
            <w:noWrap/>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名称</w:t>
            </w:r>
          </w:p>
        </w:tc>
        <w:tc>
          <w:tcPr>
            <w:tcW w:w="1559" w:type="dxa"/>
            <w:tcBorders>
              <w:top w:val="single" w:color="auto" w:sz="8" w:space="0"/>
              <w:left w:val="nil"/>
              <w:bottom w:val="single" w:color="auto" w:sz="8" w:space="0"/>
              <w:right w:val="single" w:color="auto" w:sz="8" w:space="0"/>
            </w:tcBorders>
            <w:shd w:val="clear" w:color="auto" w:fill="auto"/>
            <w:noWrap/>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分区</w:t>
            </w:r>
          </w:p>
        </w:tc>
        <w:tc>
          <w:tcPr>
            <w:tcW w:w="1417" w:type="dxa"/>
            <w:tcBorders>
              <w:top w:val="single" w:color="auto" w:sz="8" w:space="0"/>
              <w:left w:val="nil"/>
              <w:bottom w:val="single" w:color="auto" w:sz="8" w:space="0"/>
              <w:right w:val="single" w:color="auto" w:sz="8" w:space="0"/>
            </w:tcBorders>
            <w:shd w:val="clear" w:color="auto" w:fill="auto"/>
            <w:noWrap/>
            <w:vAlign w:val="center"/>
          </w:tcPr>
          <w:p>
            <w:pPr>
              <w:spacing w:line="320" w:lineRule="exact"/>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面积</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b/>
                <w:bCs/>
                <w:color w:val="0D0D0D" w:themeColor="text1" w:themeTint="F2"/>
                <w:sz w:val="24"/>
                <w:szCs w:val="24"/>
                <w:highlight w:val="none"/>
                <w14:textFill>
                  <w14:solidFill>
                    <w14:schemeClr w14:val="tx1">
                      <w14:lumMod w14:val="95000"/>
                      <w14:lumOff w14:val="5000"/>
                    </w14:schemeClr>
                  </w14:solidFill>
                </w14:textFill>
              </w:rPr>
              <w:t>km</w:t>
            </w:r>
            <w:r>
              <w:rPr>
                <w:b/>
                <w:bCs/>
                <w:color w:val="0D0D0D" w:themeColor="text1" w:themeTint="F2"/>
                <w:sz w:val="24"/>
                <w:szCs w:val="24"/>
                <w:highlight w:val="none"/>
                <w:vertAlign w:val="superscript"/>
                <w14:textFill>
                  <w14:solidFill>
                    <w14:schemeClr w14:val="tx1">
                      <w14:lumMod w14:val="95000"/>
                      <w14:lumOff w14:val="5000"/>
                    </w14:schemeClr>
                  </w14:solidFill>
                </w14:textFill>
              </w:rPr>
              <w:t>2</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418" w:type="dxa"/>
            <w:tcBorders>
              <w:top w:val="single" w:color="auto" w:sz="8" w:space="0"/>
              <w:left w:val="nil"/>
              <w:bottom w:val="single" w:color="auto" w:sz="8" w:space="0"/>
              <w:right w:val="single" w:color="auto" w:sz="8" w:space="0"/>
            </w:tcBorders>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rFonts w:hint="eastAsia"/>
                <w:b/>
                <w:bCs/>
                <w:color w:val="0D0D0D" w:themeColor="text1" w:themeTint="F2"/>
                <w:sz w:val="24"/>
                <w:szCs w:val="24"/>
                <w:highlight w:val="none"/>
                <w14:textFill>
                  <w14:solidFill>
                    <w14:schemeClr w14:val="tx1">
                      <w14:lumMod w14:val="95000"/>
                      <w14:lumOff w14:val="5000"/>
                    </w14:schemeClr>
                  </w14:solidFill>
                </w14:textFill>
              </w:rPr>
              <w:t>类别</w:t>
            </w:r>
          </w:p>
        </w:tc>
        <w:tc>
          <w:tcPr>
            <w:tcW w:w="1701" w:type="dxa"/>
            <w:tcBorders>
              <w:top w:val="single" w:color="auto" w:sz="8" w:space="0"/>
              <w:left w:val="nil"/>
              <w:bottom w:val="single" w:color="auto" w:sz="8" w:space="0"/>
              <w:right w:val="single" w:color="auto" w:sz="8" w:space="0"/>
            </w:tcBorders>
            <w:vAlign w:val="center"/>
          </w:tcPr>
          <w:p>
            <w:pPr>
              <w:spacing w:line="320" w:lineRule="exact"/>
              <w:jc w:val="center"/>
              <w:rPr>
                <w:b/>
                <w:bCs/>
                <w:color w:val="0D0D0D" w:themeColor="text1" w:themeTint="F2"/>
                <w:sz w:val="24"/>
                <w:szCs w:val="24"/>
                <w:highlight w:val="none"/>
                <w14:textFill>
                  <w14:solidFill>
                    <w14:schemeClr w14:val="tx1">
                      <w14:lumMod w14:val="95000"/>
                      <w14:lumOff w14:val="5000"/>
                    </w14:schemeClr>
                  </w14:solidFill>
                </w14:textFill>
              </w:rPr>
            </w:pPr>
            <w:r>
              <w:rPr>
                <w:rFonts w:hint="eastAsia"/>
                <w:b/>
                <w:bCs/>
                <w:color w:val="0D0D0D" w:themeColor="text1" w:themeTint="F2"/>
                <w:sz w:val="24"/>
                <w:szCs w:val="24"/>
                <w:highlight w:val="none"/>
                <w14:textFill>
                  <w14:solidFill>
                    <w14:schemeClr w14:val="tx1">
                      <w14:lumMod w14:val="95000"/>
                      <w14:lumOff w14:val="5000"/>
                    </w14:schemeClr>
                  </w14:solidFill>
                </w14:textFill>
              </w:rPr>
              <w:t>划入“一类区”比例</w:t>
            </w:r>
          </w:p>
        </w:tc>
      </w:tr>
      <w:tr>
        <w:tblPrEx>
          <w:tblCellMar>
            <w:top w:w="0" w:type="dxa"/>
            <w:left w:w="108" w:type="dxa"/>
            <w:bottom w:w="0" w:type="dxa"/>
            <w:right w:w="108" w:type="dxa"/>
          </w:tblCellMar>
        </w:tblPrEx>
        <w:trPr>
          <w:trHeight w:val="30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丽水百山祖国家公园</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核心保护区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22.25</w:t>
            </w:r>
          </w:p>
        </w:tc>
        <w:tc>
          <w:tcPr>
            <w:tcW w:w="1418"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森林公园</w:t>
            </w:r>
          </w:p>
        </w:tc>
        <w:tc>
          <w:tcPr>
            <w:tcW w:w="1701"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一般控制区</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28.88</w:t>
            </w:r>
          </w:p>
        </w:tc>
        <w:tc>
          <w:tcPr>
            <w:tcW w:w="1418" w:type="dxa"/>
            <w:vMerge w:val="continue"/>
            <w:tcBorders>
              <w:left w:val="nil"/>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left w:val="nil"/>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51.12</w:t>
            </w:r>
          </w:p>
        </w:tc>
        <w:tc>
          <w:tcPr>
            <w:tcW w:w="1418"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left w:val="nil"/>
              <w:bottom w:val="single" w:color="auto" w:sz="4"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30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2</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景宁大仰湖湿地群省级自然保护区</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核心保护区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9.85</w:t>
            </w:r>
          </w:p>
        </w:tc>
        <w:tc>
          <w:tcPr>
            <w:tcW w:w="1418" w:type="dxa"/>
            <w:vMerge w:val="restart"/>
            <w:tcBorders>
              <w:top w:val="nil"/>
              <w:left w:val="nil"/>
              <w:right w:val="single" w:color="auto" w:sz="4"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湿地保护区</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一般管控区</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11.32</w:t>
            </w:r>
          </w:p>
        </w:tc>
        <w:tc>
          <w:tcPr>
            <w:tcW w:w="1418" w:type="dxa"/>
            <w:vMerge w:val="continue"/>
            <w:tcBorders>
              <w:left w:val="nil"/>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21.17</w:t>
            </w:r>
          </w:p>
        </w:tc>
        <w:tc>
          <w:tcPr>
            <w:tcW w:w="1418" w:type="dxa"/>
            <w:vMerge w:val="continue"/>
            <w:tcBorders>
              <w:left w:val="nil"/>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30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景宁望东</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垟</w:t>
            </w:r>
            <w:r>
              <w:rPr>
                <w:color w:val="0D0D0D" w:themeColor="text1" w:themeTint="F2"/>
                <w:sz w:val="24"/>
                <w:szCs w:val="24"/>
                <w:highlight w:val="none"/>
                <w14:textFill>
                  <w14:solidFill>
                    <w14:schemeClr w14:val="tx1">
                      <w14:lumMod w14:val="95000"/>
                      <w14:lumOff w14:val="5000"/>
                    </w14:schemeClr>
                  </w14:solidFill>
                </w14:textFill>
              </w:rPr>
              <w:t>高山湿地省级自然保护区</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核心保护区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7.76</w:t>
            </w:r>
          </w:p>
        </w:tc>
        <w:tc>
          <w:tcPr>
            <w:tcW w:w="1418" w:type="dxa"/>
            <w:vMerge w:val="continue"/>
            <w:tcBorders>
              <w:left w:val="nil"/>
              <w:right w:val="single" w:color="auto" w:sz="4"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一般管控区</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7.55</w:t>
            </w:r>
          </w:p>
        </w:tc>
        <w:tc>
          <w:tcPr>
            <w:tcW w:w="1418" w:type="dxa"/>
            <w:vMerge w:val="continue"/>
            <w:tcBorders>
              <w:left w:val="nil"/>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15.31</w:t>
            </w:r>
          </w:p>
        </w:tc>
        <w:tc>
          <w:tcPr>
            <w:tcW w:w="1418" w:type="dxa"/>
            <w:vMerge w:val="continue"/>
            <w:tcBorders>
              <w:left w:val="nil"/>
              <w:bottom w:val="single" w:color="auto" w:sz="8" w:space="0"/>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30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云中大</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漈</w:t>
            </w:r>
            <w:r>
              <w:rPr>
                <w:color w:val="0D0D0D" w:themeColor="text1" w:themeTint="F2"/>
                <w:sz w:val="24"/>
                <w:szCs w:val="24"/>
                <w:highlight w:val="none"/>
                <w14:textFill>
                  <w14:solidFill>
                    <w14:schemeClr w14:val="tx1">
                      <w14:lumMod w14:val="95000"/>
                      <w14:lumOff w14:val="5000"/>
                    </w14:schemeClr>
                  </w14:solidFill>
                </w14:textFill>
              </w:rPr>
              <w:t>风景名胜区</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一般管控区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46.74</w:t>
            </w:r>
          </w:p>
        </w:tc>
        <w:tc>
          <w:tcPr>
            <w:tcW w:w="1418"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风景名胜区</w:t>
            </w:r>
          </w:p>
        </w:tc>
        <w:tc>
          <w:tcPr>
            <w:tcW w:w="1701" w:type="dxa"/>
            <w:vMerge w:val="restart"/>
            <w:tcBorders>
              <w:top w:val="single" w:color="auto" w:sz="4" w:space="0"/>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46.74</w:t>
            </w:r>
          </w:p>
        </w:tc>
        <w:tc>
          <w:tcPr>
            <w:tcW w:w="1418"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27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5</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浙江畲乡草鱼塘国家森林公园</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一般管控区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11.31</w:t>
            </w:r>
          </w:p>
        </w:tc>
        <w:tc>
          <w:tcPr>
            <w:tcW w:w="1418"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森林公园</w:t>
            </w:r>
          </w:p>
        </w:tc>
        <w:tc>
          <w:tcPr>
            <w:tcW w:w="1701"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11.31</w:t>
            </w:r>
          </w:p>
        </w:tc>
        <w:tc>
          <w:tcPr>
            <w:tcW w:w="1418"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r>
        <w:tblPrEx>
          <w:tblCellMar>
            <w:top w:w="0" w:type="dxa"/>
            <w:left w:w="108" w:type="dxa"/>
            <w:bottom w:w="0" w:type="dxa"/>
            <w:right w:w="108" w:type="dxa"/>
          </w:tblCellMar>
        </w:tblPrEx>
        <w:trPr>
          <w:trHeight w:val="270" w:hRule="atLeast"/>
          <w:jc w:val="center"/>
        </w:trPr>
        <w:tc>
          <w:tcPr>
            <w:tcW w:w="699" w:type="dxa"/>
            <w:vMerge w:val="restart"/>
            <w:tcBorders>
              <w:top w:val="nil"/>
              <w:left w:val="single" w:color="auto" w:sz="8" w:space="0"/>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6</w:t>
            </w:r>
          </w:p>
        </w:tc>
        <w:tc>
          <w:tcPr>
            <w:tcW w:w="1985" w:type="dxa"/>
            <w:vMerge w:val="restart"/>
            <w:tcBorders>
              <w:top w:val="nil"/>
              <w:left w:val="single" w:color="auto" w:sz="8" w:space="0"/>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浙江景宁九龙省级地质公园</w:t>
            </w:r>
          </w:p>
        </w:tc>
        <w:tc>
          <w:tcPr>
            <w:tcW w:w="1559"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一般管控区</w:t>
            </w:r>
          </w:p>
        </w:tc>
        <w:tc>
          <w:tcPr>
            <w:tcW w:w="1417" w:type="dxa"/>
            <w:tcBorders>
              <w:top w:val="nil"/>
              <w:left w:val="nil"/>
              <w:bottom w:val="single" w:color="auto" w:sz="8" w:space="0"/>
              <w:right w:val="single" w:color="auto" w:sz="8" w:space="0"/>
            </w:tcBorders>
            <w:shd w:val="clear" w:color="auto" w:fill="auto"/>
            <w:noWrap/>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28.43</w:t>
            </w:r>
          </w:p>
        </w:tc>
        <w:tc>
          <w:tcPr>
            <w:tcW w:w="1418"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地质公园</w:t>
            </w:r>
          </w:p>
        </w:tc>
        <w:tc>
          <w:tcPr>
            <w:tcW w:w="1701" w:type="dxa"/>
            <w:vMerge w:val="restart"/>
            <w:tcBorders>
              <w:top w:val="nil"/>
              <w:left w:val="nil"/>
              <w:right w:val="single" w:color="auto" w:sz="8" w:space="0"/>
            </w:tcBorders>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00</w:t>
            </w:r>
            <w:r>
              <w:rPr>
                <w:rFonts w:hint="eastAsia"/>
                <w:color w:val="0D0D0D" w:themeColor="text1" w:themeTint="F2"/>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70" w:hRule="atLeast"/>
          <w:jc w:val="center"/>
        </w:trPr>
        <w:tc>
          <w:tcPr>
            <w:tcW w:w="699" w:type="dxa"/>
            <w:vMerge w:val="continue"/>
            <w:tcBorders>
              <w:left w:val="single" w:color="auto" w:sz="8" w:space="0"/>
              <w:bottom w:val="single" w:color="auto" w:sz="8" w:space="0"/>
              <w:right w:val="single" w:color="auto" w:sz="8" w:space="0"/>
            </w:tcBorders>
            <w:vAlign w:val="center"/>
          </w:tcPr>
          <w:p>
            <w:pPr>
              <w:widowControl/>
              <w:spacing w:line="240" w:lineRule="auto"/>
              <w:jc w:val="left"/>
              <w:rPr>
                <w:color w:val="0D0D0D" w:themeColor="text1" w:themeTint="F2"/>
                <w:sz w:val="24"/>
                <w:szCs w:val="24"/>
                <w:highlight w:val="none"/>
                <w14:textFill>
                  <w14:solidFill>
                    <w14:schemeClr w14:val="tx1">
                      <w14:lumMod w14:val="95000"/>
                      <w14:lumOff w14:val="5000"/>
                    </w14:schemeClr>
                  </w14:solidFill>
                </w14:textFill>
              </w:rPr>
            </w:pPr>
          </w:p>
        </w:tc>
        <w:tc>
          <w:tcPr>
            <w:tcW w:w="1985" w:type="dxa"/>
            <w:vMerge w:val="continue"/>
            <w:tcBorders>
              <w:top w:val="nil"/>
              <w:left w:val="single" w:color="auto" w:sz="8" w:space="0"/>
              <w:bottom w:val="single" w:color="auto" w:sz="8" w:space="0"/>
              <w:right w:val="single" w:color="auto" w:sz="8" w:space="0"/>
            </w:tcBorders>
            <w:vAlign w:val="center"/>
          </w:tcPr>
          <w:p>
            <w:pPr>
              <w:widowControl/>
              <w:spacing w:line="240" w:lineRule="auto"/>
              <w:jc w:val="left"/>
              <w:rPr>
                <w:color w:val="0D0D0D" w:themeColor="text1" w:themeTint="F2"/>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汇总</w:t>
            </w:r>
          </w:p>
        </w:tc>
        <w:tc>
          <w:tcPr>
            <w:tcW w:w="1417" w:type="dxa"/>
            <w:tcBorders>
              <w:top w:val="nil"/>
              <w:left w:val="nil"/>
              <w:bottom w:val="single" w:color="auto" w:sz="8" w:space="0"/>
              <w:right w:val="single" w:color="auto" w:sz="8" w:space="0"/>
            </w:tcBorders>
            <w:shd w:val="clear" w:color="auto" w:fill="auto"/>
            <w:noWrap/>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28.43</w:t>
            </w:r>
          </w:p>
        </w:tc>
        <w:tc>
          <w:tcPr>
            <w:tcW w:w="1418"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701" w:type="dxa"/>
            <w:vMerge w:val="continue"/>
            <w:tcBorders>
              <w:left w:val="nil"/>
              <w:bottom w:val="single" w:color="auto" w:sz="8" w:space="0"/>
              <w:right w:val="single" w:color="auto" w:sz="8" w:space="0"/>
            </w:tcBorders>
            <w:vAlign w:val="center"/>
          </w:tcPr>
          <w:p>
            <w:pPr>
              <w:widowControl/>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r>
    </w:tbl>
    <w:p>
      <w:pPr>
        <w:spacing w:before="76" w:beforeLines="20"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本次环境空气质量功能区划已按照《环境空气质量标准》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w:t>
      </w:r>
      <w:r>
        <w:rPr>
          <w:color w:val="0D0D0D" w:themeColor="text1" w:themeTint="F2"/>
          <w:szCs w:val="28"/>
          <w:highlight w:val="none"/>
          <w14:textFill>
            <w14:solidFill>
              <w14:schemeClr w14:val="tx1">
                <w14:lumMod w14:val="95000"/>
                <w14:lumOff w14:val="5000"/>
              </w14:schemeClr>
            </w14:solidFill>
          </w14:textFill>
        </w:rPr>
        <w:t>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中一类区要求，将上述自然保护区全部纳入一类区范围，区域划入比例为1</w:t>
      </w:r>
      <w:r>
        <w:rPr>
          <w:color w:val="0D0D0D" w:themeColor="text1" w:themeTint="F2"/>
          <w:szCs w:val="28"/>
          <w:highlight w:val="none"/>
          <w14:textFill>
            <w14:solidFill>
              <w14:schemeClr w14:val="tx1">
                <w14:lumMod w14:val="95000"/>
                <w14:lumOff w14:val="5000"/>
              </w14:schemeClr>
            </w14:solidFill>
          </w14:textFill>
        </w:rPr>
        <w:t>00</w:t>
      </w:r>
      <w:r>
        <w:rPr>
          <w:rFonts w:hint="eastAsia"/>
          <w:color w:val="0D0D0D" w:themeColor="text1" w:themeTint="F2"/>
          <w:szCs w:val="28"/>
          <w:highlight w:val="none"/>
          <w14:textFill>
            <w14:solidFill>
              <w14:schemeClr w14:val="tx1">
                <w14:lumMod w14:val="95000"/>
                <w14:lumOff w14:val="5000"/>
              </w14:schemeClr>
            </w14:solidFill>
          </w14:textFill>
        </w:rPr>
        <w:t>%。</w:t>
      </w:r>
    </w:p>
    <w:p>
      <w:pPr>
        <w:pStyle w:val="3"/>
        <w:spacing w:before="0" w:after="95" w:afterLines="25" w:line="560" w:lineRule="exact"/>
        <w:rPr>
          <w:color w:val="0D0D0D" w:themeColor="text1" w:themeTint="F2"/>
          <w:sz w:val="28"/>
          <w:szCs w:val="28"/>
          <w:highlight w:val="none"/>
          <w14:textFill>
            <w14:solidFill>
              <w14:schemeClr w14:val="tx1">
                <w14:lumMod w14:val="95000"/>
                <w14:lumOff w14:val="5000"/>
              </w14:schemeClr>
            </w14:solidFill>
          </w14:textFill>
        </w:rPr>
      </w:pPr>
      <w:bookmarkStart w:id="40" w:name="_Toc4524"/>
      <w:r>
        <w:rPr>
          <w:color w:val="0D0D0D" w:themeColor="text1" w:themeTint="F2"/>
          <w:sz w:val="28"/>
          <w:szCs w:val="28"/>
          <w:highlight w:val="none"/>
          <w14:textFill>
            <w14:solidFill>
              <w14:schemeClr w14:val="tx1">
                <w14:lumMod w14:val="95000"/>
                <w14:lumOff w14:val="5000"/>
              </w14:schemeClr>
            </w14:solidFill>
          </w14:textFill>
        </w:rPr>
        <w:t xml:space="preserve">3.2 </w:t>
      </w:r>
      <w:r>
        <w:rPr>
          <w:rFonts w:hint="eastAsia"/>
          <w:color w:val="0D0D0D" w:themeColor="text1" w:themeTint="F2"/>
          <w:sz w:val="28"/>
          <w:szCs w:val="28"/>
          <w:highlight w:val="none"/>
          <w14:textFill>
            <w14:solidFill>
              <w14:schemeClr w14:val="tx1">
                <w14:lumMod w14:val="95000"/>
                <w14:lumOff w14:val="5000"/>
              </w14:schemeClr>
            </w14:solidFill>
          </w14:textFill>
        </w:rPr>
        <w:t>与《</w:t>
      </w:r>
      <w:r>
        <w:rPr>
          <w:color w:val="0D0D0D" w:themeColor="text1" w:themeTint="F2"/>
          <w:sz w:val="28"/>
          <w:szCs w:val="28"/>
          <w:highlight w:val="none"/>
          <w14:textFill>
            <w14:solidFill>
              <w14:schemeClr w14:val="tx1">
                <w14:lumMod w14:val="95000"/>
                <w14:lumOff w14:val="5000"/>
              </w14:schemeClr>
            </w14:solidFill>
          </w14:textFill>
        </w:rPr>
        <w:t>浙江省主体功能区规划</w:t>
      </w:r>
      <w:r>
        <w:rPr>
          <w:rFonts w:hint="eastAsia"/>
          <w:color w:val="0D0D0D" w:themeColor="text1" w:themeTint="F2"/>
          <w:sz w:val="28"/>
          <w:szCs w:val="28"/>
          <w:highlight w:val="none"/>
          <w14:textFill>
            <w14:solidFill>
              <w14:schemeClr w14:val="tx1">
                <w14:lumMod w14:val="95000"/>
                <w14:lumOff w14:val="5000"/>
              </w14:schemeClr>
            </w14:solidFill>
          </w14:textFill>
        </w:rPr>
        <w:t>》</w:t>
      </w:r>
      <w:bookmarkEnd w:id="38"/>
      <w:bookmarkEnd w:id="39"/>
      <w:r>
        <w:rPr>
          <w:rFonts w:hint="eastAsia"/>
          <w:color w:val="0D0D0D" w:themeColor="text1" w:themeTint="F2"/>
          <w:sz w:val="28"/>
          <w:szCs w:val="28"/>
          <w:highlight w:val="none"/>
          <w14:textFill>
            <w14:solidFill>
              <w14:schemeClr w14:val="tx1">
                <w14:lumMod w14:val="95000"/>
                <w14:lumOff w14:val="5000"/>
              </w14:schemeClr>
            </w14:solidFill>
          </w14:textFill>
        </w:rPr>
        <w:t>衔接情况</w:t>
      </w:r>
      <w:bookmarkEnd w:id="40"/>
    </w:p>
    <w:p>
      <w:pPr>
        <w:spacing w:line="520" w:lineRule="exact"/>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县国家主体功能区建设试点示范方案》依据《全国主体功能区规划》、《国家发改委贯彻落实主体功能区战略推进主体功能区建设若干政策的意见》、《浙江省主体功能区规划》等规划和文件要求进行编制。《浙江省主体功能区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浙政发〔2013〕43号</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中涉及景宁县内容详见表3-1。</w:t>
      </w:r>
    </w:p>
    <w:p>
      <w:pPr>
        <w:spacing w:line="520" w:lineRule="exact"/>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在全域定位为省级重点生态功能区的前提下，根据保障生态安全、提供多种生态服务功能等要求，将景宁县划分为“三大空间、九类功能小区”。三大空间分别为生态保护空间、农业生产空间、城镇发展空间。根据生态承载力、生态环境特点、开发基础、管理方式等差异性特征，把三大空间进一步划分为九类功能区，详见图3-1。</w:t>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表3-2 省级主体功能区规划中涉及景宁县内容汇总表</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69"/>
        <w:gridCol w:w="1407"/>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9" w:type="dxa"/>
            <w:gridSpan w:val="4"/>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省级低丘缓坡建设用地重点区块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序号</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重点区块名称</w:t>
            </w:r>
          </w:p>
        </w:tc>
        <w:tc>
          <w:tcPr>
            <w:tcW w:w="1407"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功能定位</w:t>
            </w:r>
          </w:p>
        </w:tc>
        <w:tc>
          <w:tcPr>
            <w:tcW w:w="2987" w:type="dxa"/>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规划面积</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亩</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景宁澄照区块</w:t>
            </w:r>
          </w:p>
        </w:tc>
        <w:tc>
          <w:tcPr>
            <w:tcW w:w="1407"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城镇建设</w:t>
            </w:r>
          </w:p>
        </w:tc>
        <w:tc>
          <w:tcPr>
            <w:tcW w:w="2987"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9" w:type="dxa"/>
            <w:gridSpan w:val="4"/>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省级粮食生产功能区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序号</w:t>
            </w:r>
          </w:p>
        </w:tc>
        <w:tc>
          <w:tcPr>
            <w:tcW w:w="3969" w:type="dxa"/>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2010-2018年建设任务</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万亩</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c>
          <w:tcPr>
            <w:tcW w:w="4394" w:type="dxa"/>
            <w:gridSpan w:val="2"/>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重点乡镇千亩以上粮食生产功能区数量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w:t>
            </w:r>
          </w:p>
        </w:tc>
        <w:tc>
          <w:tcPr>
            <w:tcW w:w="4394" w:type="dxa"/>
            <w:gridSpan w:val="2"/>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9" w:type="dxa"/>
            <w:gridSpan w:val="4"/>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省级现代农业综合区创建点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序号</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县市</w:t>
            </w:r>
          </w:p>
        </w:tc>
        <w:tc>
          <w:tcPr>
            <w:tcW w:w="4394" w:type="dxa"/>
            <w:gridSpan w:val="2"/>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景宁县</w:t>
            </w:r>
          </w:p>
        </w:tc>
        <w:tc>
          <w:tcPr>
            <w:tcW w:w="4394" w:type="dxa"/>
            <w:gridSpan w:val="2"/>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景宁县鹤澄省级现代农业综合区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景宁县</w:t>
            </w:r>
          </w:p>
        </w:tc>
        <w:tc>
          <w:tcPr>
            <w:tcW w:w="4394" w:type="dxa"/>
            <w:gridSpan w:val="2"/>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景宁县大东景省级现代农业综合区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9" w:type="dxa"/>
            <w:gridSpan w:val="4"/>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省级禁止开发区域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序号</w:t>
            </w:r>
          </w:p>
        </w:tc>
        <w:tc>
          <w:tcPr>
            <w:tcW w:w="3969"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名称</w:t>
            </w:r>
          </w:p>
        </w:tc>
        <w:tc>
          <w:tcPr>
            <w:tcW w:w="4394" w:type="dxa"/>
            <w:gridSpan w:val="2"/>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面积</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平方公里</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望东洋高山湿地省级自然保护区</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云中大</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漈</w:t>
            </w:r>
            <w:r>
              <w:rPr>
                <w:color w:val="0D0D0D" w:themeColor="text1" w:themeTint="F2"/>
                <w:sz w:val="24"/>
                <w:szCs w:val="24"/>
                <w:highlight w:val="none"/>
                <w14:textFill>
                  <w14:solidFill>
                    <w14:schemeClr w14:val="tx1">
                      <w14:lumMod w14:val="95000"/>
                      <w14:lumOff w14:val="5000"/>
                    </w14:schemeClr>
                  </w14:solidFill>
                </w14:textFill>
              </w:rPr>
              <w:t>省级风景名胜区</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白云森林公园</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草鱼塘森林公园</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景宁九龙山省级地质公园</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6</w:t>
            </w:r>
          </w:p>
        </w:tc>
        <w:tc>
          <w:tcPr>
            <w:tcW w:w="39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丽水九龙国家湿地公园</w:t>
            </w:r>
          </w:p>
        </w:tc>
        <w:tc>
          <w:tcPr>
            <w:tcW w:w="4394" w:type="dxa"/>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14.16</w:t>
            </w:r>
          </w:p>
        </w:tc>
      </w:tr>
    </w:tbl>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考虑到规划的衔接与统一，本次环境空气功能区划修编中的一类区、二类区以及其间的缓冲带区域划分时，已充分衔接上述《浙江省主体功能区规划》中有关景宁畲族自治县的九大功能区范围。其中，自然保护区、水源保护区、风景名胜区、森林公园和生态缓冲区中的核心区范围已纳入本次一类区范围内。一类区与上述核心区的重合情况详见附图。</w:t>
      </w:r>
    </w:p>
    <w:p>
      <w:pPr>
        <w:spacing w:line="360" w:lineRule="auto"/>
        <w:jc w:val="left"/>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4878070" cy="3565525"/>
            <wp:effectExtent l="171450" t="171450" r="360680" b="3587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cstate="print">
                      <a:extLst>
                        <a:ext uri="{28A0092B-C50C-407E-A947-70E740481C1C}">
                          <a14:useLocalDpi xmlns:a14="http://schemas.microsoft.com/office/drawing/2010/main" val="0"/>
                        </a:ext>
                      </a:extLst>
                    </a:blip>
                    <a:srcRect l="3840" t="6836" r="3650" b="4295"/>
                    <a:stretch>
                      <a:fillRect/>
                    </a:stretch>
                  </pic:blipFill>
                  <pic:spPr>
                    <a:xfrm>
                      <a:off x="0" y="0"/>
                      <a:ext cx="4878070" cy="3565636"/>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图3-1 景宁县重点生态功能区示范区建设9类功能分区图</w:t>
      </w:r>
    </w:p>
    <w:p>
      <w:pPr>
        <w:pStyle w:val="3"/>
        <w:spacing w:before="320"/>
        <w:rPr>
          <w:color w:val="0D0D0D" w:themeColor="text1" w:themeTint="F2"/>
          <w:sz w:val="28"/>
          <w:szCs w:val="28"/>
          <w:highlight w:val="none"/>
          <w14:textFill>
            <w14:solidFill>
              <w14:schemeClr w14:val="tx1">
                <w14:lumMod w14:val="95000"/>
                <w14:lumOff w14:val="5000"/>
              </w14:schemeClr>
            </w14:solidFill>
          </w14:textFill>
        </w:rPr>
      </w:pPr>
      <w:bookmarkStart w:id="41" w:name="_Toc39133140"/>
      <w:bookmarkStart w:id="42" w:name="_Toc25425"/>
      <w:bookmarkStart w:id="43" w:name="_Toc514167212"/>
      <w:r>
        <w:rPr>
          <w:color w:val="0D0D0D" w:themeColor="text1" w:themeTint="F2"/>
          <w:sz w:val="28"/>
          <w:szCs w:val="28"/>
          <w:highlight w:val="none"/>
          <w14:textFill>
            <w14:solidFill>
              <w14:schemeClr w14:val="tx1">
                <w14:lumMod w14:val="95000"/>
                <w14:lumOff w14:val="5000"/>
              </w14:schemeClr>
            </w14:solidFill>
          </w14:textFill>
        </w:rPr>
        <w:t xml:space="preserve">3.3 </w:t>
      </w:r>
      <w:r>
        <w:rPr>
          <w:rFonts w:hint="eastAsia"/>
          <w:color w:val="0D0D0D" w:themeColor="text1" w:themeTint="F2"/>
          <w:sz w:val="28"/>
          <w:szCs w:val="28"/>
          <w:highlight w:val="none"/>
          <w14:textFill>
            <w14:solidFill>
              <w14:schemeClr w14:val="tx1">
                <w14:lumMod w14:val="95000"/>
                <w14:lumOff w14:val="5000"/>
              </w14:schemeClr>
            </w14:solidFill>
          </w14:textFill>
        </w:rPr>
        <w:t>与</w:t>
      </w:r>
      <w:bookmarkEnd w:id="41"/>
      <w:r>
        <w:rPr>
          <w:rFonts w:hint="eastAsia"/>
          <w:color w:val="0D0D0D" w:themeColor="text1" w:themeTint="F2"/>
          <w:sz w:val="28"/>
          <w:szCs w:val="28"/>
          <w:highlight w:val="none"/>
          <w14:textFill>
            <w14:solidFill>
              <w14:schemeClr w14:val="tx1">
                <w14:lumMod w14:val="95000"/>
                <w14:lumOff w14:val="5000"/>
              </w14:schemeClr>
            </w14:solidFill>
          </w14:textFill>
        </w:rPr>
        <w:t>《丽水市“三线一单”生态环境分区管控方案》衔接情况</w:t>
      </w:r>
      <w:bookmarkEnd w:id="42"/>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1、“三线一单”</w:t>
      </w:r>
      <w:r>
        <w:rPr>
          <w:b/>
          <w:bCs/>
          <w:color w:val="0D0D0D" w:themeColor="text1" w:themeTint="F2"/>
          <w:szCs w:val="28"/>
          <w:highlight w:val="none"/>
          <w14:textFill>
            <w14:solidFill>
              <w14:schemeClr w14:val="tx1">
                <w14:lumMod w14:val="95000"/>
                <w14:lumOff w14:val="5000"/>
              </w14:schemeClr>
            </w14:solidFill>
          </w14:textFill>
        </w:rPr>
        <w:t>综合管控单元</w:t>
      </w:r>
      <w:r>
        <w:rPr>
          <w:rFonts w:hint="eastAsia"/>
          <w:b/>
          <w:bCs/>
          <w:color w:val="0D0D0D" w:themeColor="text1" w:themeTint="F2"/>
          <w:szCs w:val="28"/>
          <w:highlight w:val="none"/>
          <w14:textFill>
            <w14:solidFill>
              <w14:schemeClr w14:val="tx1">
                <w14:lumMod w14:val="95000"/>
                <w14:lumOff w14:val="5000"/>
              </w14:schemeClr>
            </w14:solidFill>
          </w14:textFill>
        </w:rPr>
        <w:t>内容及衔接性分析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综合单元划分成果及管控措施</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fldChar w:fldCharType="begin"/>
      </w:r>
      <w:r>
        <w:rPr>
          <w:color w:val="0D0D0D" w:themeColor="text1" w:themeTint="F2"/>
          <w:szCs w:val="28"/>
          <w:highlight w:val="none"/>
          <w14:textFill>
            <w14:solidFill>
              <w14:schemeClr w14:val="tx1">
                <w14:lumMod w14:val="95000"/>
                <w14:lumOff w14:val="5000"/>
              </w14:schemeClr>
            </w14:solidFill>
          </w14:textFill>
        </w:rPr>
        <w:instrText xml:space="preserve"> </w:instrText>
      </w:r>
      <w:r>
        <w:rPr>
          <w:rFonts w:hint="eastAsia"/>
          <w:color w:val="0D0D0D" w:themeColor="text1" w:themeTint="F2"/>
          <w:szCs w:val="28"/>
          <w:highlight w:val="none"/>
          <w14:textFill>
            <w14:solidFill>
              <w14:schemeClr w14:val="tx1">
                <w14:lumMod w14:val="95000"/>
                <w14:lumOff w14:val="5000"/>
              </w14:schemeClr>
            </w14:solidFill>
          </w14:textFill>
        </w:rPr>
        <w:instrText xml:space="preserve">= 1 \* GB3</w:instrText>
      </w:r>
      <w:r>
        <w:rPr>
          <w:color w:val="0D0D0D" w:themeColor="text1" w:themeTint="F2"/>
          <w:szCs w:val="28"/>
          <w:highlight w:val="none"/>
          <w14:textFill>
            <w14:solidFill>
              <w14:schemeClr w14:val="tx1">
                <w14:lumMod w14:val="95000"/>
                <w14:lumOff w14:val="5000"/>
              </w14:schemeClr>
            </w14:solidFill>
          </w14:textFill>
        </w:rPr>
        <w:instrText xml:space="preserve"> </w:instrText>
      </w:r>
      <w:r>
        <w:rPr>
          <w:color w:val="0D0D0D" w:themeColor="text1" w:themeTint="F2"/>
          <w:szCs w:val="28"/>
          <w:highlight w:val="none"/>
          <w14:textFill>
            <w14:solidFill>
              <w14:schemeClr w14:val="tx1">
                <w14:lumMod w14:val="95000"/>
                <w14:lumOff w14:val="5000"/>
              </w14:schemeClr>
            </w14:solidFill>
          </w14:textFill>
        </w:rPr>
        <w:fldChar w:fldCharType="separate"/>
      </w:r>
      <w:r>
        <w:rPr>
          <w:rFonts w:hint="eastAsia"/>
          <w:color w:val="0D0D0D" w:themeColor="text1" w:themeTint="F2"/>
          <w:szCs w:val="28"/>
          <w:highlight w:val="none"/>
          <w14:textFill>
            <w14:solidFill>
              <w14:schemeClr w14:val="tx1">
                <w14:lumMod w14:val="95000"/>
                <w14:lumOff w14:val="5000"/>
              </w14:schemeClr>
            </w14:solidFill>
          </w14:textFill>
        </w:rPr>
        <w:t>①</w:t>
      </w:r>
      <w:r>
        <w:rPr>
          <w:color w:val="0D0D0D" w:themeColor="text1" w:themeTint="F2"/>
          <w:szCs w:val="28"/>
          <w:highlight w:val="none"/>
          <w14:textFill>
            <w14:solidFill>
              <w14:schemeClr w14:val="tx1">
                <w14:lumMod w14:val="95000"/>
                <w14:lumOff w14:val="5000"/>
              </w14:schemeClr>
            </w14:solidFill>
          </w14:textFill>
        </w:rPr>
        <w:fldChar w:fldCharType="end"/>
      </w:r>
      <w:r>
        <w:rPr>
          <w:color w:val="0D0D0D" w:themeColor="text1" w:themeTint="F2"/>
          <w:szCs w:val="28"/>
          <w:highlight w:val="none"/>
          <w14:textFill>
            <w14:solidFill>
              <w14:schemeClr w14:val="tx1">
                <w14:lumMod w14:val="95000"/>
                <w14:lumOff w14:val="5000"/>
              </w14:schemeClr>
            </w14:solidFill>
          </w14:textFill>
        </w:rPr>
        <w:t>管控单元分区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根据全省统一部署，丽水市</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印发了《丽水市“三线一单”生态环境分区管控方案》</w:t>
      </w:r>
      <w:r>
        <w:rPr>
          <w:color w:val="0D0D0D" w:themeColor="text1" w:themeTint="F2"/>
          <w:szCs w:val="28"/>
          <w:highlight w:val="none"/>
          <w14:textFill>
            <w14:solidFill>
              <w14:schemeClr w14:val="tx1">
                <w14:lumMod w14:val="95000"/>
                <w14:lumOff w14:val="5000"/>
              </w14:schemeClr>
            </w14:solidFill>
          </w14:textFill>
        </w:rPr>
        <w:t>，在基于生态、水、大气、土壤等各环境要素的区域功能及自然资源利用的保护、管控要求等的基础上，集成生态保护红线及生态空间、环境质量底线、资源利用上线的管控区域，衔接行政边界，划定了三类环境管控单元：优先保护单元、重点管控单元和一般管控单元；每个管控单元都分别提出了相应的生态环境准入清单。</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其中，景宁畲族自治县共划分29个环境管控单元，优先保护</w:t>
      </w:r>
      <w:r>
        <w:rPr>
          <w:rFonts w:hint="eastAsia"/>
          <w:color w:val="0D0D0D" w:themeColor="text1" w:themeTint="F2"/>
          <w:szCs w:val="28"/>
          <w:highlight w:val="none"/>
          <w14:textFill>
            <w14:solidFill>
              <w14:schemeClr w14:val="tx1">
                <w14:lumMod w14:val="95000"/>
                <w14:lumOff w14:val="5000"/>
              </w14:schemeClr>
            </w14:solidFill>
          </w14:textFill>
        </w:rPr>
        <w:t>单元</w:t>
      </w:r>
      <w:r>
        <w:rPr>
          <w:color w:val="0D0D0D" w:themeColor="text1" w:themeTint="F2"/>
          <w:szCs w:val="28"/>
          <w:highlight w:val="none"/>
          <w14:textFill>
            <w14:solidFill>
              <w14:schemeClr w14:val="tx1">
                <w14:lumMod w14:val="95000"/>
                <w14:lumOff w14:val="5000"/>
              </w14:schemeClr>
            </w14:solidFill>
          </w14:textFill>
        </w:rPr>
        <w:t>17个，面积1699.77km</w:t>
      </w:r>
      <w:r>
        <w:rPr>
          <w:color w:val="0D0D0D" w:themeColor="text1" w:themeTint="F2"/>
          <w:szCs w:val="28"/>
          <w:highlight w:val="none"/>
          <w:vertAlign w:val="super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，占比87.66%；</w:t>
      </w:r>
      <w:r>
        <w:rPr>
          <w:rFonts w:hint="eastAsia"/>
          <w:color w:val="0D0D0D" w:themeColor="text1" w:themeTint="F2"/>
          <w:szCs w:val="28"/>
          <w:highlight w:val="none"/>
          <w14:textFill>
            <w14:solidFill>
              <w14:schemeClr w14:val="tx1">
                <w14:lumMod w14:val="95000"/>
                <w14:lumOff w14:val="5000"/>
              </w14:schemeClr>
            </w14:solidFill>
          </w14:textFill>
        </w:rPr>
        <w:t>其中，优先保护单元又分为生态保护红线区和其他优先保护区，面积分别为7</w:t>
      </w:r>
      <w:r>
        <w:rPr>
          <w:color w:val="0D0D0D" w:themeColor="text1" w:themeTint="F2"/>
          <w:szCs w:val="28"/>
          <w:highlight w:val="none"/>
          <w14:textFill>
            <w14:solidFill>
              <w14:schemeClr w14:val="tx1">
                <w14:lumMod w14:val="95000"/>
                <w14:lumOff w14:val="5000"/>
              </w14:schemeClr>
            </w14:solidFill>
          </w14:textFill>
        </w:rPr>
        <w:t>44.40 km</w:t>
      </w:r>
      <w:r>
        <w:rPr>
          <w:color w:val="0D0D0D" w:themeColor="text1" w:themeTint="F2"/>
          <w:szCs w:val="28"/>
          <w:highlight w:val="none"/>
          <w:vertAlign w:val="superscript"/>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和9</w:t>
      </w:r>
      <w:r>
        <w:rPr>
          <w:color w:val="0D0D0D" w:themeColor="text1" w:themeTint="F2"/>
          <w:szCs w:val="28"/>
          <w:highlight w:val="none"/>
          <w14:textFill>
            <w14:solidFill>
              <w14:schemeClr w14:val="tx1">
                <w14:lumMod w14:val="95000"/>
                <w14:lumOff w14:val="5000"/>
              </w14:schemeClr>
            </w14:solidFill>
          </w14:textFill>
        </w:rPr>
        <w:t>55.37 km</w:t>
      </w:r>
      <w:r>
        <w:rPr>
          <w:color w:val="0D0D0D" w:themeColor="text1" w:themeTint="F2"/>
          <w:szCs w:val="28"/>
          <w:highlight w:val="none"/>
          <w:vertAlign w:val="superscript"/>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，占比3</w:t>
      </w:r>
      <w:r>
        <w:rPr>
          <w:color w:val="0D0D0D" w:themeColor="text1" w:themeTint="F2"/>
          <w:szCs w:val="28"/>
          <w:highlight w:val="none"/>
          <w14:textFill>
            <w14:solidFill>
              <w14:schemeClr w14:val="tx1">
                <w14:lumMod w14:val="95000"/>
                <w14:lumOff w14:val="5000"/>
              </w14:schemeClr>
            </w14:solidFill>
          </w14:textFill>
        </w:rPr>
        <w:t>8.39</w:t>
      </w:r>
      <w:r>
        <w:rPr>
          <w:rFonts w:hint="eastAsia"/>
          <w:color w:val="0D0D0D" w:themeColor="text1" w:themeTint="F2"/>
          <w:szCs w:val="28"/>
          <w:highlight w:val="none"/>
          <w14:textFill>
            <w14:solidFill>
              <w14:schemeClr w14:val="tx1">
                <w14:lumMod w14:val="95000"/>
                <w14:lumOff w14:val="5000"/>
              </w14:schemeClr>
            </w14:solidFill>
          </w14:textFill>
        </w:rPr>
        <w:t>%和4</w:t>
      </w:r>
      <w:r>
        <w:rPr>
          <w:color w:val="0D0D0D" w:themeColor="text1" w:themeTint="F2"/>
          <w:szCs w:val="28"/>
          <w:highlight w:val="none"/>
          <w14:textFill>
            <w14:solidFill>
              <w14:schemeClr w14:val="tx1">
                <w14:lumMod w14:val="95000"/>
                <w14:lumOff w14:val="5000"/>
              </w14:schemeClr>
            </w14:solidFill>
          </w14:textFill>
        </w:rPr>
        <w:t>9.27</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重点管控</w:t>
      </w:r>
      <w:r>
        <w:rPr>
          <w:rFonts w:hint="eastAsia"/>
          <w:color w:val="0D0D0D" w:themeColor="text1" w:themeTint="F2"/>
          <w:szCs w:val="28"/>
          <w:highlight w:val="none"/>
          <w14:textFill>
            <w14:solidFill>
              <w14:schemeClr w14:val="tx1">
                <w14:lumMod w14:val="95000"/>
                <w14:lumOff w14:val="5000"/>
              </w14:schemeClr>
            </w14:solidFill>
          </w14:textFill>
        </w:rPr>
        <w:t>单元</w:t>
      </w:r>
      <w:r>
        <w:rPr>
          <w:color w:val="0D0D0D" w:themeColor="text1" w:themeTint="F2"/>
          <w:szCs w:val="28"/>
          <w:highlight w:val="none"/>
          <w14:textFill>
            <w14:solidFill>
              <w14:schemeClr w14:val="tx1">
                <w14:lumMod w14:val="95000"/>
                <w14:lumOff w14:val="5000"/>
              </w14:schemeClr>
            </w14:solidFill>
          </w14:textFill>
        </w:rPr>
        <w:t>11个，面积为39.53km</w:t>
      </w:r>
      <w:r>
        <w:rPr>
          <w:color w:val="0D0D0D" w:themeColor="text1" w:themeTint="F2"/>
          <w:szCs w:val="28"/>
          <w:highlight w:val="none"/>
          <w:vertAlign w:val="super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，占比2.04%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一般管控</w:t>
      </w:r>
      <w:r>
        <w:rPr>
          <w:rFonts w:hint="eastAsia"/>
          <w:color w:val="0D0D0D" w:themeColor="text1" w:themeTint="F2"/>
          <w:szCs w:val="28"/>
          <w:highlight w:val="none"/>
          <w14:textFill>
            <w14:solidFill>
              <w14:schemeClr w14:val="tx1">
                <w14:lumMod w14:val="95000"/>
                <w14:lumOff w14:val="5000"/>
              </w14:schemeClr>
            </w14:solidFill>
          </w14:textFill>
        </w:rPr>
        <w:t>单元</w:t>
      </w:r>
      <w:r>
        <w:rPr>
          <w:color w:val="0D0D0D" w:themeColor="text1" w:themeTint="F2"/>
          <w:szCs w:val="28"/>
          <w:highlight w:val="none"/>
          <w14:textFill>
            <w14:solidFill>
              <w14:schemeClr w14:val="tx1">
                <w14:lumMod w14:val="95000"/>
                <w14:lumOff w14:val="5000"/>
              </w14:schemeClr>
            </w14:solidFill>
          </w14:textFill>
        </w:rPr>
        <w:t>1个，面积199.68km</w:t>
      </w:r>
      <w:r>
        <w:rPr>
          <w:color w:val="0D0D0D" w:themeColor="text1" w:themeTint="F2"/>
          <w:szCs w:val="28"/>
          <w:highlight w:val="none"/>
          <w:vertAlign w:val="super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，占比10.30%。具体环境管控单元名称和分布情况详见表3-2和图3-2。</w:t>
      </w:r>
    </w:p>
    <w:p>
      <w:pPr>
        <w:spacing w:after="95" w:after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表3-3 景宁畲族自治县“三线一单”综合管控单元汇总表</w:t>
      </w:r>
    </w:p>
    <w:tbl>
      <w:tblPr>
        <w:tblStyle w:val="18"/>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24"/>
        <w:gridCol w:w="6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序号</w:t>
            </w:r>
          </w:p>
        </w:tc>
        <w:tc>
          <w:tcPr>
            <w:tcW w:w="1124" w:type="dxa"/>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管控单元分类</w:t>
            </w:r>
          </w:p>
        </w:tc>
        <w:tc>
          <w:tcPr>
            <w:tcW w:w="695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管控单元名称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w:t>
            </w:r>
          </w:p>
        </w:tc>
        <w:tc>
          <w:tcPr>
            <w:tcW w:w="1124" w:type="dxa"/>
            <w:vMerge w:val="restart"/>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优先保护单元</w:t>
            </w: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浙江省丽水市景宁畲族自治县龙潭桥水库水源地优先保护区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浙江省丽水市景宁畲族自治县望东</w:t>
            </w:r>
            <w:r>
              <w:rPr>
                <w:rFonts w:ascii="仿宋" w:hAnsi="仿宋" w:eastAsia="仿宋"/>
                <w:color w:val="0D0D0D" w:themeColor="text1" w:themeTint="F2"/>
                <w:kern w:val="0"/>
                <w:sz w:val="24"/>
                <w:szCs w:val="24"/>
                <w:highlight w:val="none"/>
                <w14:textFill>
                  <w14:solidFill>
                    <w14:schemeClr w14:val="tx1">
                      <w14:lumMod w14:val="95000"/>
                      <w14:lumOff w14:val="5000"/>
                    </w14:schemeClr>
                  </w14:solidFill>
                </w14:textFill>
              </w:rPr>
              <w:t>垟红</w:t>
            </w:r>
            <w:r>
              <w:rPr>
                <w:color w:val="0D0D0D" w:themeColor="text1" w:themeTint="F2"/>
                <w:kern w:val="0"/>
                <w:sz w:val="24"/>
                <w:szCs w:val="24"/>
                <w:highlight w:val="none"/>
                <w14:textFill>
                  <w14:solidFill>
                    <w14:schemeClr w14:val="tx1">
                      <w14:lumMod w14:val="95000"/>
                      <w14:lumOff w14:val="5000"/>
                    </w14:schemeClr>
                  </w14:solidFill>
                </w14:textFill>
              </w:rPr>
              <w:t>线区优先保护区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3</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浙江省丽水市景宁畲族自治县草鱼塘省级森林公园优先保护区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4</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浙江省丽水市景宁畲族自治县云中大</w:t>
            </w:r>
            <w:r>
              <w:rPr>
                <w:rFonts w:ascii="仿宋" w:hAnsi="仿宋" w:eastAsia="仿宋"/>
                <w:color w:val="0D0D0D" w:themeColor="text1" w:themeTint="F2"/>
                <w:kern w:val="0"/>
                <w:sz w:val="24"/>
                <w:szCs w:val="24"/>
                <w:highlight w:val="none"/>
                <w14:textFill>
                  <w14:solidFill>
                    <w14:schemeClr w14:val="tx1">
                      <w14:lumMod w14:val="95000"/>
                      <w14:lumOff w14:val="5000"/>
                    </w14:schemeClr>
                  </w14:solidFill>
                </w14:textFill>
              </w:rPr>
              <w:t>漈</w:t>
            </w:r>
            <w:r>
              <w:rPr>
                <w:color w:val="0D0D0D" w:themeColor="text1" w:themeTint="F2"/>
                <w:kern w:val="0"/>
                <w:sz w:val="24"/>
                <w:szCs w:val="24"/>
                <w:highlight w:val="none"/>
                <w14:textFill>
                  <w14:solidFill>
                    <w14:schemeClr w14:val="tx1">
                      <w14:lumMod w14:val="95000"/>
                      <w14:lumOff w14:val="5000"/>
                    </w14:schemeClr>
                  </w14:solidFill>
                </w14:textFill>
              </w:rPr>
              <w:t>省级风景名胜资源保护区优先保护区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5</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浙江省丽水市景宁畲族自治县大仰湖红线区优先保护区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6</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浙江省丽水市景宁畲族自治县九龙省级地质公园保护区优先保护区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7</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浙江省丽水市景宁畲族自治县仰天湖湿地自然保护小区优先保护区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8</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浙江省丽水市景宁畲族自治县小溪</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毛</w:t>
            </w:r>
            <w:r>
              <w:rPr>
                <w:rFonts w:ascii="仿宋" w:hAnsi="仿宋" w:eastAsia="仿宋"/>
                <w:color w:val="0D0D0D" w:themeColor="text1" w:themeTint="F2"/>
                <w:kern w:val="0"/>
                <w:sz w:val="24"/>
                <w:szCs w:val="24"/>
                <w:highlight w:val="none"/>
                <w14:textFill>
                  <w14:solidFill>
                    <w14:schemeClr w14:val="tx1">
                      <w14:lumMod w14:val="95000"/>
                      <w14:lumOff w14:val="5000"/>
                    </w14:schemeClr>
                  </w14:solidFill>
                </w14:textFill>
              </w:rPr>
              <w:t>垟</w:t>
            </w:r>
            <w:r>
              <w:rPr>
                <w:color w:val="0D0D0D" w:themeColor="text1" w:themeTint="F2"/>
                <w:kern w:val="0"/>
                <w:sz w:val="24"/>
                <w:szCs w:val="24"/>
                <w:highlight w:val="none"/>
                <w14:textFill>
                  <w14:solidFill>
                    <w14:schemeClr w14:val="tx1">
                      <w14:lumMod w14:val="95000"/>
                      <w14:lumOff w14:val="5000"/>
                    </w14:schemeClr>
                  </w14:solidFill>
                </w14:textFill>
              </w:rPr>
              <w:t>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森林生态系统保护区优先保护区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9</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浙江省丽水市景宁畲族自治县飞云江源头水源保护区优先保护区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10</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浙江省丽水景宁畲族自治县小溪</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英川溪</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饮用水源保护区优先保护区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11</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浙江省丽水市景宁畲族自治县龙潭桥水库饮用水源保护区优先保护区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12</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浙江省丽水市景宁畲族自治县梧桐森林生态系统保护区优先保护区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13</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浙江省丽水市景宁畲族自治县大均森林生态系统保护区优先保护区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14</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浙江省丽水市景宁畲族自治县英川森林生态系统保护区优先保护区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15</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浙江省丽水市景宁畲族自治县东北部森林生态系统保护区优先保护区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16</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浙江省丽水市景宁畲族自治县水源涵养及水土保持区优先保护区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17</w:t>
            </w:r>
          </w:p>
        </w:tc>
        <w:tc>
          <w:tcPr>
            <w:tcW w:w="1124"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浙江省丽水市景宁畲族自治县东南部生物多样性保护及水源涵养区优先保护区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18</w:t>
            </w:r>
          </w:p>
        </w:tc>
        <w:tc>
          <w:tcPr>
            <w:tcW w:w="1124" w:type="dxa"/>
            <w:vMerge w:val="restart"/>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重点管控单元</w:t>
            </w: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浙江省丽水市景宁畲族自治县中心城区城镇生活重点管控区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19</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浙江省丽水市景宁畲族自治县红星城镇生活重点管控区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20</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浙江省丽水市景宁畲族自治县澄照城镇生活重点管控区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21</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浙江省丽水市景宁畲族自治县东坑城镇生活重点管控区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22</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浙江省丽水市景宁畲族自治县沙湾城镇生活重点管控区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23</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浙江省丽水市景宁畲族自治县英川城镇生活重点管控区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24</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浙江省丽水市景宁畲族自治县鹤溪城镇生活重点管控区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25</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浙江省丽水市景宁畲族自治县渤海城镇生活重点管控区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26</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浙江省丽水市景宁畲族自治县东坑产业集聚重点管控区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27</w:t>
            </w:r>
          </w:p>
        </w:tc>
        <w:tc>
          <w:tcPr>
            <w:tcW w:w="1124"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浙江省丽水市景宁畲族自治县红星产业集聚重点管控区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28</w:t>
            </w:r>
          </w:p>
        </w:tc>
        <w:tc>
          <w:tcPr>
            <w:tcW w:w="1124"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浙江省丽水市景宁畲族自治县澄照集聚重点管控区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71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29</w:t>
            </w:r>
          </w:p>
        </w:tc>
        <w:tc>
          <w:tcPr>
            <w:tcW w:w="1124" w:type="dxa"/>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一般管控单元</w:t>
            </w:r>
          </w:p>
        </w:tc>
        <w:tc>
          <w:tcPr>
            <w:tcW w:w="6951" w:type="dxa"/>
            <w:shd w:val="clear" w:color="auto" w:fill="auto"/>
            <w:vAlign w:val="center"/>
          </w:tcPr>
          <w:p>
            <w:pPr>
              <w:widowControl/>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浙江省丽水市景宁畲族自治县一般管控单元</w:t>
            </w:r>
          </w:p>
        </w:tc>
      </w:tr>
    </w:tbl>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fldChar w:fldCharType="begin"/>
      </w:r>
      <w:r>
        <w:rPr>
          <w:color w:val="0D0D0D" w:themeColor="text1" w:themeTint="F2"/>
          <w:szCs w:val="28"/>
          <w:highlight w:val="none"/>
          <w14:textFill>
            <w14:solidFill>
              <w14:schemeClr w14:val="tx1">
                <w14:lumMod w14:val="95000"/>
                <w14:lumOff w14:val="5000"/>
              </w14:schemeClr>
            </w14:solidFill>
          </w14:textFill>
        </w:rPr>
        <w:instrText xml:space="preserve"> </w:instrText>
      </w:r>
      <w:r>
        <w:rPr>
          <w:rFonts w:hint="eastAsia"/>
          <w:color w:val="0D0D0D" w:themeColor="text1" w:themeTint="F2"/>
          <w:szCs w:val="28"/>
          <w:highlight w:val="none"/>
          <w14:textFill>
            <w14:solidFill>
              <w14:schemeClr w14:val="tx1">
                <w14:lumMod w14:val="95000"/>
                <w14:lumOff w14:val="5000"/>
              </w14:schemeClr>
            </w14:solidFill>
          </w14:textFill>
        </w:rPr>
        <w:instrText xml:space="preserve">= 2 \* GB3</w:instrText>
      </w:r>
      <w:r>
        <w:rPr>
          <w:color w:val="0D0D0D" w:themeColor="text1" w:themeTint="F2"/>
          <w:szCs w:val="28"/>
          <w:highlight w:val="none"/>
          <w14:textFill>
            <w14:solidFill>
              <w14:schemeClr w14:val="tx1">
                <w14:lumMod w14:val="95000"/>
                <w14:lumOff w14:val="5000"/>
              </w14:schemeClr>
            </w14:solidFill>
          </w14:textFill>
        </w:rPr>
        <w:instrText xml:space="preserve"> </w:instrText>
      </w:r>
      <w:r>
        <w:rPr>
          <w:color w:val="0D0D0D" w:themeColor="text1" w:themeTint="F2"/>
          <w:szCs w:val="28"/>
          <w:highlight w:val="none"/>
          <w14:textFill>
            <w14:solidFill>
              <w14:schemeClr w14:val="tx1">
                <w14:lumMod w14:val="95000"/>
                <w14:lumOff w14:val="5000"/>
              </w14:schemeClr>
            </w14:solidFill>
          </w14:textFill>
        </w:rPr>
        <w:fldChar w:fldCharType="separate"/>
      </w:r>
      <w:r>
        <w:rPr>
          <w:rFonts w:hint="eastAsia"/>
          <w:color w:val="0D0D0D" w:themeColor="text1" w:themeTint="F2"/>
          <w:szCs w:val="28"/>
          <w:highlight w:val="none"/>
          <w14:textFill>
            <w14:solidFill>
              <w14:schemeClr w14:val="tx1">
                <w14:lumMod w14:val="95000"/>
                <w14:lumOff w14:val="5000"/>
              </w14:schemeClr>
            </w14:solidFill>
          </w14:textFill>
        </w:rPr>
        <w:t>②</w:t>
      </w:r>
      <w:r>
        <w:rPr>
          <w:color w:val="0D0D0D" w:themeColor="text1" w:themeTint="F2"/>
          <w:szCs w:val="28"/>
          <w:highlight w:val="none"/>
          <w14:textFill>
            <w14:solidFill>
              <w14:schemeClr w14:val="tx1">
                <w14:lumMod w14:val="95000"/>
                <w14:lumOff w14:val="5000"/>
              </w14:schemeClr>
            </w14:solidFill>
          </w14:textFill>
        </w:rPr>
        <w:fldChar w:fldCharType="end"/>
      </w:r>
      <w:r>
        <w:rPr>
          <w:rFonts w:hint="eastAsia"/>
          <w:color w:val="0D0D0D" w:themeColor="text1" w:themeTint="F2"/>
          <w:szCs w:val="28"/>
          <w:highlight w:val="none"/>
          <w14:textFill>
            <w14:solidFill>
              <w14:schemeClr w14:val="tx1">
                <w14:lumMod w14:val="95000"/>
                <w14:lumOff w14:val="5000"/>
              </w14:schemeClr>
            </w14:solidFill>
          </w14:textFill>
        </w:rPr>
        <w:t>单元管控措施</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w:t>
      </w:r>
      <w:r>
        <w:rPr>
          <w:rFonts w:hint="eastAsia"/>
          <w:b/>
          <w:bCs/>
          <w:color w:val="0D0D0D" w:themeColor="text1" w:themeTint="F2"/>
          <w:szCs w:val="28"/>
          <w:highlight w:val="none"/>
          <w14:textFill>
            <w14:solidFill>
              <w14:schemeClr w14:val="tx1">
                <w14:lumMod w14:val="95000"/>
                <w14:lumOff w14:val="5000"/>
              </w14:schemeClr>
            </w14:solidFill>
          </w14:textFill>
        </w:rPr>
        <w:t>优先保护单元</w:t>
      </w:r>
      <w:r>
        <w:rPr>
          <w:rFonts w:hint="eastAsia"/>
          <w:color w:val="0D0D0D" w:themeColor="text1" w:themeTint="F2"/>
          <w:szCs w:val="28"/>
          <w:highlight w:val="none"/>
          <w14:textFill>
            <w14:solidFill>
              <w14:schemeClr w14:val="tx1">
                <w14:lumMod w14:val="95000"/>
                <w14:lumOff w14:val="5000"/>
              </w14:schemeClr>
            </w14:solidFill>
          </w14:textFill>
        </w:rPr>
        <w:t>：分为生态保护红线区和其他优先保护区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一般生态空间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rFonts w:hint="eastAsia"/>
          <w:b/>
          <w:color w:val="0D0D0D" w:themeColor="text1" w:themeTint="F2"/>
          <w:szCs w:val="28"/>
          <w:highlight w:val="none"/>
          <w14:textFill>
            <w14:solidFill>
              <w14:schemeClr w14:val="tx1">
                <w14:lumMod w14:val="95000"/>
                <w14:lumOff w14:val="5000"/>
              </w14:schemeClr>
            </w14:solidFill>
          </w14:textFill>
        </w:rPr>
        <w:t>其中，</w:t>
      </w:r>
      <w:r>
        <w:rPr>
          <w:color w:val="0D0D0D" w:themeColor="text1" w:themeTint="F2"/>
          <w:szCs w:val="28"/>
          <w:highlight w:val="none"/>
          <w14:textFill>
            <w14:solidFill>
              <w14:schemeClr w14:val="tx1">
                <w14:lumMod w14:val="95000"/>
                <w14:lumOff w14:val="5000"/>
              </w14:schemeClr>
            </w14:solidFill>
          </w14:textFill>
        </w:rPr>
        <w:t>涉及的生态保护红线，严格按照国家和省生态保护红线管理相关规定进行管控。生态保护红线原则上按照禁止开发区域进行管理，</w:t>
      </w:r>
      <w:r>
        <w:rPr>
          <w:b/>
          <w:bCs/>
          <w:color w:val="0D0D0D" w:themeColor="text1" w:themeTint="F2"/>
          <w:szCs w:val="28"/>
          <w:highlight w:val="none"/>
          <w14:textFill>
            <w14:solidFill>
              <w14:schemeClr w14:val="tx1">
                <w14:lumMod w14:val="95000"/>
                <w14:lumOff w14:val="5000"/>
              </w14:schemeClr>
            </w14:solidFill>
          </w14:textFill>
        </w:rPr>
        <w:t>禁止工业化和城镇化</w:t>
      </w:r>
      <w:r>
        <w:rPr>
          <w:color w:val="0D0D0D" w:themeColor="text1" w:themeTint="F2"/>
          <w:szCs w:val="28"/>
          <w:highlight w:val="none"/>
          <w14:textFill>
            <w14:solidFill>
              <w14:schemeClr w14:val="tx1">
                <w14:lumMod w14:val="95000"/>
                <w14:lumOff w14:val="5000"/>
              </w14:schemeClr>
            </w14:solidFill>
          </w14:textFill>
        </w:rPr>
        <w:t>，确保生态保护红线内“生态功能不降低，面积不减少，性质不改变”。涉及的各类保护地，严格按照相应法律法规和相关规定进行管控。</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其他优先保护区</w:t>
      </w:r>
      <w:r>
        <w:rPr>
          <w:rFonts w:hint="eastAsia"/>
          <w:b/>
          <w:color w:val="0D0D0D" w:themeColor="text1" w:themeTint="F2"/>
          <w:szCs w:val="28"/>
          <w:highlight w:val="none"/>
          <w:lang w:eastAsia="zh-CN"/>
          <w14:textFill>
            <w14:solidFill>
              <w14:schemeClr w14:val="tx1">
                <w14:lumMod w14:val="95000"/>
                <w14:lumOff w14:val="5000"/>
              </w14:schemeClr>
            </w14:solidFill>
          </w14:textFill>
        </w:rPr>
        <w:t>(</w:t>
      </w:r>
      <w:r>
        <w:rPr>
          <w:rFonts w:hint="eastAsia"/>
          <w:b/>
          <w:color w:val="0D0D0D" w:themeColor="text1" w:themeTint="F2"/>
          <w:szCs w:val="28"/>
          <w:highlight w:val="none"/>
          <w14:textFill>
            <w14:solidFill>
              <w14:schemeClr w14:val="tx1">
                <w14:lumMod w14:val="95000"/>
                <w14:lumOff w14:val="5000"/>
              </w14:schemeClr>
            </w14:solidFill>
          </w14:textFill>
        </w:rPr>
        <w:t>一般生态空间</w:t>
      </w:r>
      <w:r>
        <w:rPr>
          <w:rFonts w:hint="eastAsia"/>
          <w:b/>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按照限制开发区域进行管理。禁止新建、扩建三类工业项目，现有三类工业项目改建不得增加污染物排放总量，鼓励其他现有三类工业项目搬迁关闭。新建二类工业项目只能在工业功能区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包括小微园区、工业集聚点等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内实施；二类工业项目的新建、扩建、改建不得增加控制单元污染物排放总量。原有各种对生态环境有较大负面影响的生产、开发建设活动应逐步退出。严格执行畜禽养殖禁养区、限养区规定。</w:t>
      </w:r>
    </w:p>
    <w:p>
      <w:pPr>
        <w:spacing w:line="360" w:lineRule="auto"/>
        <w:ind w:firstLine="562" w:firstLineChars="200"/>
        <w:rPr>
          <w:bCs/>
          <w:color w:val="0D0D0D" w:themeColor="text1" w:themeTint="F2"/>
          <w:szCs w:val="28"/>
          <w:highlight w:val="none"/>
          <w14:textFill>
            <w14:solidFill>
              <w14:schemeClr w14:val="tx1">
                <w14:lumMod w14:val="95000"/>
                <w14:lumOff w14:val="5000"/>
              </w14:schemeClr>
            </w14:solidFill>
          </w14:textFill>
        </w:rPr>
      </w:pPr>
      <w:r>
        <w:rPr>
          <w:rFonts w:hint="eastAsia"/>
          <w:b/>
          <w:color w:val="0D0D0D" w:themeColor="text1" w:themeTint="F2"/>
          <w:szCs w:val="28"/>
          <w:highlight w:val="none"/>
          <w14:textFill>
            <w14:solidFill>
              <w14:schemeClr w14:val="tx1">
                <w14:lumMod w14:val="95000"/>
                <w14:lumOff w14:val="5000"/>
              </w14:schemeClr>
            </w14:solidFill>
          </w14:textFill>
        </w:rPr>
        <w:t>——重点管控单元：</w:t>
      </w:r>
      <w:r>
        <w:rPr>
          <w:rFonts w:hint="eastAsia"/>
          <w:bCs/>
          <w:color w:val="0D0D0D" w:themeColor="text1" w:themeTint="F2"/>
          <w:szCs w:val="28"/>
          <w:highlight w:val="none"/>
          <w14:textFill>
            <w14:solidFill>
              <w14:schemeClr w14:val="tx1">
                <w14:lumMod w14:val="95000"/>
                <w14:lumOff w14:val="5000"/>
              </w14:schemeClr>
            </w14:solidFill>
          </w14:textFill>
        </w:rPr>
        <w:t>分为城镇生活类重点管控区和产业集聚类重点管控区</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城镇生活类重点管控</w:t>
      </w:r>
      <w:r>
        <w:rPr>
          <w:rFonts w:hint="eastAsia"/>
          <w:b/>
          <w:color w:val="0D0D0D" w:themeColor="text1" w:themeTint="F2"/>
          <w:szCs w:val="28"/>
          <w:highlight w:val="none"/>
          <w14:textFill>
            <w14:solidFill>
              <w14:schemeClr w14:val="tx1">
                <w14:lumMod w14:val="95000"/>
                <w14:lumOff w14:val="5000"/>
              </w14:schemeClr>
            </w14:solidFill>
          </w14:textFill>
        </w:rPr>
        <w:t>区</w:t>
      </w:r>
      <w:r>
        <w:rPr>
          <w:color w:val="0D0D0D" w:themeColor="text1" w:themeTint="F2"/>
          <w:szCs w:val="28"/>
          <w:highlight w:val="none"/>
          <w14:textFill>
            <w14:solidFill>
              <w14:schemeClr w14:val="tx1">
                <w14:lumMod w14:val="95000"/>
                <w14:lumOff w14:val="5000"/>
              </w14:schemeClr>
            </w14:solidFill>
          </w14:textFill>
        </w:rPr>
        <w:t>，禁止新建、扩建三类工业项目，禁止新建涉及一类重金属、持久性有机污染物排放等环境健康风险较大的二类工业项目。除工业功能区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小微园区、工业集聚点</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外，原则上禁止新建其他二类工业项目，现有二类工业项目改建、扩建，不得增加污染物排放总量。严格控制噪声、恶臭、油烟等污染排放较大的建设项目布局。</w:t>
      </w:r>
    </w:p>
    <w:p>
      <w:pPr>
        <w:spacing w:line="360" w:lineRule="auto"/>
        <w:ind w:firstLine="562" w:firstLineChars="200"/>
        <w:rPr>
          <w:b/>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产业集聚类重点管控</w:t>
      </w:r>
      <w:r>
        <w:rPr>
          <w:rFonts w:hint="eastAsia"/>
          <w:b/>
          <w:color w:val="0D0D0D" w:themeColor="text1" w:themeTint="F2"/>
          <w:szCs w:val="28"/>
          <w:highlight w:val="none"/>
          <w14:textFill>
            <w14:solidFill>
              <w14:schemeClr w14:val="tx1">
                <w14:lumMod w14:val="95000"/>
                <w14:lumOff w14:val="5000"/>
              </w14:schemeClr>
            </w14:solidFill>
          </w14:textFill>
        </w:rPr>
        <w:t>区</w:t>
      </w:r>
      <w:r>
        <w:rPr>
          <w:color w:val="0D0D0D" w:themeColor="text1" w:themeTint="F2"/>
          <w:szCs w:val="28"/>
          <w:highlight w:val="none"/>
          <w14:textFill>
            <w14:solidFill>
              <w14:schemeClr w14:val="tx1">
                <w14:lumMod w14:val="95000"/>
                <w14:lumOff w14:val="5000"/>
              </w14:schemeClr>
            </w14:solidFill>
          </w14:textFill>
        </w:rPr>
        <w:t>根据产业集聚区块的功能定位，建立分区差别化的产业准入条件。现有的三类工业项目改、扩建不得增加污染物排放总量。</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w:t>
      </w:r>
      <w:r>
        <w:rPr>
          <w:b/>
          <w:color w:val="0D0D0D" w:themeColor="text1" w:themeTint="F2"/>
          <w:szCs w:val="28"/>
          <w:highlight w:val="none"/>
          <w14:textFill>
            <w14:solidFill>
              <w14:schemeClr w14:val="tx1">
                <w14:lumMod w14:val="95000"/>
                <w14:lumOff w14:val="5000"/>
              </w14:schemeClr>
            </w14:solidFill>
          </w14:textFill>
        </w:rPr>
        <w:t>一般管控</w:t>
      </w:r>
      <w:r>
        <w:rPr>
          <w:rFonts w:hint="eastAsia"/>
          <w:b/>
          <w:color w:val="0D0D0D" w:themeColor="text1" w:themeTint="F2"/>
          <w:szCs w:val="28"/>
          <w:highlight w:val="none"/>
          <w14:textFill>
            <w14:solidFill>
              <w14:schemeClr w14:val="tx1">
                <w14:lumMod w14:val="95000"/>
                <w14:lumOff w14:val="5000"/>
              </w14:schemeClr>
            </w14:solidFill>
          </w14:textFill>
        </w:rPr>
        <w:t>单元：</w:t>
      </w:r>
      <w:r>
        <w:rPr>
          <w:color w:val="0D0D0D" w:themeColor="text1" w:themeTint="F2"/>
          <w:szCs w:val="28"/>
          <w:highlight w:val="none"/>
          <w14:textFill>
            <w14:solidFill>
              <w14:schemeClr w14:val="tx1">
                <w14:lumMod w14:val="95000"/>
                <w14:lumOff w14:val="5000"/>
              </w14:schemeClr>
            </w14:solidFill>
          </w14:textFill>
        </w:rPr>
        <w:t>禁止新建三类工业项目</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现有三类工业项目扩建、改建要削减污染物排放总量并严格控制环境风险。禁止在工业功能区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包括小微园区、工业集聚点等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外新建其他二类工业项目</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工业功能区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包括小微园区、工业集聚点等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外现有其他二类工业项目改建、扩建，不得增加污染物排放总量。建立集镇居住商业区、耕地保护区与工业功能区等集聚区块间的防护带。</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衔接性分析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划修编充分衔接了丽水市“三线一单”中关于景宁县的编制成果。考虑到三类保护单元的划分依据、准入要求和管控措施三个方面，优先保护单元中的生态保护红线区应完全纳入本次区划的一类区范围，严格按照环境空气质量一级标准执行相关管理要求，严格限制一切工业活动，禁止工业化和城镇化，确保该区域内“生态功能不降低、面积不减少、性质不改变”。其余保护单元未就大气环境管控提出硬性要求，原则上按照相关要求和准入条件管理即可，可不纳入环境空气一类区管控范围。</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但由于“三线一单”中生态保护红线范围后续还会结合自然资源与规划部门的最新划定成果进行调整，发文稿中也明确提出“</w:t>
      </w:r>
      <w:r>
        <w:rPr>
          <w:rFonts w:hint="eastAsia"/>
          <w:b/>
          <w:bCs/>
          <w:color w:val="0D0D0D" w:themeColor="text1" w:themeTint="F2"/>
          <w:szCs w:val="28"/>
          <w:highlight w:val="none"/>
          <w14:textFill>
            <w14:solidFill>
              <w14:schemeClr w14:val="tx1">
                <w14:lumMod w14:val="95000"/>
                <w14:lumOff w14:val="5000"/>
              </w14:schemeClr>
            </w14:solidFill>
          </w14:textFill>
        </w:rPr>
        <w:t>生态保护红线调整评估完成后，本部分内容将直接引用最新成果</w:t>
      </w: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”。本次环境空气质量功能区划修编时衔接的是景宁县自然资源与规划部门最新的关于生态保护红线划分调整的成果</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上报稿</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，因此本次区划调整从规范上完全符合“三线一单”关于红线区的管控范围和措施要求。本次区划修编结果与“三线一单”综合管控单元关系见表</w:t>
      </w: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和附图。</w:t>
      </w:r>
    </w:p>
    <w:p>
      <w:pPr>
        <w:spacing w:after="95" w:afterLines="25"/>
        <w:jc w:val="center"/>
        <w:rPr>
          <w:b/>
          <w:color w:val="0D0D0D" w:themeColor="text1" w:themeTint="F2"/>
          <w:sz w:val="24"/>
          <w:szCs w:val="24"/>
          <w:highlight w:val="none"/>
          <w14:textFill>
            <w14:solidFill>
              <w14:schemeClr w14:val="tx1">
                <w14:lumMod w14:val="95000"/>
                <w14:lumOff w14:val="5000"/>
              </w14:schemeClr>
            </w14:solidFill>
          </w14:textFill>
        </w:rPr>
      </w:pPr>
      <w:bookmarkStart w:id="44" w:name="_Toc433011852"/>
      <w:r>
        <w:rPr>
          <w:b/>
          <w:color w:val="0D0D0D" w:themeColor="text1" w:themeTint="F2"/>
          <w:sz w:val="24"/>
          <w:szCs w:val="24"/>
          <w:highlight w:val="none"/>
          <w14:textFill>
            <w14:solidFill>
              <w14:schemeClr w14:val="tx1">
                <w14:lumMod w14:val="95000"/>
                <w14:lumOff w14:val="5000"/>
              </w14:schemeClr>
            </w14:solidFill>
          </w14:textFill>
        </w:rPr>
        <w:t xml:space="preserve">表3-4 </w:t>
      </w:r>
      <w:r>
        <w:rPr>
          <w:rFonts w:hint="eastAsia"/>
          <w:b/>
          <w:color w:val="0D0D0D" w:themeColor="text1" w:themeTint="F2"/>
          <w:sz w:val="24"/>
          <w:szCs w:val="24"/>
          <w:highlight w:val="none"/>
          <w14:textFill>
            <w14:solidFill>
              <w14:schemeClr w14:val="tx1">
                <w14:lumMod w14:val="95000"/>
                <w14:lumOff w14:val="5000"/>
              </w14:schemeClr>
            </w14:solidFill>
          </w14:textFill>
        </w:rPr>
        <w:t>环境空气质量功能区划</w:t>
      </w:r>
      <w:r>
        <w:rPr>
          <w:b/>
          <w:color w:val="0D0D0D" w:themeColor="text1" w:themeTint="F2"/>
          <w:sz w:val="24"/>
          <w:szCs w:val="24"/>
          <w:highlight w:val="none"/>
          <w14:textFill>
            <w14:solidFill>
              <w14:schemeClr w14:val="tx1">
                <w14:lumMod w14:val="95000"/>
                <w14:lumOff w14:val="5000"/>
              </w14:schemeClr>
            </w14:solidFill>
          </w14:textFill>
        </w:rPr>
        <w:t>与</w:t>
      </w:r>
      <w:r>
        <w:rPr>
          <w:rFonts w:hint="eastAsia"/>
          <w:b/>
          <w:color w:val="0D0D0D" w:themeColor="text1" w:themeTint="F2"/>
          <w:sz w:val="24"/>
          <w:szCs w:val="24"/>
          <w:highlight w:val="none"/>
          <w14:textFill>
            <w14:solidFill>
              <w14:schemeClr w14:val="tx1">
                <w14:lumMod w14:val="95000"/>
                <w14:lumOff w14:val="5000"/>
              </w14:schemeClr>
            </w14:solidFill>
          </w14:textFill>
        </w:rPr>
        <w:t>“三线一单”战略</w:t>
      </w:r>
      <w:r>
        <w:rPr>
          <w:b/>
          <w:color w:val="0D0D0D" w:themeColor="text1" w:themeTint="F2"/>
          <w:sz w:val="24"/>
          <w:szCs w:val="24"/>
          <w:highlight w:val="none"/>
          <w14:textFill>
            <w14:solidFill>
              <w14:schemeClr w14:val="tx1">
                <w14:lumMod w14:val="95000"/>
                <w14:lumOff w14:val="5000"/>
              </w14:schemeClr>
            </w14:solidFill>
          </w14:textFill>
        </w:rPr>
        <w:t>规划衔接</w:t>
      </w:r>
      <w:bookmarkEnd w:id="44"/>
      <w:r>
        <w:rPr>
          <w:rFonts w:hint="eastAsia"/>
          <w:b/>
          <w:color w:val="0D0D0D" w:themeColor="text1" w:themeTint="F2"/>
          <w:sz w:val="24"/>
          <w:szCs w:val="24"/>
          <w:highlight w:val="none"/>
          <w14:textFill>
            <w14:solidFill>
              <w14:schemeClr w14:val="tx1">
                <w14:lumMod w14:val="95000"/>
                <w14:lumOff w14:val="5000"/>
              </w14:schemeClr>
            </w14:solidFill>
          </w14:textFill>
        </w:rPr>
        <w:t>分析表</w:t>
      </w:r>
    </w:p>
    <w:tbl>
      <w:tblPr>
        <w:tblStyle w:val="18"/>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083"/>
        <w:gridCol w:w="1599"/>
        <w:gridCol w:w="1079"/>
        <w:gridCol w:w="1718"/>
        <w:gridCol w:w="1083"/>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79"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59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c>
          <w:tcPr>
            <w:tcW w:w="2797"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衔接“三线一单”</w:t>
            </w:r>
          </w:p>
        </w:tc>
        <w:tc>
          <w:tcPr>
            <w:tcW w:w="1083"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39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9"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一类区</w:t>
            </w:r>
          </w:p>
        </w:tc>
        <w:tc>
          <w:tcPr>
            <w:tcW w:w="1083"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1599"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7.69</w:t>
            </w:r>
          </w:p>
        </w:tc>
        <w:tc>
          <w:tcPr>
            <w:tcW w:w="1079" w:type="dxa"/>
            <w:vMerge w:val="restart"/>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优先保护单元</w:t>
            </w:r>
          </w:p>
        </w:tc>
        <w:tc>
          <w:tcPr>
            <w:tcW w:w="1718"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生态保护红线</w:t>
            </w:r>
          </w:p>
        </w:tc>
        <w:tc>
          <w:tcPr>
            <w:tcW w:w="1083"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7</w:t>
            </w:r>
            <w:r>
              <w:rPr>
                <w:b/>
                <w:bCs/>
                <w:color w:val="0D0D0D" w:themeColor="text1" w:themeTint="F2"/>
                <w:kern w:val="0"/>
                <w:sz w:val="24"/>
                <w:szCs w:val="24"/>
                <w:highlight w:val="none"/>
                <w14:textFill>
                  <w14:solidFill>
                    <w14:schemeClr w14:val="tx1">
                      <w14:lumMod w14:val="95000"/>
                      <w14:lumOff w14:val="5000"/>
                    </w14:schemeClr>
                  </w14:solidFill>
                </w14:textFill>
              </w:rPr>
              <w:t>44.40</w:t>
            </w:r>
          </w:p>
        </w:tc>
        <w:tc>
          <w:tcPr>
            <w:tcW w:w="1399"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3</w:t>
            </w:r>
            <w:r>
              <w:rPr>
                <w:b/>
                <w:bCs/>
                <w:color w:val="0D0D0D" w:themeColor="text1" w:themeTint="F2"/>
                <w:kern w:val="0"/>
                <w:sz w:val="24"/>
                <w:szCs w:val="24"/>
                <w:highlight w:val="none"/>
                <w14:textFill>
                  <w14:solidFill>
                    <w14:schemeClr w14:val="tx1">
                      <w14:lumMod w14:val="95000"/>
                      <w14:lumOff w14:val="5000"/>
                    </w14:schemeClr>
                  </w14:solidFill>
                </w14:textFill>
              </w:rPr>
              <w:t>8.39</w:t>
            </w: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7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缓冲区</w:t>
            </w:r>
          </w:p>
        </w:tc>
        <w:tc>
          <w:tcPr>
            <w:tcW w:w="1083" w:type="dxa"/>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66.08</w:t>
            </w:r>
          </w:p>
        </w:tc>
        <w:tc>
          <w:tcPr>
            <w:tcW w:w="1599" w:type="dxa"/>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8.88</w:t>
            </w:r>
          </w:p>
        </w:tc>
        <w:tc>
          <w:tcPr>
            <w:tcW w:w="107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718"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一般生态空间</w:t>
            </w:r>
          </w:p>
        </w:tc>
        <w:tc>
          <w:tcPr>
            <w:tcW w:w="1083"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9</w:t>
            </w:r>
            <w:r>
              <w:rPr>
                <w:color w:val="0D0D0D" w:themeColor="text1" w:themeTint="F2"/>
                <w:kern w:val="0"/>
                <w:sz w:val="24"/>
                <w:szCs w:val="24"/>
                <w:highlight w:val="none"/>
                <w14:textFill>
                  <w14:solidFill>
                    <w14:schemeClr w14:val="tx1">
                      <w14:lumMod w14:val="95000"/>
                      <w14:lumOff w14:val="5000"/>
                    </w14:schemeClr>
                  </w14:solidFill>
                </w14:textFill>
              </w:rPr>
              <w:t>55.37</w:t>
            </w:r>
          </w:p>
        </w:tc>
        <w:tc>
          <w:tcPr>
            <w:tcW w:w="1399"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4</w:t>
            </w:r>
            <w:r>
              <w:rPr>
                <w:color w:val="0D0D0D" w:themeColor="text1" w:themeTint="F2"/>
                <w:kern w:val="0"/>
                <w:sz w:val="24"/>
                <w:szCs w:val="24"/>
                <w:highlight w:val="none"/>
                <w14:textFill>
                  <w14:solidFill>
                    <w14:schemeClr w14:val="tx1">
                      <w14:lumMod w14:val="95000"/>
                      <w14:lumOff w14:val="5000"/>
                    </w14:schemeClr>
                  </w14:solidFill>
                </w14:textFill>
              </w:rPr>
              <w:t>9.27</w:t>
            </w:r>
            <w:r>
              <w:rPr>
                <w:rFonts w:hint="eastAsia"/>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79" w:type="dxa"/>
            <w:vMerge w:val="restart"/>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二类区</w:t>
            </w:r>
          </w:p>
        </w:tc>
        <w:tc>
          <w:tcPr>
            <w:tcW w:w="1083" w:type="dxa"/>
            <w:vMerge w:val="restart"/>
            <w:shd w:val="clear" w:color="auto" w:fill="auto"/>
            <w:vAlign w:val="center"/>
          </w:tcPr>
          <w:p>
            <w:pPr>
              <w:spacing w:line="240" w:lineRule="auto"/>
              <w:jc w:val="center"/>
              <w:rPr>
                <w:bCs/>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1599" w:type="dxa"/>
            <w:vMerge w:val="restart"/>
            <w:shd w:val="clear" w:color="auto" w:fill="auto"/>
            <w:vAlign w:val="center"/>
          </w:tcPr>
          <w:p>
            <w:pPr>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3.43</w:t>
            </w:r>
          </w:p>
        </w:tc>
        <w:tc>
          <w:tcPr>
            <w:tcW w:w="107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718"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399"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7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p>
        </w:tc>
        <w:tc>
          <w:tcPr>
            <w:tcW w:w="1599" w:type="dxa"/>
            <w:vMerge w:val="continue"/>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p>
        </w:tc>
        <w:tc>
          <w:tcPr>
            <w:tcW w:w="2797"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重点管控单元</w:t>
            </w:r>
          </w:p>
        </w:tc>
        <w:tc>
          <w:tcPr>
            <w:tcW w:w="1083"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3</w:t>
            </w:r>
            <w:r>
              <w:rPr>
                <w:color w:val="0D0D0D" w:themeColor="text1" w:themeTint="F2"/>
                <w:kern w:val="0"/>
                <w:sz w:val="24"/>
                <w:szCs w:val="24"/>
                <w:highlight w:val="none"/>
                <w14:textFill>
                  <w14:solidFill>
                    <w14:schemeClr w14:val="tx1">
                      <w14:lumMod w14:val="95000"/>
                      <w14:lumOff w14:val="5000"/>
                    </w14:schemeClr>
                  </w14:solidFill>
                </w14:textFill>
              </w:rPr>
              <w:t>9.53</w:t>
            </w:r>
          </w:p>
        </w:tc>
        <w:tc>
          <w:tcPr>
            <w:tcW w:w="139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2</w:t>
            </w:r>
            <w:r>
              <w:rPr>
                <w:color w:val="0D0D0D" w:themeColor="text1" w:themeTint="F2"/>
                <w:kern w:val="0"/>
                <w:sz w:val="24"/>
                <w:szCs w:val="24"/>
                <w:highlight w:val="none"/>
                <w14:textFill>
                  <w14:solidFill>
                    <w14:schemeClr w14:val="tx1">
                      <w14:lumMod w14:val="95000"/>
                      <w14:lumOff w14:val="5000"/>
                    </w14:schemeClr>
                  </w14:solidFill>
                </w14:textFill>
              </w:rPr>
              <w:t>.04</w:t>
            </w:r>
            <w:r>
              <w:rPr>
                <w:rFonts w:hint="eastAsia"/>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7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599"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2797"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一般管控单元</w:t>
            </w:r>
          </w:p>
        </w:tc>
        <w:tc>
          <w:tcPr>
            <w:tcW w:w="1083"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1</w:t>
            </w:r>
            <w:r>
              <w:rPr>
                <w:color w:val="0D0D0D" w:themeColor="text1" w:themeTint="F2"/>
                <w:kern w:val="0"/>
                <w:sz w:val="24"/>
                <w:szCs w:val="24"/>
                <w:highlight w:val="none"/>
                <w14:textFill>
                  <w14:solidFill>
                    <w14:schemeClr w14:val="tx1">
                      <w14:lumMod w14:val="95000"/>
                      <w14:lumOff w14:val="5000"/>
                    </w14:schemeClr>
                  </w14:solidFill>
                </w14:textFill>
              </w:rPr>
              <w:t>99.68</w:t>
            </w:r>
          </w:p>
        </w:tc>
        <w:tc>
          <w:tcPr>
            <w:tcW w:w="139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1</w:t>
            </w:r>
            <w:r>
              <w:rPr>
                <w:color w:val="0D0D0D" w:themeColor="text1" w:themeTint="F2"/>
                <w:kern w:val="0"/>
                <w:sz w:val="24"/>
                <w:szCs w:val="24"/>
                <w:highlight w:val="none"/>
                <w14:textFill>
                  <w14:solidFill>
                    <w14:schemeClr w14:val="tx1">
                      <w14:lumMod w14:val="95000"/>
                      <w14:lumOff w14:val="5000"/>
                    </w14:schemeClr>
                  </w14:solidFill>
                </w14:textFill>
              </w:rPr>
              <w:t>0.30</w:t>
            </w:r>
            <w:r>
              <w:rPr>
                <w:rFonts w:hint="eastAsia"/>
                <w:color w:val="0D0D0D" w:themeColor="text1" w:themeTint="F2"/>
                <w:kern w:val="0"/>
                <w:sz w:val="24"/>
                <w:szCs w:val="24"/>
                <w:highlight w:val="none"/>
                <w14:textFill>
                  <w14:solidFill>
                    <w14:schemeClr w14:val="tx1">
                      <w14:lumMod w14:val="95000"/>
                      <w14:lumOff w14:val="5000"/>
                    </w14:schemeClr>
                  </w14:solidFill>
                </w14:textFill>
              </w:rPr>
              <w:t>%</w:t>
            </w:r>
          </w:p>
        </w:tc>
      </w:tr>
    </w:tbl>
    <w:p>
      <w:pPr>
        <w:spacing w:before="190" w:beforeLines="50"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“三线一单”</w:t>
      </w:r>
      <w:r>
        <w:rPr>
          <w:b/>
          <w:bCs/>
          <w:color w:val="0D0D0D" w:themeColor="text1" w:themeTint="F2"/>
          <w:szCs w:val="28"/>
          <w:highlight w:val="none"/>
          <w14:textFill>
            <w14:solidFill>
              <w14:schemeClr w14:val="tx1">
                <w14:lumMod w14:val="95000"/>
                <w14:lumOff w14:val="5000"/>
              </w14:schemeClr>
            </w14:solidFill>
          </w14:textFill>
        </w:rPr>
        <w:t>大气环境管控分区</w:t>
      </w:r>
      <w:r>
        <w:rPr>
          <w:rFonts w:hint="eastAsia"/>
          <w:b/>
          <w:bCs/>
          <w:color w:val="0D0D0D" w:themeColor="text1" w:themeTint="F2"/>
          <w:szCs w:val="28"/>
          <w:highlight w:val="none"/>
          <w14:textFill>
            <w14:solidFill>
              <w14:schemeClr w14:val="tx1">
                <w14:lumMod w14:val="95000"/>
                <w14:lumOff w14:val="5000"/>
              </w14:schemeClr>
            </w14:solidFill>
          </w14:textFill>
        </w:rPr>
        <w:t>内容及衔接性分析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综合单元划分成果及管控措施</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fldChar w:fldCharType="begin"/>
      </w:r>
      <w:r>
        <w:rPr>
          <w:color w:val="0D0D0D" w:themeColor="text1" w:themeTint="F2"/>
          <w:szCs w:val="28"/>
          <w:highlight w:val="none"/>
          <w14:textFill>
            <w14:solidFill>
              <w14:schemeClr w14:val="tx1">
                <w14:lumMod w14:val="95000"/>
                <w14:lumOff w14:val="5000"/>
              </w14:schemeClr>
            </w14:solidFill>
          </w14:textFill>
        </w:rPr>
        <w:instrText xml:space="preserve"> </w:instrText>
      </w:r>
      <w:r>
        <w:rPr>
          <w:rFonts w:hint="eastAsia"/>
          <w:color w:val="0D0D0D" w:themeColor="text1" w:themeTint="F2"/>
          <w:szCs w:val="28"/>
          <w:highlight w:val="none"/>
          <w14:textFill>
            <w14:solidFill>
              <w14:schemeClr w14:val="tx1">
                <w14:lumMod w14:val="95000"/>
                <w14:lumOff w14:val="5000"/>
              </w14:schemeClr>
            </w14:solidFill>
          </w14:textFill>
        </w:rPr>
        <w:instrText xml:space="preserve">= 1 \* GB3</w:instrText>
      </w:r>
      <w:r>
        <w:rPr>
          <w:color w:val="0D0D0D" w:themeColor="text1" w:themeTint="F2"/>
          <w:szCs w:val="28"/>
          <w:highlight w:val="none"/>
          <w14:textFill>
            <w14:solidFill>
              <w14:schemeClr w14:val="tx1">
                <w14:lumMod w14:val="95000"/>
                <w14:lumOff w14:val="5000"/>
              </w14:schemeClr>
            </w14:solidFill>
          </w14:textFill>
        </w:rPr>
        <w:instrText xml:space="preserve"> </w:instrText>
      </w:r>
      <w:r>
        <w:rPr>
          <w:color w:val="0D0D0D" w:themeColor="text1" w:themeTint="F2"/>
          <w:szCs w:val="28"/>
          <w:highlight w:val="none"/>
          <w14:textFill>
            <w14:solidFill>
              <w14:schemeClr w14:val="tx1">
                <w14:lumMod w14:val="95000"/>
                <w14:lumOff w14:val="5000"/>
              </w14:schemeClr>
            </w14:solidFill>
          </w14:textFill>
        </w:rPr>
        <w:fldChar w:fldCharType="separate"/>
      </w:r>
      <w:r>
        <w:rPr>
          <w:rFonts w:hint="eastAsia"/>
          <w:color w:val="0D0D0D" w:themeColor="text1" w:themeTint="F2"/>
          <w:szCs w:val="28"/>
          <w:highlight w:val="none"/>
          <w14:textFill>
            <w14:solidFill>
              <w14:schemeClr w14:val="tx1">
                <w14:lumMod w14:val="95000"/>
                <w14:lumOff w14:val="5000"/>
              </w14:schemeClr>
            </w14:solidFill>
          </w14:textFill>
        </w:rPr>
        <w:t>①</w:t>
      </w:r>
      <w:r>
        <w:rPr>
          <w:color w:val="0D0D0D" w:themeColor="text1" w:themeTint="F2"/>
          <w:szCs w:val="28"/>
          <w:highlight w:val="none"/>
          <w14:textFill>
            <w14:solidFill>
              <w14:schemeClr w14:val="tx1">
                <w14:lumMod w14:val="95000"/>
                <w14:lumOff w14:val="5000"/>
              </w14:schemeClr>
            </w14:solidFill>
          </w14:textFill>
        </w:rPr>
        <w:fldChar w:fldCharType="end"/>
      </w:r>
      <w:r>
        <w:rPr>
          <w:color w:val="0D0D0D" w:themeColor="text1" w:themeTint="F2"/>
          <w:szCs w:val="28"/>
          <w:highlight w:val="none"/>
          <w14:textFill>
            <w14:solidFill>
              <w14:schemeClr w14:val="tx1">
                <w14:lumMod w14:val="95000"/>
                <w14:lumOff w14:val="5000"/>
              </w14:schemeClr>
            </w14:solidFill>
          </w14:textFill>
        </w:rPr>
        <w:t>管控单元分区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根据“三线一单”大气环境管控分区结果，景宁县大气环境管控区域可分为优先保护区、重点管控区和一般管控区三类，其中重点管控区按照工业布局、城镇布局、人口分布、主体功能区划和气象条件的区别，又将其分为高排放区、布局敏感区、弱扩散区和受体敏感区四个小区。按照优先保护区&gt;受体敏感区&gt;高排放区&gt;布局敏感区&gt;弱扩散区&gt;一般管控区原则，进行聚合处理，划定大气环境管控分区，大气优先保护、重点保护区和一般管控区占比分别为7.39%、24.93%和67.68%。具体划分结果和相应的区域位置详见表3-3和图3-4。</w:t>
      </w:r>
    </w:p>
    <w:p>
      <w:pPr>
        <w:spacing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表3-5 景宁畲族自治县大气环境管控分区情况汇总表</w:t>
      </w:r>
    </w:p>
    <w:tbl>
      <w:tblPr>
        <w:tblStyle w:val="18"/>
        <w:tblW w:w="7170" w:type="dxa"/>
        <w:jc w:val="center"/>
        <w:tblLayout w:type="autofit"/>
        <w:tblCellMar>
          <w:top w:w="0" w:type="dxa"/>
          <w:left w:w="108" w:type="dxa"/>
          <w:bottom w:w="0" w:type="dxa"/>
          <w:right w:w="108" w:type="dxa"/>
        </w:tblCellMar>
      </w:tblPr>
      <w:tblGrid>
        <w:gridCol w:w="1417"/>
        <w:gridCol w:w="1559"/>
        <w:gridCol w:w="1134"/>
        <w:gridCol w:w="1843"/>
        <w:gridCol w:w="1217"/>
      </w:tblGrid>
      <w:tr>
        <w:tblPrEx>
          <w:tblCellMar>
            <w:top w:w="0" w:type="dxa"/>
            <w:left w:w="108" w:type="dxa"/>
            <w:bottom w:w="0" w:type="dxa"/>
            <w:right w:w="108" w:type="dxa"/>
          </w:tblCellMar>
        </w:tblPrEx>
        <w:trPr>
          <w:trHeight w:val="444" w:hRule="atLeast"/>
          <w:jc w:val="center"/>
        </w:trPr>
        <w:tc>
          <w:tcPr>
            <w:tcW w:w="2976"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jc w:val="center"/>
              <w:rPr>
                <w:b/>
                <w:color w:val="0D0D0D" w:themeColor="text1" w:themeTint="F2"/>
                <w:kern w:val="0"/>
                <w:sz w:val="24"/>
                <w:szCs w:val="24"/>
                <w:highlight w:val="none"/>
                <w14:textFill>
                  <w14:solidFill>
                    <w14:schemeClr w14:val="tx1">
                      <w14:lumMod w14:val="95000"/>
                      <w14:lumOff w14:val="5000"/>
                    </w14:schemeClr>
                  </w14:solidFill>
                </w14:textFill>
              </w:rPr>
            </w:pPr>
            <w:r>
              <w:rPr>
                <w:b/>
                <w:color w:val="0D0D0D" w:themeColor="text1" w:themeTint="F2"/>
                <w:kern w:val="0"/>
                <w:sz w:val="24"/>
                <w:szCs w:val="24"/>
                <w:highlight w:val="none"/>
                <w14:textFill>
                  <w14:solidFill>
                    <w14:schemeClr w14:val="tx1">
                      <w14:lumMod w14:val="95000"/>
                      <w14:lumOff w14:val="5000"/>
                    </w14:schemeClr>
                  </w14:solidFill>
                </w14:textFill>
              </w:rPr>
              <w:t>分区类别</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b/>
                <w:color w:val="0D0D0D" w:themeColor="text1" w:themeTint="F2"/>
                <w:kern w:val="0"/>
                <w:sz w:val="24"/>
                <w:szCs w:val="24"/>
                <w:highlight w:val="none"/>
                <w14:textFill>
                  <w14:solidFill>
                    <w14:schemeClr w14:val="tx1">
                      <w14:lumMod w14:val="95000"/>
                      <w14:lumOff w14:val="5000"/>
                    </w14:schemeClr>
                  </w14:solidFill>
                </w14:textFill>
              </w:rPr>
            </w:pPr>
            <w:r>
              <w:rPr>
                <w:b/>
                <w:color w:val="0D0D0D" w:themeColor="text1" w:themeTint="F2"/>
                <w:kern w:val="0"/>
                <w:sz w:val="24"/>
                <w:szCs w:val="24"/>
                <w:highlight w:val="none"/>
                <w14:textFill>
                  <w14:solidFill>
                    <w14:schemeClr w14:val="tx1">
                      <w14:lumMod w14:val="95000"/>
                      <w14:lumOff w14:val="5000"/>
                    </w14:schemeClr>
                  </w14:solidFill>
                </w14:textFill>
              </w:rPr>
              <w:t>单元个数</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eastAsia="仿宋_GB2312"/>
                <w:b/>
                <w:color w:val="0D0D0D" w:themeColor="text1" w:themeTint="F2"/>
                <w:kern w:val="0"/>
                <w:sz w:val="24"/>
                <w:szCs w:val="24"/>
                <w:highlight w:val="none"/>
                <w:lang w:eastAsia="zh-CN"/>
                <w14:textFill>
                  <w14:solidFill>
                    <w14:schemeClr w14:val="tx1">
                      <w14:lumMod w14:val="95000"/>
                      <w14:lumOff w14:val="5000"/>
                    </w14:schemeClr>
                  </w14:solidFill>
                </w14:textFill>
              </w:rPr>
            </w:pPr>
            <w:r>
              <w:rPr>
                <w:b/>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b/>
                <w:color w:val="0D0D0D" w:themeColor="text1" w:themeTint="F2"/>
                <w:kern w:val="0"/>
                <w:sz w:val="24"/>
                <w:szCs w:val="24"/>
                <w:highlight w:val="none"/>
                <w:lang w:eastAsia="zh-CN"/>
                <w14:textFill>
                  <w14:solidFill>
                    <w14:schemeClr w14:val="tx1">
                      <w14:lumMod w14:val="95000"/>
                      <w14:lumOff w14:val="5000"/>
                    </w14:schemeClr>
                  </w14:solidFill>
                </w14:textFill>
              </w:rPr>
              <w:t>(</w:t>
            </w:r>
            <w:r>
              <w:rPr>
                <w:b/>
                <w:color w:val="0D0D0D" w:themeColor="text1" w:themeTint="F2"/>
                <w:kern w:val="0"/>
                <w:sz w:val="24"/>
                <w:szCs w:val="24"/>
                <w:highlight w:val="none"/>
                <w14:textFill>
                  <w14:solidFill>
                    <w14:schemeClr w14:val="tx1">
                      <w14:lumMod w14:val="95000"/>
                      <w14:lumOff w14:val="5000"/>
                    </w14:schemeClr>
                  </w14:solidFill>
                </w14:textFill>
              </w:rPr>
              <w:t>km</w:t>
            </w:r>
            <w:r>
              <w:rPr>
                <w:b/>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b/>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2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eastAsia="仿宋_GB2312"/>
                <w:b/>
                <w:color w:val="0D0D0D" w:themeColor="text1" w:themeTint="F2"/>
                <w:kern w:val="0"/>
                <w:sz w:val="24"/>
                <w:szCs w:val="24"/>
                <w:highlight w:val="none"/>
                <w:lang w:eastAsia="zh-CN"/>
                <w14:textFill>
                  <w14:solidFill>
                    <w14:schemeClr w14:val="tx1">
                      <w14:lumMod w14:val="95000"/>
                      <w14:lumOff w14:val="5000"/>
                    </w14:schemeClr>
                  </w14:solidFill>
                </w14:textFill>
              </w:rPr>
            </w:pPr>
            <w:r>
              <w:rPr>
                <w:b/>
                <w:color w:val="0D0D0D" w:themeColor="text1" w:themeTint="F2"/>
                <w:kern w:val="0"/>
                <w:sz w:val="24"/>
                <w:szCs w:val="24"/>
                <w:highlight w:val="none"/>
                <w14:textFill>
                  <w14:solidFill>
                    <w14:schemeClr w14:val="tx1">
                      <w14:lumMod w14:val="95000"/>
                      <w14:lumOff w14:val="5000"/>
                    </w14:schemeClr>
                  </w14:solidFill>
                </w14:textFill>
              </w:rPr>
              <w:t>占比</w:t>
            </w:r>
            <w:r>
              <w:rPr>
                <w:rFonts w:hint="eastAsia"/>
                <w:b/>
                <w:color w:val="0D0D0D" w:themeColor="text1" w:themeTint="F2"/>
                <w:kern w:val="0"/>
                <w:sz w:val="24"/>
                <w:szCs w:val="24"/>
                <w:highlight w:val="none"/>
                <w:lang w:eastAsia="zh-CN"/>
                <w14:textFill>
                  <w14:solidFill>
                    <w14:schemeClr w14:val="tx1">
                      <w14:lumMod w14:val="95000"/>
                      <w14:lumOff w14:val="5000"/>
                    </w14:schemeClr>
                  </w14:solidFill>
                </w14:textFill>
              </w:rPr>
              <w:t>(</w:t>
            </w:r>
            <w:r>
              <w:rPr>
                <w:b/>
                <w:color w:val="0D0D0D" w:themeColor="text1" w:themeTint="F2"/>
                <w:kern w:val="0"/>
                <w:sz w:val="24"/>
                <w:szCs w:val="24"/>
                <w:highlight w:val="none"/>
                <w14:textFill>
                  <w14:solidFill>
                    <w14:schemeClr w14:val="tx1">
                      <w14:lumMod w14:val="95000"/>
                      <w14:lumOff w14:val="5000"/>
                    </w14:schemeClr>
                  </w14:solidFill>
                </w14:textFill>
              </w:rPr>
              <w:t>%</w:t>
            </w:r>
            <w:r>
              <w:rPr>
                <w:rFonts w:hint="eastAsia"/>
                <w:b/>
                <w:color w:val="0D0D0D" w:themeColor="text1" w:themeTint="F2"/>
                <w:kern w:val="0"/>
                <w:sz w:val="24"/>
                <w:szCs w:val="24"/>
                <w:highlight w:val="none"/>
                <w:lang w:eastAsia="zh-CN"/>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421" w:hRule="atLeast"/>
          <w:jc w:val="center"/>
        </w:trPr>
        <w:tc>
          <w:tcPr>
            <w:tcW w:w="2976"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优先保护区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5</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143.39</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7.39</w:t>
            </w:r>
          </w:p>
        </w:tc>
      </w:tr>
      <w:tr>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重点保护区</w:t>
            </w: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受体敏感区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8</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32.62</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1.68</w:t>
            </w:r>
          </w:p>
        </w:tc>
      </w:tr>
      <w:tr>
        <w:tblPrEx>
          <w:tblCellMar>
            <w:top w:w="0" w:type="dxa"/>
            <w:left w:w="108" w:type="dxa"/>
            <w:bottom w:w="0" w:type="dxa"/>
            <w:right w:w="108" w:type="dxa"/>
          </w:tblCellMar>
        </w:tblPrEx>
        <w:trPr>
          <w:trHeight w:val="285" w:hRule="atLeast"/>
          <w:jc w:val="center"/>
        </w:trPr>
        <w:tc>
          <w:tcPr>
            <w:tcW w:w="1417"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高排放区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3</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7.01</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0.36</w:t>
            </w:r>
          </w:p>
        </w:tc>
      </w:tr>
      <w:tr>
        <w:tblPrEx>
          <w:tblCellMar>
            <w:top w:w="0" w:type="dxa"/>
            <w:left w:w="108" w:type="dxa"/>
            <w:bottom w:w="0" w:type="dxa"/>
            <w:right w:w="108" w:type="dxa"/>
          </w:tblCellMar>
        </w:tblPrEx>
        <w:trPr>
          <w:trHeight w:val="322" w:hRule="atLeast"/>
          <w:jc w:val="center"/>
        </w:trPr>
        <w:tc>
          <w:tcPr>
            <w:tcW w:w="1417"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布局敏感区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285" w:hRule="atLeast"/>
          <w:jc w:val="center"/>
        </w:trPr>
        <w:tc>
          <w:tcPr>
            <w:tcW w:w="1417"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弱扩散区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4</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443.63</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22.88</w:t>
            </w:r>
          </w:p>
        </w:tc>
      </w:tr>
      <w:tr>
        <w:tblPrEx>
          <w:tblCellMar>
            <w:top w:w="0" w:type="dxa"/>
            <w:left w:w="108" w:type="dxa"/>
            <w:bottom w:w="0" w:type="dxa"/>
            <w:right w:w="108" w:type="dxa"/>
          </w:tblCellMar>
        </w:tblPrEx>
        <w:trPr>
          <w:trHeight w:val="389" w:hRule="atLeast"/>
          <w:jc w:val="center"/>
        </w:trPr>
        <w:tc>
          <w:tcPr>
            <w:tcW w:w="2976"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一般管控区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1312.33</w:t>
            </w:r>
          </w:p>
        </w:tc>
        <w:tc>
          <w:tcPr>
            <w:tcW w:w="121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67.68</w:t>
            </w:r>
          </w:p>
        </w:tc>
      </w:tr>
    </w:tbl>
    <w:p>
      <w:pPr>
        <w:spacing w:line="360" w:lineRule="auto"/>
        <w:jc w:val="center"/>
        <w:rPr>
          <w:b/>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drawing>
          <wp:inline distT="0" distB="0" distL="0" distR="0">
            <wp:extent cx="5274945" cy="3215005"/>
            <wp:effectExtent l="0" t="0" r="190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945" cy="3215005"/>
                    </a:xfrm>
                    <a:prstGeom prst="rect">
                      <a:avLst/>
                    </a:prstGeom>
                  </pic:spPr>
                </pic:pic>
              </a:graphicData>
            </a:graphic>
          </wp:inline>
        </w:drawing>
      </w:r>
    </w:p>
    <w:p>
      <w:pPr>
        <w:spacing w:after="95" w:after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图3-</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2</w:t>
      </w:r>
      <w:r>
        <w:rPr>
          <w:b/>
          <w:color w:val="0D0D0D" w:themeColor="text1" w:themeTint="F2"/>
          <w:sz w:val="24"/>
          <w:szCs w:val="24"/>
          <w:highlight w:val="none"/>
          <w14:textFill>
            <w14:solidFill>
              <w14:schemeClr w14:val="tx1">
                <w14:lumMod w14:val="95000"/>
                <w14:lumOff w14:val="5000"/>
              </w14:schemeClr>
            </w14:solidFill>
          </w14:textFill>
        </w:rPr>
        <w:t xml:space="preserve"> </w:t>
      </w:r>
      <w:r>
        <w:rPr>
          <w:rFonts w:hint="eastAsia"/>
          <w:b/>
          <w:color w:val="0D0D0D" w:themeColor="text1" w:themeTint="F2"/>
          <w:sz w:val="24"/>
          <w:szCs w:val="24"/>
          <w:highlight w:val="none"/>
          <w14:textFill>
            <w14:solidFill>
              <w14:schemeClr w14:val="tx1">
                <w14:lumMod w14:val="95000"/>
                <w14:lumOff w14:val="5000"/>
              </w14:schemeClr>
            </w14:solidFill>
          </w14:textFill>
        </w:rPr>
        <w:t>景宁畲族自治县</w:t>
      </w:r>
      <w:r>
        <w:rPr>
          <w:b/>
          <w:color w:val="0D0D0D" w:themeColor="text1" w:themeTint="F2"/>
          <w:sz w:val="24"/>
          <w:szCs w:val="24"/>
          <w:highlight w:val="none"/>
          <w14:textFill>
            <w14:solidFill>
              <w14:schemeClr w14:val="tx1">
                <w14:lumMod w14:val="95000"/>
                <w14:lumOff w14:val="5000"/>
              </w14:schemeClr>
            </w14:solidFill>
          </w14:textFill>
        </w:rPr>
        <w:t>“三线一单”大气环境管控分区图</w:t>
      </w:r>
    </w:p>
    <w:p>
      <w:pPr>
        <w:spacing w:before="95" w:beforeLines="25"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fldChar w:fldCharType="begin"/>
      </w:r>
      <w:r>
        <w:rPr>
          <w:color w:val="0D0D0D" w:themeColor="text1" w:themeTint="F2"/>
          <w:szCs w:val="28"/>
          <w:highlight w:val="none"/>
          <w14:textFill>
            <w14:solidFill>
              <w14:schemeClr w14:val="tx1">
                <w14:lumMod w14:val="95000"/>
                <w14:lumOff w14:val="5000"/>
              </w14:schemeClr>
            </w14:solidFill>
          </w14:textFill>
        </w:rPr>
        <w:instrText xml:space="preserve"> </w:instrText>
      </w:r>
      <w:r>
        <w:rPr>
          <w:rFonts w:hint="eastAsia"/>
          <w:color w:val="0D0D0D" w:themeColor="text1" w:themeTint="F2"/>
          <w:szCs w:val="28"/>
          <w:highlight w:val="none"/>
          <w14:textFill>
            <w14:solidFill>
              <w14:schemeClr w14:val="tx1">
                <w14:lumMod w14:val="95000"/>
                <w14:lumOff w14:val="5000"/>
              </w14:schemeClr>
            </w14:solidFill>
          </w14:textFill>
        </w:rPr>
        <w:instrText xml:space="preserve">= 2 \* GB3</w:instrText>
      </w:r>
      <w:r>
        <w:rPr>
          <w:color w:val="0D0D0D" w:themeColor="text1" w:themeTint="F2"/>
          <w:szCs w:val="28"/>
          <w:highlight w:val="none"/>
          <w14:textFill>
            <w14:solidFill>
              <w14:schemeClr w14:val="tx1">
                <w14:lumMod w14:val="95000"/>
                <w14:lumOff w14:val="5000"/>
              </w14:schemeClr>
            </w14:solidFill>
          </w14:textFill>
        </w:rPr>
        <w:instrText xml:space="preserve"> </w:instrText>
      </w:r>
      <w:r>
        <w:rPr>
          <w:color w:val="0D0D0D" w:themeColor="text1" w:themeTint="F2"/>
          <w:szCs w:val="28"/>
          <w:highlight w:val="none"/>
          <w14:textFill>
            <w14:solidFill>
              <w14:schemeClr w14:val="tx1">
                <w14:lumMod w14:val="95000"/>
                <w14:lumOff w14:val="5000"/>
              </w14:schemeClr>
            </w14:solidFill>
          </w14:textFill>
        </w:rPr>
        <w:fldChar w:fldCharType="separate"/>
      </w:r>
      <w:r>
        <w:rPr>
          <w:rFonts w:hint="eastAsia"/>
          <w:color w:val="0D0D0D" w:themeColor="text1" w:themeTint="F2"/>
          <w:szCs w:val="28"/>
          <w:highlight w:val="none"/>
          <w14:textFill>
            <w14:solidFill>
              <w14:schemeClr w14:val="tx1">
                <w14:lumMod w14:val="95000"/>
                <w14:lumOff w14:val="5000"/>
              </w14:schemeClr>
            </w14:solidFill>
          </w14:textFill>
        </w:rPr>
        <w:t>②</w:t>
      </w:r>
      <w:r>
        <w:rPr>
          <w:color w:val="0D0D0D" w:themeColor="text1" w:themeTint="F2"/>
          <w:szCs w:val="28"/>
          <w:highlight w:val="none"/>
          <w14:textFill>
            <w14:solidFill>
              <w14:schemeClr w14:val="tx1">
                <w14:lumMod w14:val="95000"/>
                <w14:lumOff w14:val="5000"/>
              </w14:schemeClr>
            </w14:solidFill>
          </w14:textFill>
        </w:rPr>
        <w:fldChar w:fldCharType="end"/>
      </w:r>
      <w:r>
        <w:rPr>
          <w:color w:val="0D0D0D" w:themeColor="text1" w:themeTint="F2"/>
          <w:szCs w:val="28"/>
          <w:highlight w:val="none"/>
          <w14:textFill>
            <w14:solidFill>
              <w14:schemeClr w14:val="tx1">
                <w14:lumMod w14:val="95000"/>
                <w14:lumOff w14:val="5000"/>
              </w14:schemeClr>
            </w14:solidFill>
          </w14:textFill>
        </w:rPr>
        <w:t>分区管控措施</w:t>
      </w:r>
    </w:p>
    <w:p>
      <w:pPr>
        <w:spacing w:line="360" w:lineRule="auto"/>
        <w:ind w:firstLine="562" w:firstLineChars="200"/>
        <w:rPr>
          <w:b/>
          <w:color w:val="0D0D0D" w:themeColor="text1" w:themeTint="F2"/>
          <w:szCs w:val="28"/>
          <w:highlight w:val="none"/>
          <w14:textFill>
            <w14:solidFill>
              <w14:schemeClr w14:val="tx1">
                <w14:lumMod w14:val="95000"/>
                <w14:lumOff w14:val="5000"/>
              </w14:schemeClr>
            </w14:solidFill>
          </w14:textFill>
        </w:rPr>
      </w:pPr>
      <w:r>
        <w:rPr>
          <w:rFonts w:hint="eastAsia"/>
          <w:b/>
          <w:color w:val="0D0D0D" w:themeColor="text1" w:themeTint="F2"/>
          <w:szCs w:val="28"/>
          <w:highlight w:val="none"/>
          <w14:textFill>
            <w14:solidFill>
              <w14:schemeClr w14:val="tx1">
                <w14:lumMod w14:val="95000"/>
                <w14:lumOff w14:val="5000"/>
              </w14:schemeClr>
            </w14:solidFill>
          </w14:textFill>
        </w:rPr>
        <w:t>——</w:t>
      </w:r>
      <w:r>
        <w:rPr>
          <w:b/>
          <w:color w:val="0D0D0D" w:themeColor="text1" w:themeTint="F2"/>
          <w:szCs w:val="28"/>
          <w:highlight w:val="none"/>
          <w14:textFill>
            <w14:solidFill>
              <w14:schemeClr w14:val="tx1">
                <w14:lumMod w14:val="95000"/>
                <w14:lumOff w14:val="5000"/>
              </w14:schemeClr>
            </w14:solidFill>
          </w14:textFill>
        </w:rPr>
        <w:t>大气环境优先保护区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根据《“三线一单”编制技术指南》，将环境空气一类功能区划为大气环境优先保护区。按照《环境空气质量标准》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w:t>
      </w:r>
      <w:r>
        <w:rPr>
          <w:color w:val="0D0D0D" w:themeColor="text1" w:themeTint="F2"/>
          <w:szCs w:val="28"/>
          <w:highlight w:val="none"/>
          <w14:textFill>
            <w14:solidFill>
              <w14:schemeClr w14:val="tx1">
                <w14:lumMod w14:val="95000"/>
                <w14:lumOff w14:val="5000"/>
              </w14:schemeClr>
            </w14:solidFill>
          </w14:textFill>
        </w:rPr>
        <w:t>B3095-2012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中一类区的定义，一类区主要包括自然保护区、风景名胜区和其他需要特殊保护</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森林公园、地质公园、湿地公园等</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的区域。本次“三线一单”划定过程中已就原一类区做过适当调整，划定后范围见表3</w:t>
      </w: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空间布局约束：严格执行《自然保护区条例》、《风景名胜区条例》、《国家级森林公园管理办法》、《国家级公益林管理办法》、《国家湿地公园管理办法》、《湿地保护管理规定》、《浙江省湿地保护条例》、《浙江省公益和森林公园条例》等国家和地方相关法律法规，禁止一切涉气工业项目进入，现有的要限期关闭搬迁。</w:t>
      </w:r>
    </w:p>
    <w:p>
      <w:pPr>
        <w:spacing w:after="95" w:afterLines="25"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表3-6 景宁畲族自治县大气环境优先保护区分布列表</w:t>
      </w:r>
    </w:p>
    <w:tbl>
      <w:tblPr>
        <w:tblStyle w:val="18"/>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827"/>
        <w:gridCol w:w="1186"/>
        <w:gridCol w:w="1559"/>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blHeader/>
          <w:jc w:val="center"/>
        </w:trPr>
        <w:tc>
          <w:tcPr>
            <w:tcW w:w="704"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区域</w:t>
            </w:r>
          </w:p>
        </w:tc>
        <w:tc>
          <w:tcPr>
            <w:tcW w:w="3827"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名称</w:t>
            </w:r>
          </w:p>
        </w:tc>
        <w:tc>
          <w:tcPr>
            <w:tcW w:w="1186"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55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类别</w:t>
            </w:r>
          </w:p>
        </w:tc>
        <w:tc>
          <w:tcPr>
            <w:tcW w:w="1405" w:type="dxa"/>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环境空气质量目标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04"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景宁县</w:t>
            </w: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望东洋高山湿地省级自然保护区</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31.64</w:t>
            </w:r>
          </w:p>
        </w:tc>
        <w:tc>
          <w:tcPr>
            <w:tcW w:w="1559"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自然保护区</w:t>
            </w:r>
          </w:p>
        </w:tc>
        <w:tc>
          <w:tcPr>
            <w:tcW w:w="1405" w:type="dxa"/>
            <w:vMerge w:val="restar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达到</w:t>
            </w:r>
          </w:p>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《环境空气质量标准》</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GB3095-2012</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04" w:type="dxa"/>
            <w:vMerge w:val="continue"/>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大仰湖红线区</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50.67</w:t>
            </w:r>
          </w:p>
        </w:tc>
        <w:tc>
          <w:tcPr>
            <w:tcW w:w="155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405"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continue"/>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仰天湖湿地自然保护小区</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48.49</w:t>
            </w:r>
          </w:p>
        </w:tc>
        <w:tc>
          <w:tcPr>
            <w:tcW w:w="1559"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405"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4" w:type="dxa"/>
            <w:vMerge w:val="continue"/>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云中大</w:t>
            </w:r>
            <w:r>
              <w:rPr>
                <w:rFonts w:ascii="仿宋" w:hAnsi="仿宋" w:eastAsia="仿宋"/>
                <w:color w:val="0D0D0D" w:themeColor="text1" w:themeTint="F2"/>
                <w:kern w:val="0"/>
                <w:sz w:val="24"/>
                <w:szCs w:val="24"/>
                <w:highlight w:val="none"/>
                <w14:textFill>
                  <w14:solidFill>
                    <w14:schemeClr w14:val="tx1">
                      <w14:lumMod w14:val="95000"/>
                      <w14:lumOff w14:val="5000"/>
                    </w14:schemeClr>
                  </w14:solidFill>
                </w14:textFill>
              </w:rPr>
              <w:t>漈</w:t>
            </w:r>
            <w:r>
              <w:rPr>
                <w:color w:val="0D0D0D" w:themeColor="text1" w:themeTint="F2"/>
                <w:kern w:val="0"/>
                <w:sz w:val="24"/>
                <w:szCs w:val="24"/>
                <w:highlight w:val="none"/>
                <w14:textFill>
                  <w14:solidFill>
                    <w14:schemeClr w14:val="tx1">
                      <w14:lumMod w14:val="95000"/>
                      <w14:lumOff w14:val="5000"/>
                    </w14:schemeClr>
                  </w14:solidFill>
                </w14:textFill>
              </w:rPr>
              <w:t>省级风景名胜区</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17.66</w:t>
            </w:r>
          </w:p>
        </w:tc>
        <w:tc>
          <w:tcPr>
            <w:tcW w:w="155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风景名胜区</w:t>
            </w:r>
          </w:p>
        </w:tc>
        <w:tc>
          <w:tcPr>
            <w:tcW w:w="1405"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4" w:type="dxa"/>
            <w:vMerge w:val="continue"/>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草鱼塘省级森林公园</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12.21</w:t>
            </w:r>
          </w:p>
        </w:tc>
        <w:tc>
          <w:tcPr>
            <w:tcW w:w="155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森林公园</w:t>
            </w:r>
          </w:p>
        </w:tc>
        <w:tc>
          <w:tcPr>
            <w:tcW w:w="1405"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4" w:type="dxa"/>
            <w:vMerge w:val="continue"/>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3827"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九龙省级地质公园保护区</w:t>
            </w:r>
          </w:p>
        </w:tc>
        <w:tc>
          <w:tcPr>
            <w:tcW w:w="1186"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33.39</w:t>
            </w:r>
          </w:p>
        </w:tc>
        <w:tc>
          <w:tcPr>
            <w:tcW w:w="155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地质公园</w:t>
            </w:r>
          </w:p>
        </w:tc>
        <w:tc>
          <w:tcPr>
            <w:tcW w:w="1405"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bl>
    <w:p>
      <w:pPr>
        <w:spacing w:before="95" w:beforeLines="25" w:line="360" w:lineRule="auto"/>
        <w:ind w:firstLine="562" w:firstLineChars="200"/>
        <w:rPr>
          <w:b/>
          <w:color w:val="0D0D0D" w:themeColor="text1" w:themeTint="F2"/>
          <w:szCs w:val="28"/>
          <w:highlight w:val="none"/>
          <w14:textFill>
            <w14:solidFill>
              <w14:schemeClr w14:val="tx1">
                <w14:lumMod w14:val="95000"/>
                <w14:lumOff w14:val="5000"/>
              </w14:schemeClr>
            </w14:solidFill>
          </w14:textFill>
        </w:rPr>
      </w:pPr>
      <w:r>
        <w:rPr>
          <w:rFonts w:hint="eastAsia"/>
          <w:b/>
          <w:color w:val="0D0D0D" w:themeColor="text1" w:themeTint="F2"/>
          <w:szCs w:val="28"/>
          <w:highlight w:val="none"/>
          <w14:textFill>
            <w14:solidFill>
              <w14:schemeClr w14:val="tx1">
                <w14:lumMod w14:val="95000"/>
                <w14:lumOff w14:val="5000"/>
              </w14:schemeClr>
            </w14:solidFill>
          </w14:textFill>
        </w:rPr>
        <w:t>——</w:t>
      </w:r>
      <w:r>
        <w:rPr>
          <w:b/>
          <w:color w:val="0D0D0D" w:themeColor="text1" w:themeTint="F2"/>
          <w:szCs w:val="28"/>
          <w:highlight w:val="none"/>
          <w14:textFill>
            <w14:solidFill>
              <w14:schemeClr w14:val="tx1">
                <w14:lumMod w14:val="95000"/>
                <w14:lumOff w14:val="5000"/>
              </w14:schemeClr>
            </w14:solidFill>
          </w14:textFill>
        </w:rPr>
        <w:t>大气环境受体敏感重点管控区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空间布局约束：合理规划布局工业、商业、居住、科教等功能区块，严格控制有恶臭、油烟等污染物排放较大的各类建设项目布局；</w:t>
      </w:r>
      <w:r>
        <w:rPr>
          <w:b/>
          <w:color w:val="0D0D0D" w:themeColor="text1" w:themeTint="F2"/>
          <w:szCs w:val="28"/>
          <w:highlight w:val="none"/>
          <w14:textFill>
            <w14:solidFill>
              <w14:schemeClr w14:val="tx1">
                <w14:lumMod w14:val="95000"/>
                <w14:lumOff w14:val="5000"/>
              </w14:schemeClr>
            </w14:solidFill>
          </w14:textFill>
        </w:rPr>
        <w:t>禁止经营性畜禽养殖</w:t>
      </w:r>
      <w:r>
        <w:rPr>
          <w:color w:val="0D0D0D" w:themeColor="text1" w:themeTint="F2"/>
          <w:szCs w:val="28"/>
          <w:highlight w:val="none"/>
          <w14:textFill>
            <w14:solidFill>
              <w14:schemeClr w14:val="tx1">
                <w14:lumMod w14:val="95000"/>
                <w14:lumOff w14:val="5000"/>
              </w14:schemeClr>
            </w14:solidFill>
          </w14:textFill>
        </w:rPr>
        <w:t>。</w:t>
      </w:r>
    </w:p>
    <w:p>
      <w:pPr>
        <w:spacing w:line="360" w:lineRule="auto"/>
        <w:ind w:firstLine="562" w:firstLineChars="200"/>
        <w:rPr>
          <w:b/>
          <w:color w:val="0D0D0D" w:themeColor="text1" w:themeTint="F2"/>
          <w:szCs w:val="28"/>
          <w:highlight w:val="none"/>
          <w14:textFill>
            <w14:solidFill>
              <w14:schemeClr w14:val="tx1">
                <w14:lumMod w14:val="95000"/>
                <w14:lumOff w14:val="5000"/>
              </w14:schemeClr>
            </w14:solidFill>
          </w14:textFill>
        </w:rPr>
      </w:pPr>
      <w:r>
        <w:rPr>
          <w:rFonts w:hint="eastAsia"/>
          <w:b/>
          <w:color w:val="0D0D0D" w:themeColor="text1" w:themeTint="F2"/>
          <w:szCs w:val="28"/>
          <w:highlight w:val="none"/>
          <w14:textFill>
            <w14:solidFill>
              <w14:schemeClr w14:val="tx1">
                <w14:lumMod w14:val="95000"/>
                <w14:lumOff w14:val="5000"/>
              </w14:schemeClr>
            </w14:solidFill>
          </w14:textFill>
        </w:rPr>
        <w:t>——</w:t>
      </w:r>
      <w:r>
        <w:rPr>
          <w:b/>
          <w:color w:val="0D0D0D" w:themeColor="text1" w:themeTint="F2"/>
          <w:szCs w:val="28"/>
          <w:highlight w:val="none"/>
          <w14:textFill>
            <w14:solidFill>
              <w14:schemeClr w14:val="tx1">
                <w14:lumMod w14:val="95000"/>
                <w14:lumOff w14:val="5000"/>
              </w14:schemeClr>
            </w14:solidFill>
          </w14:textFill>
        </w:rPr>
        <w:t>大气环境高排放重点管控区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空间布局约束：调整优化产业结构，逐步提高区域产业准入条件；合理规划居住区与工业功能区，在居住区和工业区、工业企业之间设置防护绿地、生态绿地等隔离带，确保人居环境安全；禁止经营性畜禽养殖。</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大气</w:t>
      </w:r>
      <w:r>
        <w:rPr>
          <w:b/>
          <w:color w:val="0D0D0D" w:themeColor="text1" w:themeTint="F2"/>
          <w:szCs w:val="28"/>
          <w:highlight w:val="none"/>
          <w14:textFill>
            <w14:solidFill>
              <w14:schemeClr w14:val="tx1">
                <w14:lumMod w14:val="95000"/>
                <w14:lumOff w14:val="5000"/>
              </w14:schemeClr>
            </w14:solidFill>
          </w14:textFill>
        </w:rPr>
        <w:t>环境布局敏感、弱扩散重点管控区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空间布局约束：应避免大规模排放大气污染物的项目布局建设，已有项目改扩建要提高节能环保准入门槛；区内禁止新建除集中供热外的燃煤锅炉，禁止新建钢铁、建材、有色、石化、化工等高污染行业项目；禁止新建涉及有毒有害气体排放的项目；优先实施清洁能源替代，淘汰区域内现存的上述禁止项目。</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一般管控区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空间布局约束：搞好农业布局规划，科学确定不同区域农业发展的重点；严格实施畜禽养殖禁养区、限养区规定，控制规模化畜禽养殖项目规模。</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衔接性分析</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修编充分衔接了“三线一单”中关于大气管控分区的划定成果，将大气优先保护区范围完全纳入了环境空气一类区内，并严格按照大气优先保护区管控措施对环境空气一类区进行管理，包括空间布局约束、污染物排放控制和环境风险防控等。表3-</w:t>
      </w:r>
      <w:r>
        <w:rPr>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14:textFill>
            <w14:solidFill>
              <w14:schemeClr w14:val="tx1">
                <w14:lumMod w14:val="95000"/>
                <w14:lumOff w14:val="5000"/>
              </w14:schemeClr>
            </w14:solidFill>
          </w14:textFill>
        </w:rPr>
        <w:t>显示了环境空气功能区与“三线一单”大气管控分区衔接情况。区域重叠情况详见附图。</w:t>
      </w:r>
    </w:p>
    <w:p>
      <w:pPr>
        <w:spacing w:line="36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rFonts w:hint="eastAsia"/>
          <w:b/>
          <w:bCs/>
          <w:color w:val="0D0D0D" w:themeColor="text1" w:themeTint="F2"/>
          <w:sz w:val="24"/>
          <w:szCs w:val="24"/>
          <w:highlight w:val="none"/>
          <w14:textFill>
            <w14:solidFill>
              <w14:schemeClr w14:val="tx1">
                <w14:lumMod w14:val="95000"/>
                <w14:lumOff w14:val="5000"/>
              </w14:schemeClr>
            </w14:solidFill>
          </w14:textFill>
        </w:rPr>
        <w:t>表3-</w:t>
      </w:r>
      <w:r>
        <w:rPr>
          <w:b/>
          <w:bCs/>
          <w:color w:val="0D0D0D" w:themeColor="text1" w:themeTint="F2"/>
          <w:sz w:val="24"/>
          <w:szCs w:val="24"/>
          <w:highlight w:val="none"/>
          <w14:textFill>
            <w14:solidFill>
              <w14:schemeClr w14:val="tx1">
                <w14:lumMod w14:val="95000"/>
                <w14:lumOff w14:val="5000"/>
              </w14:schemeClr>
            </w14:solidFill>
          </w14:textFill>
        </w:rPr>
        <w:t xml:space="preserve">7 </w:t>
      </w:r>
      <w:r>
        <w:rPr>
          <w:rFonts w:hint="eastAsia"/>
          <w:b/>
          <w:bCs/>
          <w:color w:val="0D0D0D" w:themeColor="text1" w:themeTint="F2"/>
          <w:sz w:val="24"/>
          <w:szCs w:val="24"/>
          <w:highlight w:val="none"/>
          <w14:textFill>
            <w14:solidFill>
              <w14:schemeClr w14:val="tx1">
                <w14:lumMod w14:val="95000"/>
                <w14:lumOff w14:val="5000"/>
              </w14:schemeClr>
            </w14:solidFill>
          </w14:textFill>
        </w:rPr>
        <w:t>环境空气质量功能区划与“三线一单”大气管控分区衔接分析表</w:t>
      </w:r>
    </w:p>
    <w:tbl>
      <w:tblPr>
        <w:tblStyle w:val="18"/>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083"/>
        <w:gridCol w:w="1371"/>
        <w:gridCol w:w="1251"/>
        <w:gridCol w:w="1252"/>
        <w:gridCol w:w="876"/>
        <w:gridCol w:w="996"/>
        <w:gridCol w:w="99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55" w:type="dxa"/>
            <w:shd w:val="clear" w:color="auto" w:fill="auto"/>
            <w:vAlign w:val="center"/>
          </w:tcPr>
          <w:p>
            <w:pPr>
              <w:widowControl/>
              <w:spacing w:line="240" w:lineRule="auto"/>
              <w:jc w:val="left"/>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37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c>
          <w:tcPr>
            <w:tcW w:w="2503" w:type="dxa"/>
            <w:gridSpan w:val="2"/>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衔接“三线一单”</w:t>
            </w:r>
            <w:r>
              <w:rPr>
                <w:rFonts w:hint="eastAsia"/>
                <w:color w:val="0D0D0D" w:themeColor="text1" w:themeTint="F2"/>
                <w:kern w:val="0"/>
                <w:sz w:val="24"/>
                <w:szCs w:val="24"/>
                <w:highlight w:val="none"/>
                <w14:textFill>
                  <w14:solidFill>
                    <w14:schemeClr w14:val="tx1">
                      <w14:lumMod w14:val="95000"/>
                      <w14:lumOff w14:val="5000"/>
                    </w14:schemeClr>
                  </w14:solidFill>
                </w14:textFill>
              </w:rPr>
              <w:t>大气分区</w:t>
            </w:r>
          </w:p>
        </w:tc>
        <w:tc>
          <w:tcPr>
            <w:tcW w:w="1872" w:type="dxa"/>
            <w:gridSpan w:val="2"/>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992"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55" w:type="dxa"/>
            <w:vMerge w:val="restart"/>
            <w:shd w:val="clear" w:color="auto" w:fill="auto"/>
            <w:vAlign w:val="center"/>
          </w:tcPr>
          <w:p>
            <w:pPr>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一类区</w:t>
            </w:r>
          </w:p>
        </w:tc>
        <w:tc>
          <w:tcPr>
            <w:tcW w:w="1083" w:type="dxa"/>
            <w:vMerge w:val="restart"/>
            <w:shd w:val="clear" w:color="auto" w:fill="auto"/>
            <w:vAlign w:val="center"/>
          </w:tcPr>
          <w:p>
            <w:pPr>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1371" w:type="dxa"/>
            <w:vMerge w:val="restart"/>
            <w:shd w:val="clear" w:color="auto" w:fill="auto"/>
            <w:vAlign w:val="center"/>
          </w:tcPr>
          <w:p>
            <w:pPr>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7.69</w:t>
            </w:r>
          </w:p>
        </w:tc>
        <w:tc>
          <w:tcPr>
            <w:tcW w:w="2503" w:type="dxa"/>
            <w:gridSpan w:val="2"/>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优先保护区</w:t>
            </w:r>
          </w:p>
        </w:tc>
        <w:tc>
          <w:tcPr>
            <w:tcW w:w="1872" w:type="dxa"/>
            <w:gridSpan w:val="2"/>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1</w:t>
            </w:r>
            <w:r>
              <w:rPr>
                <w:b/>
                <w:bCs/>
                <w:color w:val="0D0D0D" w:themeColor="text1" w:themeTint="F2"/>
                <w:kern w:val="0"/>
                <w:sz w:val="24"/>
                <w:szCs w:val="24"/>
                <w:highlight w:val="none"/>
                <w14:textFill>
                  <w14:solidFill>
                    <w14:schemeClr w14:val="tx1">
                      <w14:lumMod w14:val="95000"/>
                      <w14:lumOff w14:val="5000"/>
                    </w14:schemeClr>
                  </w14:solidFill>
                </w14:textFill>
              </w:rPr>
              <w:t>43.39</w:t>
            </w:r>
          </w:p>
        </w:tc>
        <w:tc>
          <w:tcPr>
            <w:tcW w:w="1992" w:type="dxa"/>
            <w:gridSpan w:val="2"/>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7</w:t>
            </w:r>
            <w:r>
              <w:rPr>
                <w:b/>
                <w:bCs/>
                <w:color w:val="0D0D0D" w:themeColor="text1" w:themeTint="F2"/>
                <w:kern w:val="0"/>
                <w:sz w:val="24"/>
                <w:szCs w:val="24"/>
                <w:highlight w:val="none"/>
                <w14:textFill>
                  <w14:solidFill>
                    <w14:schemeClr w14:val="tx1">
                      <w14:lumMod w14:val="95000"/>
                      <w14:lumOff w14:val="5000"/>
                    </w14:schemeClr>
                  </w14:solidFill>
                </w14:textFill>
              </w:rPr>
              <w:t>.39</w:t>
            </w: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55" w:type="dxa"/>
            <w:vMerge w:val="continue"/>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p>
        </w:tc>
        <w:tc>
          <w:tcPr>
            <w:tcW w:w="1371" w:type="dxa"/>
            <w:vMerge w:val="continue"/>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p>
        </w:tc>
        <w:tc>
          <w:tcPr>
            <w:tcW w:w="1251" w:type="dxa"/>
            <w:vMerge w:val="restart"/>
            <w:shd w:val="clear" w:color="auto" w:fill="auto"/>
            <w:vAlign w:val="center"/>
          </w:tcPr>
          <w:p>
            <w:pPr>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弱扩散区</w:t>
            </w:r>
          </w:p>
        </w:tc>
        <w:tc>
          <w:tcPr>
            <w:tcW w:w="1252" w:type="dxa"/>
            <w:vMerge w:val="restart"/>
            <w:shd w:val="clear" w:color="auto" w:fill="auto"/>
            <w:vAlign w:val="center"/>
          </w:tcPr>
          <w:p>
            <w:pPr>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一般管控区</w:t>
            </w:r>
          </w:p>
        </w:tc>
        <w:tc>
          <w:tcPr>
            <w:tcW w:w="876" w:type="dxa"/>
            <w:vMerge w:val="restart"/>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4</w:t>
            </w:r>
            <w:r>
              <w:rPr>
                <w:b/>
                <w:bCs/>
                <w:color w:val="0D0D0D" w:themeColor="text1" w:themeTint="F2"/>
                <w:kern w:val="0"/>
                <w:sz w:val="24"/>
                <w:szCs w:val="24"/>
                <w:highlight w:val="none"/>
                <w14:textFill>
                  <w14:solidFill>
                    <w14:schemeClr w14:val="tx1">
                      <w14:lumMod w14:val="95000"/>
                      <w14:lumOff w14:val="5000"/>
                    </w14:schemeClr>
                  </w14:solidFill>
                </w14:textFill>
              </w:rPr>
              <w:t>43.63</w:t>
            </w:r>
          </w:p>
        </w:tc>
        <w:tc>
          <w:tcPr>
            <w:tcW w:w="996" w:type="dxa"/>
            <w:vMerge w:val="restart"/>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1</w:t>
            </w:r>
            <w:r>
              <w:rPr>
                <w:b/>
                <w:bCs/>
                <w:color w:val="0D0D0D" w:themeColor="text1" w:themeTint="F2"/>
                <w:kern w:val="0"/>
                <w:sz w:val="24"/>
                <w:szCs w:val="24"/>
                <w:highlight w:val="none"/>
                <w14:textFill>
                  <w14:solidFill>
                    <w14:schemeClr w14:val="tx1">
                      <w14:lumMod w14:val="95000"/>
                      <w14:lumOff w14:val="5000"/>
                    </w14:schemeClr>
                  </w14:solidFill>
                </w14:textFill>
              </w:rPr>
              <w:t>312.33</w:t>
            </w:r>
          </w:p>
        </w:tc>
        <w:tc>
          <w:tcPr>
            <w:tcW w:w="996" w:type="dxa"/>
            <w:vMerge w:val="restart"/>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2</w:t>
            </w:r>
            <w:r>
              <w:rPr>
                <w:b/>
                <w:bCs/>
                <w:color w:val="0D0D0D" w:themeColor="text1" w:themeTint="F2"/>
                <w:kern w:val="0"/>
                <w:sz w:val="24"/>
                <w:szCs w:val="24"/>
                <w:highlight w:val="none"/>
                <w14:textFill>
                  <w14:solidFill>
                    <w14:schemeClr w14:val="tx1">
                      <w14:lumMod w14:val="95000"/>
                      <w14:lumOff w14:val="5000"/>
                    </w14:schemeClr>
                  </w14:solidFill>
                </w14:textFill>
              </w:rPr>
              <w:t>2.88</w:t>
            </w: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w:t>
            </w:r>
          </w:p>
        </w:tc>
        <w:tc>
          <w:tcPr>
            <w:tcW w:w="996" w:type="dxa"/>
            <w:vMerge w:val="restart"/>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6</w:t>
            </w:r>
            <w:r>
              <w:rPr>
                <w:b/>
                <w:bCs/>
                <w:color w:val="0D0D0D" w:themeColor="text1" w:themeTint="F2"/>
                <w:kern w:val="0"/>
                <w:sz w:val="24"/>
                <w:szCs w:val="24"/>
                <w:highlight w:val="none"/>
                <w14:textFill>
                  <w14:solidFill>
                    <w14:schemeClr w14:val="tx1">
                      <w14:lumMod w14:val="95000"/>
                      <w14:lumOff w14:val="5000"/>
                    </w14:schemeClr>
                  </w14:solidFill>
                </w14:textFill>
              </w:rPr>
              <w:t>7.68</w:t>
            </w: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55"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缓冲区</w:t>
            </w:r>
          </w:p>
        </w:tc>
        <w:tc>
          <w:tcPr>
            <w:tcW w:w="1083" w:type="dxa"/>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66.08</w:t>
            </w:r>
          </w:p>
        </w:tc>
        <w:tc>
          <w:tcPr>
            <w:tcW w:w="1371" w:type="dxa"/>
            <w:shd w:val="clear" w:color="auto" w:fill="auto"/>
            <w:vAlign w:val="center"/>
          </w:tcPr>
          <w:p>
            <w:pPr>
              <w:widowControl/>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8.88</w:t>
            </w:r>
          </w:p>
        </w:tc>
        <w:tc>
          <w:tcPr>
            <w:tcW w:w="1251"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252"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87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955" w:type="dxa"/>
            <w:vMerge w:val="restart"/>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二类区</w:t>
            </w:r>
          </w:p>
        </w:tc>
        <w:tc>
          <w:tcPr>
            <w:tcW w:w="1083" w:type="dxa"/>
            <w:vMerge w:val="restart"/>
            <w:shd w:val="clear" w:color="auto" w:fill="auto"/>
            <w:vAlign w:val="center"/>
          </w:tcPr>
          <w:p>
            <w:pPr>
              <w:spacing w:line="240" w:lineRule="auto"/>
              <w:jc w:val="center"/>
              <w:rPr>
                <w:bCs/>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1371" w:type="dxa"/>
            <w:vMerge w:val="restart"/>
            <w:shd w:val="clear" w:color="auto" w:fill="auto"/>
            <w:vAlign w:val="center"/>
          </w:tcPr>
          <w:p>
            <w:pPr>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3.43</w:t>
            </w:r>
          </w:p>
        </w:tc>
        <w:tc>
          <w:tcPr>
            <w:tcW w:w="1251"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252"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87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99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55"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spacing w:line="240" w:lineRule="auto"/>
              <w:jc w:val="center"/>
              <w:rPr>
                <w:bCs/>
                <w:color w:val="0D0D0D" w:themeColor="text1" w:themeTint="F2"/>
                <w:sz w:val="24"/>
                <w:szCs w:val="24"/>
                <w:highlight w:val="none"/>
                <w14:textFill>
                  <w14:solidFill>
                    <w14:schemeClr w14:val="tx1">
                      <w14:lumMod w14:val="95000"/>
                      <w14:lumOff w14:val="5000"/>
                    </w14:schemeClr>
                  </w14:solidFill>
                </w14:textFill>
              </w:rPr>
            </w:pPr>
          </w:p>
        </w:tc>
        <w:tc>
          <w:tcPr>
            <w:tcW w:w="1371" w:type="dxa"/>
            <w:vMerge w:val="continue"/>
            <w:shd w:val="clear" w:color="auto" w:fill="auto"/>
            <w:vAlign w:val="center"/>
          </w:tcPr>
          <w:p>
            <w:pPr>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p>
        </w:tc>
        <w:tc>
          <w:tcPr>
            <w:tcW w:w="2503"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受体敏感区</w:t>
            </w:r>
          </w:p>
        </w:tc>
        <w:tc>
          <w:tcPr>
            <w:tcW w:w="1872"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3</w:t>
            </w:r>
            <w:r>
              <w:rPr>
                <w:color w:val="0D0D0D" w:themeColor="text1" w:themeTint="F2"/>
                <w:kern w:val="0"/>
                <w:sz w:val="24"/>
                <w:szCs w:val="24"/>
                <w:highlight w:val="none"/>
                <w14:textFill>
                  <w14:solidFill>
                    <w14:schemeClr w14:val="tx1">
                      <w14:lumMod w14:val="95000"/>
                      <w14:lumOff w14:val="5000"/>
                    </w14:schemeClr>
                  </w14:solidFill>
                </w14:textFill>
              </w:rPr>
              <w:t>2.62</w:t>
            </w:r>
          </w:p>
        </w:tc>
        <w:tc>
          <w:tcPr>
            <w:tcW w:w="1992"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1</w:t>
            </w:r>
            <w:r>
              <w:rPr>
                <w:color w:val="0D0D0D" w:themeColor="text1" w:themeTint="F2"/>
                <w:kern w:val="0"/>
                <w:sz w:val="24"/>
                <w:szCs w:val="24"/>
                <w:highlight w:val="none"/>
                <w14:textFill>
                  <w14:solidFill>
                    <w14:schemeClr w14:val="tx1">
                      <w14:lumMod w14:val="95000"/>
                      <w14:lumOff w14:val="5000"/>
                    </w14:schemeClr>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55" w:type="dxa"/>
            <w:vMerge w:val="continue"/>
            <w:shd w:val="clear" w:color="auto" w:fill="auto"/>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083" w:type="dxa"/>
            <w:vMerge w:val="continue"/>
            <w:shd w:val="clear" w:color="auto" w:fill="auto"/>
            <w:vAlign w:val="center"/>
          </w:tcPr>
          <w:p>
            <w:pPr>
              <w:spacing w:line="240" w:lineRule="auto"/>
              <w:jc w:val="center"/>
              <w:rPr>
                <w:bCs/>
                <w:color w:val="0D0D0D" w:themeColor="text1" w:themeTint="F2"/>
                <w:sz w:val="24"/>
                <w:szCs w:val="24"/>
                <w:highlight w:val="none"/>
                <w14:textFill>
                  <w14:solidFill>
                    <w14:schemeClr w14:val="tx1">
                      <w14:lumMod w14:val="95000"/>
                      <w14:lumOff w14:val="5000"/>
                    </w14:schemeClr>
                  </w14:solidFill>
                </w14:textFill>
              </w:rPr>
            </w:pPr>
          </w:p>
        </w:tc>
        <w:tc>
          <w:tcPr>
            <w:tcW w:w="1371" w:type="dxa"/>
            <w:vMerge w:val="continue"/>
            <w:shd w:val="clear" w:color="auto" w:fill="auto"/>
            <w:vAlign w:val="center"/>
          </w:tcPr>
          <w:p>
            <w:pPr>
              <w:spacing w:line="240" w:lineRule="auto"/>
              <w:jc w:val="center"/>
              <w:rPr>
                <w:bCs/>
                <w:color w:val="0D0D0D" w:themeColor="text1" w:themeTint="F2"/>
                <w:kern w:val="0"/>
                <w:sz w:val="24"/>
                <w:szCs w:val="24"/>
                <w:highlight w:val="none"/>
                <w14:textFill>
                  <w14:solidFill>
                    <w14:schemeClr w14:val="tx1">
                      <w14:lumMod w14:val="95000"/>
                      <w14:lumOff w14:val="5000"/>
                    </w14:schemeClr>
                  </w14:solidFill>
                </w14:textFill>
              </w:rPr>
            </w:pPr>
          </w:p>
        </w:tc>
        <w:tc>
          <w:tcPr>
            <w:tcW w:w="2503"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高排放重点区</w:t>
            </w:r>
          </w:p>
        </w:tc>
        <w:tc>
          <w:tcPr>
            <w:tcW w:w="1872"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7</w:t>
            </w:r>
            <w:r>
              <w:rPr>
                <w:color w:val="0D0D0D" w:themeColor="text1" w:themeTint="F2"/>
                <w:kern w:val="0"/>
                <w:sz w:val="24"/>
                <w:szCs w:val="24"/>
                <w:highlight w:val="none"/>
                <w14:textFill>
                  <w14:solidFill>
                    <w14:schemeClr w14:val="tx1">
                      <w14:lumMod w14:val="95000"/>
                      <w14:lumOff w14:val="5000"/>
                    </w14:schemeClr>
                  </w14:solidFill>
                </w14:textFill>
              </w:rPr>
              <w:t>.01</w:t>
            </w:r>
          </w:p>
        </w:tc>
        <w:tc>
          <w:tcPr>
            <w:tcW w:w="1992" w:type="dxa"/>
            <w:gridSpan w:val="2"/>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0</w:t>
            </w:r>
            <w:r>
              <w:rPr>
                <w:color w:val="0D0D0D" w:themeColor="text1" w:themeTint="F2"/>
                <w:kern w:val="0"/>
                <w:sz w:val="24"/>
                <w:szCs w:val="24"/>
                <w:highlight w:val="none"/>
                <w14:textFill>
                  <w14:solidFill>
                    <w14:schemeClr w14:val="tx1">
                      <w14:lumMod w14:val="95000"/>
                      <w14:lumOff w14:val="5000"/>
                    </w14:schemeClr>
                  </w14:solidFill>
                </w14:textFill>
              </w:rPr>
              <w:t>.36</w:t>
            </w:r>
          </w:p>
        </w:tc>
      </w:tr>
      <w:bookmarkEnd w:id="43"/>
    </w:tbl>
    <w:p>
      <w:pPr>
        <w:pStyle w:val="3"/>
        <w:spacing w:before="285" w:beforeLines="75"/>
        <w:rPr>
          <w:color w:val="0D0D0D" w:themeColor="text1" w:themeTint="F2"/>
          <w:sz w:val="28"/>
          <w:szCs w:val="28"/>
          <w:highlight w:val="none"/>
          <w14:textFill>
            <w14:solidFill>
              <w14:schemeClr w14:val="tx1">
                <w14:lumMod w14:val="95000"/>
                <w14:lumOff w14:val="5000"/>
              </w14:schemeClr>
            </w14:solidFill>
          </w14:textFill>
        </w:rPr>
      </w:pPr>
      <w:bookmarkStart w:id="45" w:name="_Toc39133142"/>
      <w:bookmarkStart w:id="46" w:name="_Toc514167213"/>
      <w:bookmarkStart w:id="47" w:name="_Toc10307"/>
      <w:r>
        <w:rPr>
          <w:color w:val="0D0D0D" w:themeColor="text1" w:themeTint="F2"/>
          <w:sz w:val="28"/>
          <w:szCs w:val="28"/>
          <w:highlight w:val="none"/>
          <w14:textFill>
            <w14:solidFill>
              <w14:schemeClr w14:val="tx1">
                <w14:lumMod w14:val="95000"/>
                <w14:lumOff w14:val="5000"/>
              </w14:schemeClr>
            </w14:solidFill>
          </w14:textFill>
        </w:rPr>
        <w:t xml:space="preserve">3.4 </w:t>
      </w:r>
      <w:r>
        <w:rPr>
          <w:rFonts w:hint="eastAsia"/>
          <w:color w:val="0D0D0D" w:themeColor="text1" w:themeTint="F2"/>
          <w:sz w:val="28"/>
          <w:szCs w:val="28"/>
          <w:highlight w:val="none"/>
          <w14:textFill>
            <w14:solidFill>
              <w14:schemeClr w14:val="tx1">
                <w14:lumMod w14:val="95000"/>
                <w14:lumOff w14:val="5000"/>
              </w14:schemeClr>
            </w14:solidFill>
          </w14:textFill>
        </w:rPr>
        <w:t>与《景宁畲族自治县</w:t>
      </w:r>
      <w:r>
        <w:rPr>
          <w:color w:val="0D0D0D" w:themeColor="text1" w:themeTint="F2"/>
          <w:sz w:val="28"/>
          <w:szCs w:val="28"/>
          <w:highlight w:val="none"/>
          <w14:textFill>
            <w14:solidFill>
              <w14:schemeClr w14:val="tx1">
                <w14:lumMod w14:val="95000"/>
                <w14:lumOff w14:val="5000"/>
              </w14:schemeClr>
            </w14:solidFill>
          </w14:textFill>
        </w:rPr>
        <w:t>生态保护红线</w:t>
      </w:r>
      <w:r>
        <w:rPr>
          <w:rFonts w:hint="eastAsia"/>
          <w:color w:val="0D0D0D" w:themeColor="text1" w:themeTint="F2"/>
          <w:sz w:val="28"/>
          <w:szCs w:val="28"/>
          <w:highlight w:val="none"/>
          <w14:textFill>
            <w14:solidFill>
              <w14:schemeClr w14:val="tx1">
                <w14:lumMod w14:val="95000"/>
                <w14:lumOff w14:val="5000"/>
              </w14:schemeClr>
            </w14:solidFill>
          </w14:textFill>
        </w:rPr>
        <w:t>》</w:t>
      </w:r>
      <w:bookmarkEnd w:id="45"/>
      <w:bookmarkEnd w:id="46"/>
      <w:r>
        <w:rPr>
          <w:rFonts w:hint="eastAsia"/>
          <w:color w:val="0D0D0D" w:themeColor="text1" w:themeTint="F2"/>
          <w:sz w:val="28"/>
          <w:szCs w:val="28"/>
          <w:highlight w:val="none"/>
          <w14:textFill>
            <w14:solidFill>
              <w14:schemeClr w14:val="tx1">
                <w14:lumMod w14:val="95000"/>
                <w14:lumOff w14:val="5000"/>
              </w14:schemeClr>
            </w14:solidFill>
          </w14:textFill>
        </w:rPr>
        <w:t>衔接情况</w:t>
      </w:r>
      <w:bookmarkEnd w:id="47"/>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根据全省统一部署，2017年9月景宁县编制了《景宁畲族自治县生态保护红线》，红线中共包括水源涵养、生物多样性保护、水土保持三类15个小区，各小区名称、面积详见表3-8所示。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为贯彻落实《自然资源部办公厅 生态环境部办公厅关于开展生态保护红线评估工作的函》</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自然资办函</w:t>
      </w:r>
      <w:r>
        <w:rPr>
          <w:color w:val="0D0D0D" w:themeColor="text1" w:themeTint="F2"/>
          <w:szCs w:val="28"/>
          <w:highlight w:val="none"/>
          <w14:textFill>
            <w14:solidFill>
              <w14:schemeClr w14:val="tx1">
                <w14:lumMod w14:val="95000"/>
                <w14:lumOff w14:val="5000"/>
              </w14:schemeClr>
            </w14:solidFill>
          </w14:textFill>
        </w:rPr>
        <w:t>〔2019〕</w:t>
      </w:r>
      <w:r>
        <w:rPr>
          <w:rFonts w:hint="eastAsia"/>
          <w:color w:val="0D0D0D" w:themeColor="text1" w:themeTint="F2"/>
          <w:szCs w:val="28"/>
          <w:highlight w:val="none"/>
          <w14:textFill>
            <w14:solidFill>
              <w14:schemeClr w14:val="tx1">
                <w14:lumMod w14:val="95000"/>
                <w14:lumOff w14:val="5000"/>
              </w14:schemeClr>
            </w14:solidFill>
          </w14:textFill>
        </w:rPr>
        <w:t>1125号</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，景宁县现已就2</w:t>
      </w:r>
      <w:r>
        <w:rPr>
          <w:color w:val="0D0D0D" w:themeColor="text1" w:themeTint="F2"/>
          <w:szCs w:val="28"/>
          <w:highlight w:val="none"/>
          <w14:textFill>
            <w14:solidFill>
              <w14:schemeClr w14:val="tx1">
                <w14:lumMod w14:val="95000"/>
                <w14:lumOff w14:val="5000"/>
              </w14:schemeClr>
            </w14:solidFill>
          </w14:textFill>
        </w:rPr>
        <w:t>017</w:t>
      </w:r>
      <w:r>
        <w:rPr>
          <w:rFonts w:hint="eastAsia"/>
          <w:color w:val="0D0D0D" w:themeColor="text1" w:themeTint="F2"/>
          <w:szCs w:val="28"/>
          <w:highlight w:val="none"/>
          <w14:textFill>
            <w14:solidFill>
              <w14:schemeClr w14:val="tx1">
                <w14:lumMod w14:val="95000"/>
                <w14:lumOff w14:val="5000"/>
              </w14:schemeClr>
            </w14:solidFill>
          </w14:textFill>
        </w:rPr>
        <w:t>年</w:t>
      </w:r>
      <w:r>
        <w:rPr>
          <w:color w:val="0D0D0D" w:themeColor="text1" w:themeTint="F2"/>
          <w:szCs w:val="28"/>
          <w:highlight w:val="none"/>
          <w14:textFill>
            <w14:solidFill>
              <w14:schemeClr w14:val="tx1">
                <w14:lumMod w14:val="95000"/>
                <w14:lumOff w14:val="5000"/>
              </w14:schemeClr>
            </w14:solidFill>
          </w14:textFill>
        </w:rPr>
        <w:t>9</w:t>
      </w:r>
      <w:r>
        <w:rPr>
          <w:rFonts w:hint="eastAsia"/>
          <w:color w:val="0D0D0D" w:themeColor="text1" w:themeTint="F2"/>
          <w:szCs w:val="28"/>
          <w:highlight w:val="none"/>
          <w14:textFill>
            <w14:solidFill>
              <w14:schemeClr w14:val="tx1">
                <w14:lumMod w14:val="95000"/>
                <w14:lumOff w14:val="5000"/>
              </w14:schemeClr>
            </w14:solidFill>
          </w14:textFill>
        </w:rPr>
        <w:t>月发布的生态保护红线进行了科学评估，并就相应红线范围进行了调整，形成了红线调整建议方案。调整后的生态保护红线分布情况详见图3-</w:t>
      </w:r>
      <w:r>
        <w:rPr>
          <w:color w:val="0D0D0D" w:themeColor="text1" w:themeTint="F2"/>
          <w:szCs w:val="28"/>
          <w:highlight w:val="none"/>
          <w14:textFill>
            <w14:solidFill>
              <w14:schemeClr w14:val="tx1">
                <w14:lumMod w14:val="95000"/>
                <w14:lumOff w14:val="5000"/>
              </w14:schemeClr>
            </w14:solidFill>
          </w14:textFill>
        </w:rPr>
        <w:t>4.</w:t>
      </w:r>
    </w:p>
    <w:p>
      <w:pPr>
        <w:spacing w:line="360" w:lineRule="auto"/>
        <w:jc w:val="center"/>
        <w:rPr>
          <w:rFonts w:hint="eastAsia" w:eastAsia="仿宋_GB2312"/>
          <w:b/>
          <w:color w:val="0D0D0D" w:themeColor="text1" w:themeTint="F2"/>
          <w:sz w:val="24"/>
          <w:szCs w:val="24"/>
          <w:highlight w:val="none"/>
          <w:lang w:eastAsia="zh-CN"/>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表3-8 景宁</w:t>
      </w:r>
      <w:r>
        <w:rPr>
          <w:rFonts w:hint="eastAsia"/>
          <w:b/>
          <w:color w:val="0D0D0D" w:themeColor="text1" w:themeTint="F2"/>
          <w:sz w:val="24"/>
          <w:szCs w:val="24"/>
          <w:highlight w:val="none"/>
          <w14:textFill>
            <w14:solidFill>
              <w14:schemeClr w14:val="tx1">
                <w14:lumMod w14:val="95000"/>
                <w14:lumOff w14:val="5000"/>
              </w14:schemeClr>
            </w14:solidFill>
          </w14:textFill>
        </w:rPr>
        <w:t>畲族自治</w:t>
      </w:r>
      <w:r>
        <w:rPr>
          <w:b/>
          <w:color w:val="0D0D0D" w:themeColor="text1" w:themeTint="F2"/>
          <w:sz w:val="24"/>
          <w:szCs w:val="24"/>
          <w:highlight w:val="none"/>
          <w14:textFill>
            <w14:solidFill>
              <w14:schemeClr w14:val="tx1">
                <w14:lumMod w14:val="95000"/>
                <w14:lumOff w14:val="5000"/>
              </w14:schemeClr>
            </w14:solidFill>
          </w14:textFill>
        </w:rPr>
        <w:t>县生态保护红线划定情况</w:t>
      </w:r>
    </w:p>
    <w:tbl>
      <w:tblPr>
        <w:tblStyle w:val="19"/>
        <w:tblW w:w="55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27"/>
        <w:gridCol w:w="7134"/>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blHeader/>
          <w:jc w:val="center"/>
        </w:trPr>
        <w:tc>
          <w:tcPr>
            <w:tcW w:w="382" w:type="pct"/>
            <w:vAlign w:val="center"/>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类型</w:t>
            </w:r>
          </w:p>
        </w:tc>
        <w:tc>
          <w:tcPr>
            <w:tcW w:w="385" w:type="pct"/>
            <w:vAlign w:val="center"/>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序号</w:t>
            </w:r>
          </w:p>
        </w:tc>
        <w:tc>
          <w:tcPr>
            <w:tcW w:w="3771" w:type="pct"/>
            <w:vAlign w:val="center"/>
          </w:tcPr>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小区名称</w:t>
            </w:r>
          </w:p>
        </w:tc>
        <w:tc>
          <w:tcPr>
            <w:tcW w:w="462" w:type="pct"/>
            <w:vAlign w:val="center"/>
          </w:tcPr>
          <w:p>
            <w:pPr>
              <w:spacing w:line="240" w:lineRule="auto"/>
              <w:jc w:val="center"/>
              <w:rPr>
                <w:rFonts w:hint="eastAsia" w:eastAsia="仿宋_GB2312"/>
                <w:b/>
                <w:color w:val="0D0D0D" w:themeColor="text1" w:themeTint="F2"/>
                <w:sz w:val="24"/>
                <w:szCs w:val="24"/>
                <w:highlight w:val="none"/>
                <w:lang w:eastAsia="zh-CN"/>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面积</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r>
              <w:rPr>
                <w:b/>
                <w:color w:val="0D0D0D" w:themeColor="text1" w:themeTint="F2"/>
                <w:sz w:val="24"/>
                <w:szCs w:val="24"/>
                <w:highlight w:val="none"/>
                <w14:textFill>
                  <w14:solidFill>
                    <w14:schemeClr w14:val="tx1">
                      <w14:lumMod w14:val="95000"/>
                      <w14:lumOff w14:val="5000"/>
                    </w14:schemeClr>
                  </w14:solidFill>
                </w14:textFill>
              </w:rPr>
              <w:t>km</w:t>
            </w:r>
            <w:r>
              <w:rPr>
                <w:b/>
                <w:color w:val="0D0D0D" w:themeColor="text1" w:themeTint="F2"/>
                <w:sz w:val="24"/>
                <w:szCs w:val="24"/>
                <w:highlight w:val="none"/>
                <w:vertAlign w:val="superscript"/>
                <w14:textFill>
                  <w14:solidFill>
                    <w14:schemeClr w14:val="tx1">
                      <w14:lumMod w14:val="95000"/>
                      <w14:lumOff w14:val="5000"/>
                    </w14:schemeClr>
                  </w14:solidFill>
                </w14:textFill>
              </w:rPr>
              <w:t>2</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restar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水源涵养</w:t>
            </w: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景宁小溪</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英川溪</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水源涵养生态保护红线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景宁龙潭桥水库饮用水源保护区水源涵养生态保护红线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景宁飞云江源头水源保护区水源涵养生态保护红线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4</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景宁金村水库饮用水源保护区水源涵养生态保护红线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382" w:type="pct"/>
            <w:vMerge w:val="restar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生物多样性保护</w:t>
            </w: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景宁望东</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垟</w:t>
            </w:r>
            <w:r>
              <w:rPr>
                <w:color w:val="0D0D0D" w:themeColor="text1" w:themeTint="F2"/>
                <w:sz w:val="24"/>
                <w:szCs w:val="24"/>
                <w:highlight w:val="none"/>
                <w14:textFill>
                  <w14:solidFill>
                    <w14:schemeClr w14:val="tx1">
                      <w14:lumMod w14:val="95000"/>
                      <w14:lumOff w14:val="5000"/>
                    </w14:schemeClr>
                  </w14:solidFill>
                </w14:textFill>
              </w:rPr>
              <w:t>高山湿地保护区生物多样性维护生态保护红线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6</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景宁大仰湖湿地群保护区生物多样性维护生态保护红线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7</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景宁仰天湖湿地自然保护小区生物多样性维护生态保护红线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8</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景宁草鱼塘省级森林公园保护区生物多样性维护生态保护红线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景宁东北部森林生态系统生物多样性维护生态红线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178.48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10</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景宁鹤溪森林生态系统保护区生物多样性维护生态保护红线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11</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景宁大均森林生态系统保护区生物多样性维护生态保护红线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12</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pacing w:val="-11"/>
                <w:sz w:val="24"/>
                <w:szCs w:val="24"/>
                <w:highlight w:val="none"/>
                <w14:textFill>
                  <w14:solidFill>
                    <w14:schemeClr w14:val="tx1">
                      <w14:lumMod w14:val="95000"/>
                      <w14:lumOff w14:val="5000"/>
                    </w14:schemeClr>
                  </w14:solidFill>
                </w14:textFill>
              </w:rPr>
              <w:t>景宁小溪</w:t>
            </w:r>
            <w:r>
              <w:rPr>
                <w:rFonts w:hint="eastAsia"/>
                <w:color w:val="0D0D0D" w:themeColor="text1" w:themeTint="F2"/>
                <w:spacing w:val="-11"/>
                <w:sz w:val="24"/>
                <w:szCs w:val="24"/>
                <w:highlight w:val="none"/>
                <w:lang w:eastAsia="zh-CN"/>
                <w14:textFill>
                  <w14:solidFill>
                    <w14:schemeClr w14:val="tx1">
                      <w14:lumMod w14:val="95000"/>
                      <w14:lumOff w14:val="5000"/>
                    </w14:schemeClr>
                  </w14:solidFill>
                </w14:textFill>
              </w:rPr>
              <w:t>(</w:t>
            </w:r>
            <w:r>
              <w:rPr>
                <w:color w:val="0D0D0D" w:themeColor="text1" w:themeTint="F2"/>
                <w:spacing w:val="-11"/>
                <w:sz w:val="24"/>
                <w:szCs w:val="24"/>
                <w:highlight w:val="none"/>
                <w14:textFill>
                  <w14:solidFill>
                    <w14:schemeClr w14:val="tx1">
                      <w14:lumMod w14:val="95000"/>
                      <w14:lumOff w14:val="5000"/>
                    </w14:schemeClr>
                  </w14:solidFill>
                </w14:textFill>
              </w:rPr>
              <w:t>毛</w:t>
            </w:r>
            <w:r>
              <w:rPr>
                <w:rFonts w:ascii="仿宋" w:hAnsi="仿宋" w:eastAsia="仿宋"/>
                <w:color w:val="0D0D0D" w:themeColor="text1" w:themeTint="F2"/>
                <w:spacing w:val="-11"/>
                <w:sz w:val="24"/>
                <w:szCs w:val="24"/>
                <w:highlight w:val="none"/>
                <w14:textFill>
                  <w14:solidFill>
                    <w14:schemeClr w14:val="tx1">
                      <w14:lumMod w14:val="95000"/>
                      <w14:lumOff w14:val="5000"/>
                    </w14:schemeClr>
                  </w14:solidFill>
                </w14:textFill>
              </w:rPr>
              <w:t>垟</w:t>
            </w:r>
            <w:r>
              <w:rPr>
                <w:color w:val="0D0D0D" w:themeColor="text1" w:themeTint="F2"/>
                <w:spacing w:val="-11"/>
                <w:sz w:val="24"/>
                <w:szCs w:val="24"/>
                <w:highlight w:val="none"/>
                <w14:textFill>
                  <w14:solidFill>
                    <w14:schemeClr w14:val="tx1">
                      <w14:lumMod w14:val="95000"/>
                      <w14:lumOff w14:val="5000"/>
                    </w14:schemeClr>
                  </w14:solidFill>
                </w14:textFill>
              </w:rPr>
              <w:t>港</w:t>
            </w:r>
            <w:r>
              <w:rPr>
                <w:rFonts w:hint="eastAsia"/>
                <w:color w:val="0D0D0D" w:themeColor="text1" w:themeTint="F2"/>
                <w:spacing w:val="-11"/>
                <w:sz w:val="24"/>
                <w:szCs w:val="24"/>
                <w:highlight w:val="none"/>
                <w:lang w:eastAsia="zh-CN"/>
                <w14:textFill>
                  <w14:solidFill>
                    <w14:schemeClr w14:val="tx1">
                      <w14:lumMod w14:val="95000"/>
                      <w14:lumOff w14:val="5000"/>
                    </w14:schemeClr>
                  </w14:solidFill>
                </w14:textFill>
              </w:rPr>
              <w:t>)</w:t>
            </w:r>
            <w:r>
              <w:rPr>
                <w:color w:val="0D0D0D" w:themeColor="text1" w:themeTint="F2"/>
                <w:spacing w:val="-11"/>
                <w:sz w:val="24"/>
                <w:szCs w:val="24"/>
                <w:highlight w:val="none"/>
                <w14:textFill>
                  <w14:solidFill>
                    <w14:schemeClr w14:val="tx1">
                      <w14:lumMod w14:val="95000"/>
                      <w14:lumOff w14:val="5000"/>
                    </w14:schemeClr>
                  </w14:solidFill>
                </w14:textFill>
              </w:rPr>
              <w:t>森林生态系统保护区生物多样性维护生态保护红线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13</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景宁英川森林生态系统保护区生物多样性维护生态保护红线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82" w:type="pct"/>
            <w:vMerge w:val="restar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水土保持</w:t>
            </w: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14</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景宁九龙省级地质公园保护区水土保持生态保护红线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382"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c>
          <w:tcPr>
            <w:tcW w:w="385"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15</w:t>
            </w:r>
          </w:p>
        </w:tc>
        <w:tc>
          <w:tcPr>
            <w:tcW w:w="3771" w:type="pct"/>
            <w:shd w:val="clear" w:color="auto" w:fill="auto"/>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景宁云中大</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漈</w:t>
            </w:r>
            <w:r>
              <w:rPr>
                <w:color w:val="0D0D0D" w:themeColor="text1" w:themeTint="F2"/>
                <w:sz w:val="24"/>
                <w:szCs w:val="24"/>
                <w:highlight w:val="none"/>
                <w14:textFill>
                  <w14:solidFill>
                    <w14:schemeClr w14:val="tx1">
                      <w14:lumMod w14:val="95000"/>
                      <w14:lumOff w14:val="5000"/>
                    </w14:schemeClr>
                  </w14:solidFill>
                </w14:textFill>
              </w:rPr>
              <w:t>省级风景名胜区水土保持生态保护红线</w:t>
            </w:r>
          </w:p>
        </w:tc>
        <w:tc>
          <w:tcPr>
            <w:tcW w:w="462" w:type="pct"/>
            <w:shd w:val="clear" w:color="auto" w:fill="auto"/>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62.08</w:t>
            </w:r>
          </w:p>
        </w:tc>
      </w:tr>
    </w:tbl>
    <w:p>
      <w:pPr>
        <w:spacing w:before="95" w:beforeLines="25"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关于生态保护红线的具体管控上，要求</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涉及自然保护区、国家公园、风景名胜区、森林公园、世界自然遗产、饮用水水源保护区、湿地公园等各类自然保护地的管理，按照其法律法规和规章分类进行管理</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其中，</w:t>
      </w:r>
      <w:r>
        <w:rPr>
          <w:b/>
          <w:color w:val="0D0D0D" w:themeColor="text1" w:themeTint="F2"/>
          <w:szCs w:val="28"/>
          <w:highlight w:val="none"/>
          <w14:textFill>
            <w14:solidFill>
              <w14:schemeClr w14:val="tx1">
                <w14:lumMod w14:val="95000"/>
                <w14:lumOff w14:val="5000"/>
              </w14:schemeClr>
            </w14:solidFill>
          </w14:textFill>
        </w:rPr>
        <w:t>自然保护区</w:t>
      </w:r>
      <w:r>
        <w:rPr>
          <w:color w:val="0D0D0D" w:themeColor="text1" w:themeTint="F2"/>
          <w:szCs w:val="28"/>
          <w:highlight w:val="none"/>
          <w14:textFill>
            <w14:solidFill>
              <w14:schemeClr w14:val="tx1">
                <w14:lumMod w14:val="95000"/>
                <w14:lumOff w14:val="5000"/>
              </w14:schemeClr>
            </w14:solidFill>
          </w14:textFill>
        </w:rPr>
        <w:t>按照《中华人民共和国自然保护区条例</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2017</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》、《浙江省自然保护区管理办法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》及其他相关法律法规实施管理；</w:t>
      </w:r>
      <w:r>
        <w:rPr>
          <w:b/>
          <w:color w:val="0D0D0D" w:themeColor="text1" w:themeTint="F2"/>
          <w:szCs w:val="28"/>
          <w:highlight w:val="none"/>
          <w14:textFill>
            <w14:solidFill>
              <w14:schemeClr w14:val="tx1">
                <w14:lumMod w14:val="95000"/>
                <w14:lumOff w14:val="5000"/>
              </w14:schemeClr>
            </w14:solidFill>
          </w14:textFill>
        </w:rPr>
        <w:t>风景名胜区</w:t>
      </w:r>
      <w:r>
        <w:rPr>
          <w:color w:val="0D0D0D" w:themeColor="text1" w:themeTint="F2"/>
          <w:szCs w:val="28"/>
          <w:highlight w:val="none"/>
          <w14:textFill>
            <w14:solidFill>
              <w14:schemeClr w14:val="tx1">
                <w14:lumMod w14:val="95000"/>
                <w14:lumOff w14:val="5000"/>
              </w14:schemeClr>
            </w14:solidFill>
          </w14:textFill>
        </w:rPr>
        <w:t>按照《风景名胜区条例》、《浙江省风景名胜区管理条例》及其他相关法律法规实施管理；</w:t>
      </w:r>
      <w:r>
        <w:rPr>
          <w:b/>
          <w:color w:val="0D0D0D" w:themeColor="text1" w:themeTint="F2"/>
          <w:szCs w:val="28"/>
          <w:highlight w:val="none"/>
          <w14:textFill>
            <w14:solidFill>
              <w14:schemeClr w14:val="tx1">
                <w14:lumMod w14:val="95000"/>
                <w14:lumOff w14:val="5000"/>
              </w14:schemeClr>
            </w14:solidFill>
          </w14:textFill>
        </w:rPr>
        <w:t>森林公园</w:t>
      </w:r>
      <w:r>
        <w:rPr>
          <w:color w:val="0D0D0D" w:themeColor="text1" w:themeTint="F2"/>
          <w:szCs w:val="28"/>
          <w:highlight w:val="none"/>
          <w14:textFill>
            <w14:solidFill>
              <w14:schemeClr w14:val="tx1">
                <w14:lumMod w14:val="95000"/>
                <w14:lumOff w14:val="5000"/>
              </w14:schemeClr>
            </w14:solidFill>
          </w14:textFill>
        </w:rPr>
        <w:t>按照《中华人民共和国森林法》、《国家级森林公园管理办法》、《浙江省森林管理条例》、《浙江省水土保持条例》、《国家级公益林管理办法》、《浙江省公益林和森林公园条例</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2018</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》及其他相关法律法规实施管控；</w:t>
      </w:r>
      <w:r>
        <w:rPr>
          <w:b/>
          <w:color w:val="0D0D0D" w:themeColor="text1" w:themeTint="F2"/>
          <w:szCs w:val="28"/>
          <w:highlight w:val="none"/>
          <w14:textFill>
            <w14:solidFill>
              <w14:schemeClr w14:val="tx1">
                <w14:lumMod w14:val="95000"/>
                <w14:lumOff w14:val="5000"/>
              </w14:schemeClr>
            </w14:solidFill>
          </w14:textFill>
        </w:rPr>
        <w:t>饮用水水源保护区</w:t>
      </w:r>
      <w:r>
        <w:rPr>
          <w:color w:val="0D0D0D" w:themeColor="text1" w:themeTint="F2"/>
          <w:szCs w:val="28"/>
          <w:highlight w:val="none"/>
          <w14:textFill>
            <w14:solidFill>
              <w14:schemeClr w14:val="tx1">
                <w14:lumMod w14:val="95000"/>
                <w14:lumOff w14:val="5000"/>
              </w14:schemeClr>
            </w14:solidFill>
          </w14:textFill>
        </w:rPr>
        <w:t>按照《中华人民共和国水污染防治法》、《浙江省饮用水水源保护条例》、《丽水市饮用水水源保护条例》及相关法律法规实施管理；</w:t>
      </w:r>
      <w:r>
        <w:rPr>
          <w:b/>
          <w:color w:val="0D0D0D" w:themeColor="text1" w:themeTint="F2"/>
          <w:szCs w:val="28"/>
          <w:highlight w:val="none"/>
          <w14:textFill>
            <w14:solidFill>
              <w14:schemeClr w14:val="tx1">
                <w14:lumMod w14:val="95000"/>
                <w14:lumOff w14:val="5000"/>
              </w14:schemeClr>
            </w14:solidFill>
          </w14:textFill>
        </w:rPr>
        <w:t>湿地公园</w:t>
      </w:r>
      <w:r>
        <w:rPr>
          <w:color w:val="0D0D0D" w:themeColor="text1" w:themeTint="F2"/>
          <w:szCs w:val="28"/>
          <w:highlight w:val="none"/>
          <w14:textFill>
            <w14:solidFill>
              <w14:schemeClr w14:val="tx1">
                <w14:lumMod w14:val="95000"/>
                <w14:lumOff w14:val="5000"/>
              </w14:schemeClr>
            </w14:solidFill>
          </w14:textFill>
        </w:rPr>
        <w:t>按照《国家湿地公园管理办法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2018</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湿地保护管理规定》、《浙江省湿地保护条例》及相关法律法规实施保护管理。生态保护红线按禁止开发区域进行管理，禁止工业化和城镇化，确保生态保护红线内“生态功能不降低，面积不减少，性质不改变”。明确符合主体功能定位的活动，严禁不符合主体功能定位的各类开发活动，严禁任意改变用途。对原有各种对生态环境有较大负面影响的生产、开发建设活动应逐步退出。生态保护红线内生态用地只增加不能减少。</w:t>
      </w:r>
    </w:p>
    <w:p>
      <w:pPr>
        <w:spacing w:line="360" w:lineRule="auto"/>
        <w:jc w:val="center"/>
        <w:rPr>
          <w:rFonts w:hint="eastAsia" w:eastAsia="仿宋_GB2312"/>
          <w:b/>
          <w:color w:val="0D0D0D" w:themeColor="text1" w:themeTint="F2"/>
          <w:sz w:val="24"/>
          <w:szCs w:val="24"/>
          <w:highlight w:val="none"/>
          <w:lang w:eastAsia="zh-CN"/>
          <w14:textFill>
            <w14:solidFill>
              <w14:schemeClr w14:val="tx1">
                <w14:lumMod w14:val="95000"/>
                <w14:lumOff w14:val="5000"/>
              </w14:schemeClr>
            </w14:solidFill>
          </w14:textFill>
        </w:rPr>
      </w:pPr>
      <w:r>
        <w:rPr>
          <w:b/>
          <w:color w:val="0D0D0D" w:themeColor="text1" w:themeTint="F2"/>
          <w:sz w:val="24"/>
          <w:szCs w:val="24"/>
          <w:highlight w:val="none"/>
          <w:lang w:val="zh-CN"/>
          <w14:textFill>
            <w14:solidFill>
              <w14:schemeClr w14:val="tx1">
                <w14:lumMod w14:val="95000"/>
                <w14:lumOff w14:val="5000"/>
              </w14:schemeClr>
            </w14:solidFill>
          </w14:textFill>
        </w:rPr>
        <w:drawing>
          <wp:inline distT="0" distB="0" distL="0" distR="0">
            <wp:extent cx="5278755" cy="3734435"/>
            <wp:effectExtent l="0" t="0" r="4445" b="0"/>
            <wp:docPr id="16" name="图片 16" descr="图片包含 游戏机, 截图, 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 截图, 花&#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755" cy="3734435"/>
                    </a:xfrm>
                    <a:prstGeom prst="rect">
                      <a:avLst/>
                    </a:prstGeom>
                  </pic:spPr>
                </pic:pic>
              </a:graphicData>
            </a:graphic>
          </wp:inline>
        </w:drawing>
      </w:r>
      <w:r>
        <w:rPr>
          <w:b/>
          <w:color w:val="0D0D0D" w:themeColor="text1" w:themeTint="F2"/>
          <w:sz w:val="24"/>
          <w:szCs w:val="24"/>
          <w:highlight w:val="none"/>
          <w14:textFill>
            <w14:solidFill>
              <w14:schemeClr w14:val="tx1">
                <w14:lumMod w14:val="95000"/>
                <w14:lumOff w14:val="5000"/>
              </w14:schemeClr>
            </w14:solidFill>
          </w14:textFill>
        </w:rPr>
        <w:t>图3-</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3</w:t>
      </w:r>
      <w:r>
        <w:rPr>
          <w:b/>
          <w:color w:val="0D0D0D" w:themeColor="text1" w:themeTint="F2"/>
          <w:sz w:val="24"/>
          <w:szCs w:val="24"/>
          <w:highlight w:val="none"/>
          <w14:textFill>
            <w14:solidFill>
              <w14:schemeClr w14:val="tx1">
                <w14:lumMod w14:val="95000"/>
                <w14:lumOff w14:val="5000"/>
              </w14:schemeClr>
            </w14:solidFill>
          </w14:textFill>
        </w:rPr>
        <w:t xml:space="preserve"> 景宁畲族自治县生态保护红线图</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最新成果</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本次环境空气质量功能区划严格衔接了自然资源与规划局关于生态保护红线调整修编的成果，一类区完全纳入生态保护红线范围。同时适当增补了原有生态保护红线中有关自然保护地和水源保护区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ascii="仿宋" w:hAnsi="仿宋" w:eastAsia="仿宋"/>
          <w:color w:val="0D0D0D" w:themeColor="text1" w:themeTint="F2"/>
          <w:szCs w:val="28"/>
          <w:highlight w:val="none"/>
          <w14:textFill>
            <w14:solidFill>
              <w14:schemeClr w14:val="tx1">
                <w14:lumMod w14:val="95000"/>
                <w14:lumOff w14:val="5000"/>
              </w14:schemeClr>
            </w14:solidFill>
          </w14:textFill>
        </w:rPr>
        <w:t>大</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漈</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省级风景名胜区和景宁仰天湖湿地自然保护小区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的区块。具体的衔接情况见表3-</w:t>
      </w:r>
      <w:r>
        <w:rPr>
          <w:color w:val="0D0D0D" w:themeColor="text1" w:themeTint="F2"/>
          <w:szCs w:val="28"/>
          <w:highlight w:val="none"/>
          <w14:textFill>
            <w14:solidFill>
              <w14:schemeClr w14:val="tx1">
                <w14:lumMod w14:val="95000"/>
                <w14:lumOff w14:val="5000"/>
              </w14:schemeClr>
            </w14:solidFill>
          </w14:textFill>
        </w:rPr>
        <w:t>8.</w:t>
      </w:r>
    </w:p>
    <w:p>
      <w:pPr>
        <w:spacing w:line="36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rFonts w:hint="eastAsia"/>
          <w:b/>
          <w:bCs/>
          <w:color w:val="0D0D0D" w:themeColor="text1" w:themeTint="F2"/>
          <w:sz w:val="24"/>
          <w:szCs w:val="24"/>
          <w:highlight w:val="none"/>
          <w14:textFill>
            <w14:solidFill>
              <w14:schemeClr w14:val="tx1">
                <w14:lumMod w14:val="95000"/>
                <w14:lumOff w14:val="5000"/>
              </w14:schemeClr>
            </w14:solidFill>
          </w14:textFill>
        </w:rPr>
        <w:t>表3-</w:t>
      </w:r>
      <w:r>
        <w:rPr>
          <w:b/>
          <w:bCs/>
          <w:color w:val="0D0D0D" w:themeColor="text1" w:themeTint="F2"/>
          <w:sz w:val="24"/>
          <w:szCs w:val="24"/>
          <w:highlight w:val="none"/>
          <w14:textFill>
            <w14:solidFill>
              <w14:schemeClr w14:val="tx1">
                <w14:lumMod w14:val="95000"/>
                <w14:lumOff w14:val="5000"/>
              </w14:schemeClr>
            </w14:solidFill>
          </w14:textFill>
        </w:rPr>
        <w:t xml:space="preserve">7 </w:t>
      </w:r>
      <w:r>
        <w:rPr>
          <w:rFonts w:hint="eastAsia"/>
          <w:b/>
          <w:bCs/>
          <w:color w:val="0D0D0D" w:themeColor="text1" w:themeTint="F2"/>
          <w:sz w:val="24"/>
          <w:szCs w:val="24"/>
          <w:highlight w:val="none"/>
          <w14:textFill>
            <w14:solidFill>
              <w14:schemeClr w14:val="tx1">
                <w14:lumMod w14:val="95000"/>
                <w14:lumOff w14:val="5000"/>
              </w14:schemeClr>
            </w14:solidFill>
          </w14:textFill>
        </w:rPr>
        <w:t>环境空气质量功能区划与生态保护红线衔接分析表</w:t>
      </w:r>
    </w:p>
    <w:tbl>
      <w:tblPr>
        <w:tblStyle w:val="18"/>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083"/>
        <w:gridCol w:w="1341"/>
        <w:gridCol w:w="2154"/>
        <w:gridCol w:w="1586"/>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079"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val="en-US" w:eastAsia="zh-CN"/>
                <w14:textFill>
                  <w14:solidFill>
                    <w14:schemeClr w14:val="tx1">
                      <w14:lumMod w14:val="95000"/>
                      <w14:lumOff w14:val="5000"/>
                    </w14:schemeClr>
                  </w14:solidFill>
                </w14:textFill>
              </w:rPr>
            </w:pPr>
            <w:r>
              <w:rPr>
                <w:rFonts w:hint="eastAsia"/>
                <w:color w:val="0D0D0D" w:themeColor="text1" w:themeTint="F2"/>
                <w:kern w:val="0"/>
                <w:sz w:val="24"/>
                <w:szCs w:val="24"/>
                <w:highlight w:val="none"/>
                <w:lang w:val="en-US" w:eastAsia="zh-CN"/>
                <w14:textFill>
                  <w14:solidFill>
                    <w14:schemeClr w14:val="tx1">
                      <w14:lumMod w14:val="95000"/>
                      <w14:lumOff w14:val="5000"/>
                    </w14:schemeClr>
                  </w14:solidFill>
                </w14:textFill>
              </w:rPr>
              <w:t>类别</w:t>
            </w:r>
          </w:p>
        </w:tc>
        <w:tc>
          <w:tcPr>
            <w:tcW w:w="1083"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34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c>
          <w:tcPr>
            <w:tcW w:w="2154" w:type="dxa"/>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衔接生态保护红线</w:t>
            </w:r>
          </w:p>
        </w:tc>
        <w:tc>
          <w:tcPr>
            <w:tcW w:w="1586" w:type="dxa"/>
            <w:shd w:val="clear" w:color="auto" w:fill="auto"/>
            <w:vAlign w:val="center"/>
          </w:tcPr>
          <w:p>
            <w:pPr>
              <w:widowControl/>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kern w:val="0"/>
                <w:sz w:val="24"/>
                <w:szCs w:val="24"/>
                <w:highlight w:val="none"/>
                <w14:textFill>
                  <w14:solidFill>
                    <w14:schemeClr w14:val="tx1">
                      <w14:lumMod w14:val="95000"/>
                      <w14:lumOff w14:val="5000"/>
                    </w14:schemeClr>
                  </w14:solidFill>
                </w14:textFill>
              </w:rPr>
              <w:t>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618"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占土地总面积比例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7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一类区</w:t>
            </w:r>
          </w:p>
        </w:tc>
        <w:tc>
          <w:tcPr>
            <w:tcW w:w="1083"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134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7.69</w:t>
            </w:r>
          </w:p>
        </w:tc>
        <w:tc>
          <w:tcPr>
            <w:tcW w:w="2154" w:type="dxa"/>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生态保护红线</w:t>
            </w:r>
          </w:p>
        </w:tc>
        <w:tc>
          <w:tcPr>
            <w:tcW w:w="1586"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709</w:t>
            </w:r>
            <w:r>
              <w:rPr>
                <w:rFonts w:hint="eastAsia"/>
                <w:b/>
                <w:bCs/>
                <w:color w:val="0D0D0D" w:themeColor="text1" w:themeTint="F2"/>
                <w:kern w:val="0"/>
                <w:sz w:val="24"/>
                <w:szCs w:val="24"/>
                <w:highlight w:val="none"/>
                <w14:textFill>
                  <w14:solidFill>
                    <w14:schemeClr w14:val="tx1">
                      <w14:lumMod w14:val="95000"/>
                      <w14:lumOff w14:val="5000"/>
                    </w14:schemeClr>
                  </w14:solidFill>
                </w14:textFill>
              </w:rPr>
              <w:t>.</w:t>
            </w:r>
            <w:r>
              <w:rPr>
                <w:b/>
                <w:bCs/>
                <w:color w:val="0D0D0D" w:themeColor="text1" w:themeTint="F2"/>
                <w:kern w:val="0"/>
                <w:sz w:val="24"/>
                <w:szCs w:val="24"/>
                <w:highlight w:val="none"/>
                <w14:textFill>
                  <w14:solidFill>
                    <w14:schemeClr w14:val="tx1">
                      <w14:lumMod w14:val="95000"/>
                      <w14:lumOff w14:val="5000"/>
                    </w14:schemeClr>
                  </w14:solidFill>
                </w14:textFill>
              </w:rPr>
              <w:t>62</w:t>
            </w:r>
          </w:p>
        </w:tc>
        <w:tc>
          <w:tcPr>
            <w:tcW w:w="1618" w:type="dxa"/>
            <w:shd w:val="clear" w:color="auto" w:fill="auto"/>
            <w:vAlign w:val="center"/>
          </w:tcPr>
          <w:p>
            <w:pPr>
              <w:widowControl/>
              <w:spacing w:line="240" w:lineRule="auto"/>
              <w:jc w:val="center"/>
              <w:rPr>
                <w:b/>
                <w:bCs/>
                <w:color w:val="0D0D0D" w:themeColor="text1" w:themeTint="F2"/>
                <w:kern w:val="0"/>
                <w:sz w:val="24"/>
                <w:szCs w:val="24"/>
                <w:highlight w:val="none"/>
                <w14:textFill>
                  <w14:solidFill>
                    <w14:schemeClr w14:val="tx1">
                      <w14:lumMod w14:val="95000"/>
                      <w14:lumOff w14:val="5000"/>
                    </w14:schemeClr>
                  </w14:solidFill>
                </w14:textFill>
              </w:rPr>
            </w:pPr>
            <w:r>
              <w:rPr>
                <w:b/>
                <w:bCs/>
                <w:color w:val="0D0D0D" w:themeColor="text1" w:themeTint="F2"/>
                <w:kern w:val="0"/>
                <w:sz w:val="24"/>
                <w:szCs w:val="24"/>
                <w:highlight w:val="none"/>
                <w14:textFill>
                  <w14:solidFill>
                    <w14:schemeClr w14:val="tx1">
                      <w14:lumMod w14:val="95000"/>
                      <w14:lumOff w14:val="5000"/>
                    </w14:schemeClr>
                  </w14:solidFill>
                </w14:textFill>
              </w:rPr>
              <w:t>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07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缓冲区</w:t>
            </w:r>
          </w:p>
        </w:tc>
        <w:tc>
          <w:tcPr>
            <w:tcW w:w="1083"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66.08</w:t>
            </w:r>
          </w:p>
        </w:tc>
        <w:tc>
          <w:tcPr>
            <w:tcW w:w="134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8.88</w:t>
            </w:r>
          </w:p>
        </w:tc>
        <w:tc>
          <w:tcPr>
            <w:tcW w:w="2154" w:type="dxa"/>
            <w:vMerge w:val="restart"/>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非红线区</w:t>
            </w:r>
          </w:p>
        </w:tc>
        <w:tc>
          <w:tcPr>
            <w:tcW w:w="1586"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1</w:t>
            </w:r>
            <w:r>
              <w:rPr>
                <w:color w:val="0D0D0D" w:themeColor="text1" w:themeTint="F2"/>
                <w:kern w:val="0"/>
                <w:sz w:val="24"/>
                <w:szCs w:val="24"/>
                <w:highlight w:val="none"/>
                <w14:textFill>
                  <w14:solidFill>
                    <w14:schemeClr w14:val="tx1">
                      <w14:lumMod w14:val="95000"/>
                      <w14:lumOff w14:val="5000"/>
                    </w14:schemeClr>
                  </w14:solidFill>
                </w14:textFill>
              </w:rPr>
              <w:t>229.21</w:t>
            </w:r>
          </w:p>
        </w:tc>
        <w:tc>
          <w:tcPr>
            <w:tcW w:w="1618" w:type="dxa"/>
            <w:vMerge w:val="restart"/>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6</w:t>
            </w:r>
            <w:r>
              <w:rPr>
                <w:color w:val="0D0D0D" w:themeColor="text1" w:themeTint="F2"/>
                <w:kern w:val="0"/>
                <w:sz w:val="24"/>
                <w:szCs w:val="24"/>
                <w:highlight w:val="none"/>
                <w14:textFill>
                  <w14:solidFill>
                    <w14:schemeClr w14:val="tx1">
                      <w14:lumMod w14:val="95000"/>
                      <w14:lumOff w14:val="5000"/>
                    </w14:schemeClr>
                  </w14:solidFill>
                </w14:textFill>
              </w:rPr>
              <w:t>3.40</w:t>
            </w:r>
            <w:r>
              <w:rPr>
                <w:rFonts w:hint="eastAsia"/>
                <w:color w:val="0D0D0D" w:themeColor="text1" w:themeTint="F2"/>
                <w:kern w:val="0"/>
                <w:sz w:val="24"/>
                <w:szCs w:val="24"/>
                <w:highlight w:val="non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9"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kern w:val="0"/>
                <w:sz w:val="24"/>
                <w:szCs w:val="24"/>
                <w:highlight w:val="none"/>
                <w14:textFill>
                  <w14:solidFill>
                    <w14:schemeClr w14:val="tx1">
                      <w14:lumMod w14:val="95000"/>
                      <w14:lumOff w14:val="5000"/>
                    </w14:schemeClr>
                  </w14:solidFill>
                </w14:textFill>
              </w:rPr>
              <w:t>二类区</w:t>
            </w:r>
          </w:p>
        </w:tc>
        <w:tc>
          <w:tcPr>
            <w:tcW w:w="1083"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1341" w:type="dxa"/>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3.43</w:t>
            </w:r>
          </w:p>
        </w:tc>
        <w:tc>
          <w:tcPr>
            <w:tcW w:w="2154" w:type="dxa"/>
            <w:vMerge w:val="continue"/>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586"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618" w:type="dxa"/>
            <w:vMerge w:val="continue"/>
            <w:shd w:val="clear" w:color="auto" w:fill="auto"/>
            <w:vAlign w:val="center"/>
          </w:tcPr>
          <w:p>
            <w:pPr>
              <w:widowControl/>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r>
    </w:tbl>
    <w:p>
      <w:pPr>
        <w:pStyle w:val="3"/>
        <w:spacing w:before="320"/>
        <w:rPr>
          <w:color w:val="0D0D0D" w:themeColor="text1" w:themeTint="F2"/>
          <w:sz w:val="28"/>
          <w:szCs w:val="28"/>
          <w:highlight w:val="none"/>
          <w14:textFill>
            <w14:solidFill>
              <w14:schemeClr w14:val="tx1">
                <w14:lumMod w14:val="95000"/>
                <w14:lumOff w14:val="5000"/>
              </w14:schemeClr>
            </w14:solidFill>
          </w14:textFill>
        </w:rPr>
      </w:pPr>
      <w:bookmarkStart w:id="48" w:name="_Toc39133133"/>
      <w:bookmarkStart w:id="49" w:name="_Toc514167205"/>
      <w:bookmarkStart w:id="50" w:name="_Toc25917"/>
      <w:bookmarkStart w:id="51" w:name="_Toc514167214"/>
      <w:bookmarkStart w:id="52" w:name="_Toc39133143"/>
      <w:r>
        <w:rPr>
          <w:color w:val="0D0D0D" w:themeColor="text1" w:themeTint="F2"/>
          <w:sz w:val="28"/>
          <w:szCs w:val="28"/>
          <w:highlight w:val="none"/>
          <w14:textFill>
            <w14:solidFill>
              <w14:schemeClr w14:val="tx1">
                <w14:lumMod w14:val="95000"/>
                <w14:lumOff w14:val="5000"/>
              </w14:schemeClr>
            </w14:solidFill>
          </w14:textFill>
        </w:rPr>
        <w:t xml:space="preserve">3.5 </w:t>
      </w:r>
      <w:bookmarkEnd w:id="48"/>
      <w:bookmarkEnd w:id="49"/>
      <w:r>
        <w:rPr>
          <w:rFonts w:hint="eastAsia"/>
          <w:color w:val="0D0D0D" w:themeColor="text1" w:themeTint="F2"/>
          <w:sz w:val="28"/>
          <w:szCs w:val="28"/>
          <w:highlight w:val="none"/>
          <w14:textFill>
            <w14:solidFill>
              <w14:schemeClr w14:val="tx1">
                <w14:lumMod w14:val="95000"/>
                <w14:lumOff w14:val="5000"/>
              </w14:schemeClr>
            </w14:solidFill>
          </w14:textFill>
        </w:rPr>
        <w:t>与《景宁畲族自治县县域总体规划》衔接情况</w:t>
      </w:r>
      <w:bookmarkEnd w:id="50"/>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县域总体规划中关于全县的城乡产业发展战略和发展目标、产业空间布局、城镇空间结构以及城乡空间发展策略等，对本次环境空气质量功能区划的修编有着显著的指导意义。景宁县的</w:t>
      </w:r>
      <w:r>
        <w:rPr>
          <w:color w:val="0D0D0D" w:themeColor="text1" w:themeTint="F2"/>
          <w:szCs w:val="28"/>
          <w:highlight w:val="none"/>
          <w14:textFill>
            <w14:solidFill>
              <w14:schemeClr w14:val="tx1">
                <w14:lumMod w14:val="95000"/>
                <w14:lumOff w14:val="5000"/>
              </w14:schemeClr>
            </w14:solidFill>
          </w14:textFill>
        </w:rPr>
        <w:t>主要功能定位为</w:t>
      </w:r>
      <w:r>
        <w:rPr>
          <w:b/>
          <w:color w:val="0D0D0D" w:themeColor="text1" w:themeTint="F2"/>
          <w:szCs w:val="28"/>
          <w:highlight w:val="none"/>
          <w14:textFill>
            <w14:solidFill>
              <w14:schemeClr w14:val="tx1">
                <w14:lumMod w14:val="95000"/>
                <w14:lumOff w14:val="5000"/>
              </w14:schemeClr>
            </w14:solidFill>
          </w14:textFill>
        </w:rPr>
        <w:t>国家生态示范县、畲乡民族文化旅游特色县、高山有机农产品名牌县、农林产品加工基地县</w:t>
      </w:r>
      <w:r>
        <w:rPr>
          <w:rFonts w:hint="eastAsia"/>
          <w:b/>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在空间结构上，县域城镇的目标为形成“一主携三次，两轴带四片”的县域次区域组织和中心城镇布局结构，区域定位和分布详见表3-</w:t>
      </w:r>
      <w:r>
        <w:rPr>
          <w:color w:val="0D0D0D" w:themeColor="text1" w:themeTint="F2"/>
          <w:szCs w:val="28"/>
          <w:highlight w:val="none"/>
          <w14:textFill>
            <w14:solidFill>
              <w14:schemeClr w14:val="tx1">
                <w14:lumMod w14:val="95000"/>
                <w14:lumOff w14:val="5000"/>
              </w14:schemeClr>
            </w14:solidFill>
          </w14:textFill>
        </w:rPr>
        <w:t>8</w:t>
      </w:r>
      <w:r>
        <w:rPr>
          <w:rFonts w:hint="eastAsia"/>
          <w:color w:val="0D0D0D" w:themeColor="text1" w:themeTint="F2"/>
          <w:szCs w:val="28"/>
          <w:highlight w:val="none"/>
          <w14:textFill>
            <w14:solidFill>
              <w14:schemeClr w14:val="tx1">
                <w14:lumMod w14:val="95000"/>
                <w14:lumOff w14:val="5000"/>
              </w14:schemeClr>
            </w14:solidFill>
          </w14:textFill>
        </w:rPr>
        <w:t>和图3-</w:t>
      </w:r>
      <w:r>
        <w:rPr>
          <w:rFonts w:hint="eastAsia"/>
          <w:color w:val="0D0D0D" w:themeColor="text1" w:themeTint="F2"/>
          <w:szCs w:val="28"/>
          <w:highlight w:val="none"/>
          <w:lang w:val="en-US" w:eastAsia="zh-CN"/>
          <w14:textFill>
            <w14:solidFill>
              <w14:schemeClr w14:val="tx1">
                <w14:lumMod w14:val="95000"/>
                <w14:lumOff w14:val="5000"/>
              </w14:schemeClr>
            </w14:solidFill>
          </w14:textFill>
        </w:rPr>
        <w:t>4。</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一主</w:t>
      </w:r>
      <w:r>
        <w:rPr>
          <w:color w:val="0D0D0D" w:themeColor="text1" w:themeTint="F2"/>
          <w:szCs w:val="28"/>
          <w:highlight w:val="none"/>
          <w14:textFill>
            <w14:solidFill>
              <w14:schemeClr w14:val="tx1">
                <w14:lumMod w14:val="95000"/>
                <w14:lumOff w14:val="5000"/>
              </w14:schemeClr>
            </w14:solidFill>
          </w14:textFill>
        </w:rPr>
        <w:t>：以鹤溪镇为中心，结合滩坑水库围库工程和澄照工业区的发展，加强人口、产业的集聚，加强对外交通及基础设施建设，进一步提升鹤溪镇作为县域经济、政治、文化、商贸服务中心的功能，加强其辐射能力，建设成为县域中心城区。</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三次</w:t>
      </w:r>
      <w:r>
        <w:rPr>
          <w:color w:val="0D0D0D" w:themeColor="text1" w:themeTint="F2"/>
          <w:szCs w:val="28"/>
          <w:highlight w:val="none"/>
          <w14:textFill>
            <w14:solidFill>
              <w14:schemeClr w14:val="tx1">
                <w14:lumMod w14:val="95000"/>
                <w14:lumOff w14:val="5000"/>
              </w14:schemeClr>
            </w14:solidFill>
          </w14:textFill>
        </w:rPr>
        <w:t>：培育片区中心镇沙湾镇、东坑镇和九龙乡，分别作为西部、南部和东部地区的次一级片区中心，加强基础设施建设，引导产业和人口集聚，承担片区产业和服务中心的功能，带动周边乡镇发展。</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两轴</w:t>
      </w:r>
      <w:r>
        <w:rPr>
          <w:color w:val="0D0D0D" w:themeColor="text1" w:themeTint="F2"/>
          <w:szCs w:val="28"/>
          <w:highlight w:val="none"/>
          <w14:textFill>
            <w14:solidFill>
              <w14:schemeClr w14:val="tx1">
                <w14:lumMod w14:val="95000"/>
                <w14:lumOff w14:val="5000"/>
              </w14:schemeClr>
            </w14:solidFill>
          </w14:textFill>
        </w:rPr>
        <w:t>：景宁县空间布局依托的两条发展轴，其一是52省道</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龙丽温高速公路</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沿线发展轴，其二是庆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田</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景</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宁</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元</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公路沿线发展轴。两条发展轴交汇处为景宁县二、三产业基地——中心城区。52省道(龙丽温高速公路</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发展轴主要依托中心城区工业和商贸服务、外舍旅游和复合产业、澄照工业区和东坑工业小区集聚县域产业，形成以工业和生态旅游为主的产业布局带。庆景青公路发展轴东段发展以滩坑水库形成的湖区旅游业和国家地质公园游览为主体的旅游度假产业，西段发展以水电工业、特色山地农业为主的产业。</w:t>
      </w:r>
    </w:p>
    <w:p>
      <w:pPr>
        <w:spacing w:line="360" w:lineRule="auto"/>
        <w:ind w:firstLine="562" w:firstLineChars="200"/>
        <w:rPr>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四片区</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根据经济社会联系特点和县域协调发展的要求，将全县划分为中部片区、东部片区、南部片区和西部片区四个次区域，形成以中心城区和片区中心镇为依托，区内经济联系紧密、功能协调发展的县域次区域。</w:t>
      </w:r>
    </w:p>
    <w:p>
      <w:pPr>
        <w:spacing w:line="360" w:lineRule="auto"/>
        <w:jc w:val="center"/>
        <w:rPr>
          <w:rFonts w:hint="eastAsia" w:eastAsia="仿宋_GB2312"/>
          <w:b/>
          <w:bCs/>
          <w:color w:val="0D0D0D" w:themeColor="text1" w:themeTint="F2"/>
          <w:sz w:val="24"/>
          <w:szCs w:val="24"/>
          <w:highlight w:val="none"/>
          <w:lang w:eastAsia="zh-CN"/>
          <w14:textFill>
            <w14:solidFill>
              <w14:schemeClr w14:val="tx1">
                <w14:lumMod w14:val="95000"/>
                <w14:lumOff w14:val="5000"/>
              </w14:schemeClr>
            </w14:solidFill>
          </w14:textFill>
        </w:rPr>
      </w:pPr>
      <w:bookmarkStart w:id="53" w:name="_Toc433011854"/>
      <w:r>
        <w:rPr>
          <w:b/>
          <w:bCs/>
          <w:color w:val="0D0D0D" w:themeColor="text1" w:themeTint="F2"/>
          <w:sz w:val="24"/>
          <w:szCs w:val="24"/>
          <w:highlight w:val="none"/>
          <w14:textFill>
            <w14:solidFill>
              <w14:schemeClr w14:val="tx1">
                <w14:lumMod w14:val="95000"/>
                <w14:lumOff w14:val="5000"/>
              </w14:schemeClr>
            </w14:solidFill>
          </w14:textFill>
        </w:rPr>
        <w:t>表3-8 城镇体系职能结构一览表</w:t>
      </w:r>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r>
        <w:rPr>
          <w:b/>
          <w:bCs/>
          <w:color w:val="0D0D0D" w:themeColor="text1" w:themeTint="F2"/>
          <w:sz w:val="24"/>
          <w:szCs w:val="24"/>
          <w:highlight w:val="none"/>
          <w14:textFill>
            <w14:solidFill>
              <w14:schemeClr w14:val="tx1">
                <w14:lumMod w14:val="95000"/>
                <w14:lumOff w14:val="5000"/>
              </w14:schemeClr>
            </w14:solidFill>
          </w14:textFill>
        </w:rPr>
        <w:t>2020年</w:t>
      </w:r>
      <w:bookmarkEnd w:id="53"/>
      <w:r>
        <w:rPr>
          <w:rFonts w:hint="eastAsia"/>
          <w:b/>
          <w:bCs/>
          <w:color w:val="0D0D0D" w:themeColor="text1" w:themeTint="F2"/>
          <w:sz w:val="24"/>
          <w:szCs w:val="24"/>
          <w:highlight w:val="none"/>
          <w:lang w:eastAsia="zh-CN"/>
          <w14:textFill>
            <w14:solidFill>
              <w14:schemeClr w14:val="tx1">
                <w14:lumMod w14:val="95000"/>
                <w14:lumOff w14:val="5000"/>
              </w14:schemeClr>
            </w14:solidFill>
          </w14:textFill>
        </w:rPr>
        <w:t>)</w:t>
      </w:r>
    </w:p>
    <w:tbl>
      <w:tblPr>
        <w:tblStyle w:val="18"/>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667"/>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城镇等级</w:t>
            </w:r>
          </w:p>
        </w:tc>
        <w:tc>
          <w:tcPr>
            <w:tcW w:w="1667" w:type="dxa"/>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城镇</w:t>
            </w:r>
          </w:p>
        </w:tc>
        <w:tc>
          <w:tcPr>
            <w:tcW w:w="6061" w:type="dxa"/>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城镇性质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中心城市</w:t>
            </w: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中心城区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县域行政、文化中心，旅游、商贸中心，居住中心，产业基地。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restart"/>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片区</w:t>
            </w:r>
          </w:p>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中心镇</w:t>
            </w: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东坑镇区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景宁东南部的中心城镇，以山区农林资源加工、水电开发、加工工业为主，以旅游开发为辅的生态型城镇。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沙湾镇区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县域西部中心镇，主要职能为片区服务中心，以农林特产资源加工和贸易为主的生态型城镇。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九龙乡镇区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县域东北部旅游、服务中心，工业加工点，镇域行政中心，旅游服务和加工型生态镇。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restart"/>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一般镇</w:t>
            </w: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渤海镇区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景宁东北部的服务中心，以山区农林产品加工和库区产业为主的城镇。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p>
        </w:tc>
        <w:tc>
          <w:tcPr>
            <w:tcW w:w="1667" w:type="dxa"/>
            <w:vAlign w:val="center"/>
          </w:tcPr>
          <w:p>
            <w:pPr>
              <w:spacing w:line="240" w:lineRule="auto"/>
              <w:jc w:val="center"/>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英川镇区</w:t>
            </w:r>
          </w:p>
        </w:tc>
        <w:tc>
          <w:tcPr>
            <w:tcW w:w="6061" w:type="dxa"/>
          </w:tcPr>
          <w:p>
            <w:pPr>
              <w:spacing w:line="240" w:lineRule="auto"/>
              <w:rPr>
                <w:color w:val="0D0D0D" w:themeColor="text1" w:themeTint="F2"/>
                <w:sz w:val="24"/>
                <w:highlight w:val="none"/>
                <w14:textFill>
                  <w14:solidFill>
                    <w14:schemeClr w14:val="tx1">
                      <w14:lumMod w14:val="95000"/>
                      <w14:lumOff w14:val="5000"/>
                    </w14:schemeClr>
                  </w14:solidFill>
                </w14:textFill>
              </w:rPr>
            </w:pPr>
            <w:r>
              <w:rPr>
                <w:color w:val="0D0D0D" w:themeColor="text1" w:themeTint="F2"/>
                <w:sz w:val="24"/>
                <w:highlight w:val="none"/>
                <w14:textFill>
                  <w14:solidFill>
                    <w14:schemeClr w14:val="tx1">
                      <w14:lumMod w14:val="95000"/>
                      <w14:lumOff w14:val="5000"/>
                    </w14:schemeClr>
                  </w14:solidFill>
                </w14:textFill>
              </w:rPr>
              <w:t>景宁西北部的经济中心之一，以小水电、生态农业及其加工、生态旅游为特色的生态型城镇。</w:t>
            </w:r>
          </w:p>
        </w:tc>
      </w:tr>
    </w:tbl>
    <w:p>
      <w:pPr>
        <w:spacing w:before="95" w:beforeLines="25" w:line="360" w:lineRule="auto"/>
        <w:jc w:val="left"/>
        <w:rPr>
          <w:b/>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drawing>
          <wp:inline distT="0" distB="0" distL="0" distR="0">
            <wp:extent cx="4983480" cy="3101340"/>
            <wp:effectExtent l="152400" t="152400" r="369570" b="3657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6771" cy="3103373"/>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24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图3-</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4</w:t>
      </w:r>
      <w:r>
        <w:rPr>
          <w:b/>
          <w:color w:val="0D0D0D" w:themeColor="text1" w:themeTint="F2"/>
          <w:sz w:val="24"/>
          <w:szCs w:val="24"/>
          <w:highlight w:val="none"/>
          <w14:textFill>
            <w14:solidFill>
              <w14:schemeClr w14:val="tx1">
                <w14:lumMod w14:val="95000"/>
                <w14:lumOff w14:val="5000"/>
              </w14:schemeClr>
            </w14:solidFill>
          </w14:textFill>
        </w:rPr>
        <w:t xml:space="preserve"> 景宁畲族自治县县域空间结构规划图</w:t>
      </w:r>
    </w:p>
    <w:p>
      <w:pPr>
        <w:spacing w:before="190" w:beforeLines="50"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修编调整的过程中细致校对了县域总体规划中的适建区、已建区，如中心城区、各乡镇建成区、工业展区等具体范围，根据空气区划编制指南、区域发展定位和性质以及管控要求等，均不纳入一类区管控范围。另外，县域总体规划中的禁建区域本区划中划定的环境空气质量一类区相匹配，其用地规划中的耕地、园地、水域、公共绿地和防护绿地等集中分布设施，则基本划入本区划中的缓冲区和二类区的范围内。</w:t>
      </w:r>
    </w:p>
    <w:p>
      <w:pPr>
        <w:pStyle w:val="3"/>
        <w:spacing w:before="120" w:after="0"/>
        <w:rPr>
          <w:color w:val="0D0D0D" w:themeColor="text1" w:themeTint="F2"/>
          <w:sz w:val="28"/>
          <w:szCs w:val="28"/>
          <w:highlight w:val="none"/>
          <w14:textFill>
            <w14:solidFill>
              <w14:schemeClr w14:val="tx1">
                <w14:lumMod w14:val="95000"/>
                <w14:lumOff w14:val="5000"/>
              </w14:schemeClr>
            </w14:solidFill>
          </w14:textFill>
        </w:rPr>
      </w:pPr>
      <w:bookmarkStart w:id="54" w:name="_Toc7821"/>
      <w:r>
        <w:rPr>
          <w:color w:val="0D0D0D" w:themeColor="text1" w:themeTint="F2"/>
          <w:sz w:val="28"/>
          <w:szCs w:val="28"/>
          <w:highlight w:val="none"/>
          <w14:textFill>
            <w14:solidFill>
              <w14:schemeClr w14:val="tx1">
                <w14:lumMod w14:val="95000"/>
                <w14:lumOff w14:val="5000"/>
              </w14:schemeClr>
            </w14:solidFill>
          </w14:textFill>
        </w:rPr>
        <w:t xml:space="preserve">3.6 </w:t>
      </w:r>
      <w:r>
        <w:rPr>
          <w:rFonts w:hint="eastAsia"/>
          <w:color w:val="0D0D0D" w:themeColor="text1" w:themeTint="F2"/>
          <w:sz w:val="28"/>
          <w:szCs w:val="28"/>
          <w:highlight w:val="none"/>
          <w14:textFill>
            <w14:solidFill>
              <w14:schemeClr w14:val="tx1">
                <w14:lumMod w14:val="95000"/>
                <w14:lumOff w14:val="5000"/>
              </w14:schemeClr>
            </w14:solidFill>
          </w14:textFill>
        </w:rPr>
        <w:t>与《景宁畲族自治县土地利用总体规划》衔接情况</w:t>
      </w:r>
      <w:bookmarkEnd w:id="54"/>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土地利用规划对区域土地的使用功能进行了明确，应充分衔接土地利用规划成果，确保大气环境分区的准确性。</w:t>
      </w:r>
      <w:r>
        <w:rPr>
          <w:color w:val="0D0D0D" w:themeColor="text1" w:themeTint="F2"/>
          <w:szCs w:val="28"/>
          <w:highlight w:val="none"/>
          <w14:textFill>
            <w14:solidFill>
              <w14:schemeClr w14:val="tx1">
                <w14:lumMod w14:val="95000"/>
                <w14:lumOff w14:val="5000"/>
              </w14:schemeClr>
            </w14:solidFill>
          </w14:textFill>
        </w:rPr>
        <w:t>《景宁畲族自治县土地利用总体规划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2006-2020年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明确全县战略目标是构建以县城为中心，以东坑片区、滩坑片区、沙湾—英川片区为增长极的“一心三极”经济发展格式，建设全国畲族文化名城、生态休闲胜地、全国畲族文化发展基地，走在全国民族经济社会发展前列、生态文明建设先行区。全县土地划分为基本农田保护区、一般农地区、林业用地区、城镇建设用地区、村庄建设用地和风景旅游用地区等，并制定了相应的土地管制规则。</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全县划定基本农田保护区面积15948.24公顷，主要分布在九龙乡、东坑镇、英川镇、沙湾镇等乡镇。一般农地区面积6271.57公顷，主要分布在鹤溪镇、沙湾镇、东坑镇、澄照乡等乡镇。林业用地区面积140514.31公顷，主要分布在鹤溪镇、九龙乡、沙湾镇、东坑镇等乡镇。城镇建设用地区面积1659.51公顷，主要位于鹤溪镇、渤海镇、东坑镇、沙湾镇和东坑镇。县域村庄和集镇建设用地主要分布于鹤溪镇、渤海镇、东坑镇、沙湾镇、东坑镇和九龙乡等乡镇，面积为1036.54公顷。风景旅游用地区面积8334.13公顷，主要位于渤海镇、鹤溪镇、九龙乡等乡镇。</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本次环境空气质量功能区在重新划定一类区和二类区的过程中，充分考虑了与土地利用总体规划的衔接：1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区划划定的二类区均位于土地利用总体规划的允许建设区和有条件建设区内，可以保护和保证县域产业的有序发展；</w:t>
      </w: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土地利用总体规划划定的大部分生态用地已划入一类区，突出“中国畲乡第一城”小城市品牌建设。同时，本区划编制过程中，也充分衔接了土地利用总体规划制定的具体发展目标。</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sectPr>
          <w:pgSz w:w="11907" w:h="16840"/>
          <w:pgMar w:top="1440" w:right="1797" w:bottom="1440" w:left="1797" w:header="851" w:footer="992" w:gutter="0"/>
          <w:pgNumType w:fmt="decimal"/>
          <w:cols w:space="425" w:num="1"/>
          <w:docGrid w:type="lines" w:linePitch="381" w:charSpace="0"/>
        </w:sect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9" w:hRule="atLeast"/>
        </w:trPr>
        <w:tc>
          <w:tcPr>
            <w:tcW w:w="13950" w:type="dxa"/>
          </w:tcPr>
          <w:p>
            <w:pPr>
              <w:spacing w:line="24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6700520" cy="4849495"/>
                  <wp:effectExtent l="19050" t="19050" r="24130" b="273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extLst>
                              <a:ext uri="{28A0092B-C50C-407E-A947-70E740481C1C}">
                                <a14:useLocalDpi xmlns:a14="http://schemas.microsoft.com/office/drawing/2010/main" val="0"/>
                              </a:ext>
                            </a:extLst>
                          </a:blip>
                          <a:srcRect l="3688" t="7069" r="3504" b="4652"/>
                          <a:stretch>
                            <a:fillRect/>
                          </a:stretch>
                        </pic:blipFill>
                        <pic:spPr>
                          <a:xfrm>
                            <a:off x="0" y="0"/>
                            <a:ext cx="6765690" cy="4896573"/>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0" w:type="dxa"/>
          </w:tcPr>
          <w:p>
            <w:pPr>
              <w:spacing w:line="240" w:lineRule="auto"/>
              <w:jc w:val="center"/>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图3-</w:t>
            </w:r>
            <w:r>
              <w:rPr>
                <w:rFonts w:hint="eastAsia"/>
                <w:b/>
                <w:color w:val="0D0D0D" w:themeColor="text1" w:themeTint="F2"/>
                <w:sz w:val="24"/>
                <w:szCs w:val="24"/>
                <w:highlight w:val="none"/>
                <w:lang w:val="en-US" w:eastAsia="zh-CN"/>
                <w14:textFill>
                  <w14:solidFill>
                    <w14:schemeClr w14:val="tx1">
                      <w14:lumMod w14:val="95000"/>
                      <w14:lumOff w14:val="5000"/>
                    </w14:schemeClr>
                  </w14:solidFill>
                </w14:textFill>
              </w:rPr>
              <w:t>5</w:t>
            </w:r>
            <w:r>
              <w:rPr>
                <w:b/>
                <w:color w:val="0D0D0D" w:themeColor="text1" w:themeTint="F2"/>
                <w:sz w:val="24"/>
                <w:szCs w:val="24"/>
                <w:highlight w:val="none"/>
                <w14:textFill>
                  <w14:solidFill>
                    <w14:schemeClr w14:val="tx1">
                      <w14:lumMod w14:val="95000"/>
                      <w14:lumOff w14:val="5000"/>
                    </w14:schemeClr>
                  </w14:solidFill>
                </w14:textFill>
              </w:rPr>
              <w:t xml:space="preserve"> 景宁畲族自治县土地利用总体规划图</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r>
              <w:rPr>
                <w:b/>
                <w:color w:val="0D0D0D" w:themeColor="text1" w:themeTint="F2"/>
                <w:sz w:val="24"/>
                <w:szCs w:val="24"/>
                <w:highlight w:val="none"/>
                <w14:textFill>
                  <w14:solidFill>
                    <w14:schemeClr w14:val="tx1">
                      <w14:lumMod w14:val="95000"/>
                      <w14:lumOff w14:val="5000"/>
                    </w14:schemeClr>
                  </w14:solidFill>
                </w14:textFill>
              </w:rPr>
              <w:t>2006-2020年</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r>
              <w:rPr>
                <w:b/>
                <w:color w:val="0D0D0D" w:themeColor="text1" w:themeTint="F2"/>
                <w:sz w:val="24"/>
                <w:szCs w:val="24"/>
                <w:highlight w:val="none"/>
                <w14:textFill>
                  <w14:solidFill>
                    <w14:schemeClr w14:val="tx1">
                      <w14:lumMod w14:val="95000"/>
                      <w14:lumOff w14:val="5000"/>
                    </w14:schemeClr>
                  </w14:solidFill>
                </w14:textFill>
              </w:rPr>
              <w:t>2014年调整完善</w:t>
            </w:r>
            <w:r>
              <w:rPr>
                <w:rFonts w:hint="eastAsia"/>
                <w:b/>
                <w:color w:val="0D0D0D" w:themeColor="text1" w:themeTint="F2"/>
                <w:sz w:val="24"/>
                <w:szCs w:val="24"/>
                <w:highlight w:val="none"/>
                <w:lang w:eastAsia="zh-CN"/>
                <w14:textFill>
                  <w14:solidFill>
                    <w14:schemeClr w14:val="tx1">
                      <w14:lumMod w14:val="95000"/>
                      <w14:lumOff w14:val="5000"/>
                    </w14:schemeClr>
                  </w14:solidFill>
                </w14:textFill>
              </w:rPr>
              <w:t>)</w:t>
            </w:r>
          </w:p>
        </w:tc>
      </w:tr>
    </w:tbl>
    <w:p>
      <w:pPr>
        <w:spacing w:line="40" w:lineRule="exact"/>
        <w:rPr>
          <w:color w:val="0D0D0D" w:themeColor="text1" w:themeTint="F2"/>
          <w:szCs w:val="28"/>
          <w:highlight w:val="none"/>
          <w14:textFill>
            <w14:solidFill>
              <w14:schemeClr w14:val="tx1">
                <w14:lumMod w14:val="95000"/>
                <w14:lumOff w14:val="5000"/>
              </w14:schemeClr>
            </w14:solidFill>
          </w14:textFill>
        </w:rPr>
      </w:pPr>
    </w:p>
    <w:p>
      <w:pPr>
        <w:spacing w:line="360" w:lineRule="auto"/>
        <w:rPr>
          <w:color w:val="0D0D0D" w:themeColor="text1" w:themeTint="F2"/>
          <w:szCs w:val="28"/>
          <w:highlight w:val="none"/>
          <w14:textFill>
            <w14:solidFill>
              <w14:schemeClr w14:val="tx1">
                <w14:lumMod w14:val="95000"/>
                <w14:lumOff w14:val="5000"/>
              </w14:schemeClr>
            </w14:solidFill>
          </w14:textFill>
        </w:rPr>
        <w:sectPr>
          <w:pgSz w:w="16840" w:h="11907"/>
          <w:pgMar w:top="1800" w:right="1440" w:bottom="1800" w:left="1440" w:header="851" w:footer="992" w:gutter="0"/>
          <w:pgNumType w:fmt="decimal"/>
          <w:cols w:space="425" w:num="1"/>
          <w:docGrid w:linePitch="381" w:charSpace="0"/>
        </w:sectPr>
      </w:pPr>
    </w:p>
    <w:p>
      <w:pPr>
        <w:pStyle w:val="2"/>
        <w:spacing w:after="0"/>
        <w:rPr>
          <w:color w:val="0D0D0D" w:themeColor="text1" w:themeTint="F2"/>
          <w:sz w:val="32"/>
          <w:szCs w:val="32"/>
          <w:highlight w:val="none"/>
          <w14:textFill>
            <w14:solidFill>
              <w14:schemeClr w14:val="tx1">
                <w14:lumMod w14:val="95000"/>
                <w14:lumOff w14:val="5000"/>
              </w14:schemeClr>
            </w14:solidFill>
          </w14:textFill>
        </w:rPr>
      </w:pPr>
      <w:bookmarkStart w:id="55" w:name="_Toc9944"/>
      <w:r>
        <w:rPr>
          <w:color w:val="0D0D0D" w:themeColor="text1" w:themeTint="F2"/>
          <w:sz w:val="32"/>
          <w:szCs w:val="32"/>
          <w:highlight w:val="none"/>
          <w14:textFill>
            <w14:solidFill>
              <w14:schemeClr w14:val="tx1">
                <w14:lumMod w14:val="95000"/>
                <w14:lumOff w14:val="5000"/>
              </w14:schemeClr>
            </w14:solidFill>
          </w14:textFill>
        </w:rPr>
        <w:t xml:space="preserve">4 </w:t>
      </w:r>
      <w:bookmarkEnd w:id="51"/>
      <w:bookmarkEnd w:id="52"/>
      <w:r>
        <w:rPr>
          <w:rFonts w:hint="eastAsia"/>
          <w:color w:val="0D0D0D" w:themeColor="text1" w:themeTint="F2"/>
          <w:sz w:val="32"/>
          <w:szCs w:val="32"/>
          <w:highlight w:val="none"/>
          <w14:textFill>
            <w14:solidFill>
              <w14:schemeClr w14:val="tx1">
                <w14:lumMod w14:val="95000"/>
                <w14:lumOff w14:val="5000"/>
              </w14:schemeClr>
            </w14:solidFill>
          </w14:textFill>
        </w:rPr>
        <w:t>环境空气功能区调整方案</w:t>
      </w:r>
      <w:bookmarkEnd w:id="55"/>
    </w:p>
    <w:p>
      <w:pPr>
        <w:pStyle w:val="3"/>
        <w:spacing w:before="180" w:beforeLines="75" w:after="0"/>
        <w:rPr>
          <w:color w:val="0D0D0D" w:themeColor="text1" w:themeTint="F2"/>
          <w:sz w:val="28"/>
          <w:szCs w:val="28"/>
          <w:highlight w:val="none"/>
          <w14:textFill>
            <w14:solidFill>
              <w14:schemeClr w14:val="tx1">
                <w14:lumMod w14:val="95000"/>
                <w14:lumOff w14:val="5000"/>
              </w14:schemeClr>
            </w14:solidFill>
          </w14:textFill>
        </w:rPr>
      </w:pPr>
      <w:bookmarkStart w:id="56" w:name="_Toc8823"/>
      <w:bookmarkStart w:id="57" w:name="_Toc39133144"/>
      <w:bookmarkStart w:id="58" w:name="_Toc514167215"/>
      <w:r>
        <w:rPr>
          <w:color w:val="0D0D0D" w:themeColor="text1" w:themeTint="F2"/>
          <w:sz w:val="28"/>
          <w:szCs w:val="28"/>
          <w:highlight w:val="none"/>
          <w14:textFill>
            <w14:solidFill>
              <w14:schemeClr w14:val="tx1">
                <w14:lumMod w14:val="95000"/>
                <w14:lumOff w14:val="5000"/>
              </w14:schemeClr>
            </w14:solidFill>
          </w14:textFill>
        </w:rPr>
        <w:t xml:space="preserve">4.1 </w:t>
      </w:r>
      <w:r>
        <w:rPr>
          <w:rFonts w:hint="eastAsia"/>
          <w:color w:val="0D0D0D" w:themeColor="text1" w:themeTint="F2"/>
          <w:sz w:val="28"/>
          <w:szCs w:val="28"/>
          <w:highlight w:val="none"/>
          <w14:textFill>
            <w14:solidFill>
              <w14:schemeClr w14:val="tx1">
                <w14:lumMod w14:val="95000"/>
                <w14:lumOff w14:val="5000"/>
              </w14:schemeClr>
            </w14:solidFill>
          </w14:textFill>
        </w:rPr>
        <w:t>区划现状</w:t>
      </w:r>
      <w:bookmarkEnd w:id="56"/>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景宁畲族自治县现行环境空气质量功能区划为1997年12月发布实施，共划分2类4个区块，各区块范围及面积等基本情况详见表</w:t>
      </w:r>
      <w:r>
        <w:rPr>
          <w:rFonts w:hint="eastAsia"/>
          <w:color w:val="0D0D0D" w:themeColor="text1" w:themeTint="F2"/>
          <w:szCs w:val="28"/>
          <w:highlight w:val="none"/>
          <w14:textFill>
            <w14:solidFill>
              <w14:schemeClr w14:val="tx1">
                <w14:lumMod w14:val="95000"/>
                <w14:lumOff w14:val="5000"/>
              </w14:schemeClr>
            </w14:solidFill>
          </w14:textFill>
        </w:rPr>
        <w:t>4-1</w:t>
      </w:r>
      <w:r>
        <w:rPr>
          <w:color w:val="0D0D0D" w:themeColor="text1" w:themeTint="F2"/>
          <w:szCs w:val="28"/>
          <w:highlight w:val="none"/>
          <w14:textFill>
            <w14:solidFill>
              <w14:schemeClr w14:val="tx1">
                <w14:lumMod w14:val="95000"/>
                <w14:lumOff w14:val="5000"/>
              </w14:schemeClr>
            </w14:solidFill>
          </w14:textFill>
        </w:rPr>
        <w:t>及图</w:t>
      </w:r>
      <w:r>
        <w:rPr>
          <w:rFonts w:hint="eastAsia"/>
          <w:color w:val="0D0D0D" w:themeColor="text1" w:themeTint="F2"/>
          <w:szCs w:val="28"/>
          <w:highlight w:val="none"/>
          <w14:textFill>
            <w14:solidFill>
              <w14:schemeClr w14:val="tx1">
                <w14:lumMod w14:val="95000"/>
                <w14:lumOff w14:val="5000"/>
              </w14:schemeClr>
            </w14:solidFill>
          </w14:textFill>
        </w:rPr>
        <w:t>4-1</w:t>
      </w:r>
      <w:r>
        <w:rPr>
          <w:color w:val="0D0D0D" w:themeColor="text1" w:themeTint="F2"/>
          <w:szCs w:val="28"/>
          <w:highlight w:val="none"/>
          <w14:textFill>
            <w14:solidFill>
              <w14:schemeClr w14:val="tx1">
                <w14:lumMod w14:val="95000"/>
                <w14:lumOff w14:val="5000"/>
              </w14:schemeClr>
            </w14:solidFill>
          </w14:textFill>
        </w:rPr>
        <w:t>所示。</w:t>
      </w:r>
    </w:p>
    <w:p>
      <w:pPr>
        <w:spacing w:after="60" w:afterLines="25" w:line="36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表</w:t>
      </w:r>
      <w:r>
        <w:rPr>
          <w:rFonts w:hint="eastAsia"/>
          <w:b/>
          <w:bCs/>
          <w:color w:val="0D0D0D" w:themeColor="text1" w:themeTint="F2"/>
          <w:sz w:val="24"/>
          <w:szCs w:val="24"/>
          <w:highlight w:val="none"/>
          <w14:textFill>
            <w14:solidFill>
              <w14:schemeClr w14:val="tx1">
                <w14:lumMod w14:val="95000"/>
                <w14:lumOff w14:val="5000"/>
              </w14:schemeClr>
            </w14:solidFill>
          </w14:textFill>
        </w:rPr>
        <w:t>4</w:t>
      </w:r>
      <w:r>
        <w:rPr>
          <w:b/>
          <w:bCs/>
          <w:color w:val="0D0D0D" w:themeColor="text1" w:themeTint="F2"/>
          <w:sz w:val="24"/>
          <w:szCs w:val="24"/>
          <w:highlight w:val="none"/>
          <w14:textFill>
            <w14:solidFill>
              <w14:schemeClr w14:val="tx1">
                <w14:lumMod w14:val="95000"/>
                <w14:lumOff w14:val="5000"/>
              </w14:schemeClr>
            </w14:solidFill>
          </w14:textFill>
        </w:rPr>
        <w:t>-1 现行景宁县环境空气质量功能区划情况</w:t>
      </w:r>
    </w:p>
    <w:tbl>
      <w:tblPr>
        <w:tblStyle w:val="19"/>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5"/>
        <w:gridCol w:w="1133"/>
        <w:gridCol w:w="99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1276" w:type="dxa"/>
            <w:vAlign w:val="center"/>
          </w:tcPr>
          <w:p>
            <w:pPr>
              <w:spacing w:line="240" w:lineRule="auto"/>
              <w:jc w:val="center"/>
              <w:rPr>
                <w:rFonts w:hint="eastAsia" w:eastAsia="仿宋_GB2312"/>
                <w:color w:val="0D0D0D" w:themeColor="text1" w:themeTint="F2"/>
                <w:kern w:val="0"/>
                <w:sz w:val="24"/>
                <w:szCs w:val="24"/>
                <w:highlight w:val="none"/>
                <w:lang w:eastAsia="zh-CN"/>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县</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r>
              <w:rPr>
                <w:color w:val="0D0D0D" w:themeColor="text1" w:themeTint="F2"/>
                <w:kern w:val="0"/>
                <w:sz w:val="24"/>
                <w:szCs w:val="24"/>
                <w:highlight w:val="none"/>
                <w14:textFill>
                  <w14:solidFill>
                    <w14:schemeClr w14:val="tx1">
                      <w14:lumMod w14:val="95000"/>
                      <w14:lumOff w14:val="5000"/>
                    </w14:schemeClr>
                  </w14:solidFill>
                </w14:textFill>
              </w:rPr>
              <w:t>市、区</w:t>
            </w:r>
            <w:r>
              <w:rPr>
                <w:rFonts w:hint="eastAsia"/>
                <w:color w:val="0D0D0D" w:themeColor="text1" w:themeTint="F2"/>
                <w:kern w:val="0"/>
                <w:sz w:val="24"/>
                <w:szCs w:val="24"/>
                <w:highlight w:val="none"/>
                <w:lang w:eastAsia="zh-CN"/>
                <w14:textFill>
                  <w14:solidFill>
                    <w14:schemeClr w14:val="tx1">
                      <w14:lumMod w14:val="95000"/>
                      <w14:lumOff w14:val="5000"/>
                    </w14:schemeClr>
                  </w14:solidFill>
                </w14:textFill>
              </w:rPr>
              <w:t>)</w:t>
            </w:r>
          </w:p>
        </w:tc>
        <w:tc>
          <w:tcPr>
            <w:tcW w:w="1135"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功能区类别</w:t>
            </w:r>
          </w:p>
        </w:tc>
        <w:tc>
          <w:tcPr>
            <w:tcW w:w="1133"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图上</w:t>
            </w:r>
          </w:p>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编号</w:t>
            </w:r>
          </w:p>
        </w:tc>
        <w:tc>
          <w:tcPr>
            <w:tcW w:w="992"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面积km</w:t>
            </w:r>
            <w:r>
              <w:rPr>
                <w:color w:val="0D0D0D" w:themeColor="text1" w:themeTint="F2"/>
                <w:kern w:val="0"/>
                <w:sz w:val="24"/>
                <w:szCs w:val="24"/>
                <w:highlight w:val="none"/>
                <w:vertAlign w:val="superscript"/>
                <w14:textFill>
                  <w14:solidFill>
                    <w14:schemeClr w14:val="tx1">
                      <w14:lumMod w14:val="95000"/>
                      <w14:lumOff w14:val="5000"/>
                    </w14:schemeClr>
                  </w14:solidFill>
                </w14:textFill>
              </w:rPr>
              <w:t>2</w:t>
            </w:r>
          </w:p>
        </w:tc>
        <w:tc>
          <w:tcPr>
            <w:tcW w:w="3544"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功能区划范围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76" w:type="dxa"/>
            <w:vMerge w:val="restart"/>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景宁县</w:t>
            </w:r>
          </w:p>
        </w:tc>
        <w:tc>
          <w:tcPr>
            <w:tcW w:w="1135" w:type="dxa"/>
            <w:vMerge w:val="restart"/>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二类区</w:t>
            </w:r>
          </w:p>
        </w:tc>
        <w:tc>
          <w:tcPr>
            <w:tcW w:w="1133"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Ⅱ-8</w:t>
            </w:r>
          </w:p>
        </w:tc>
        <w:tc>
          <w:tcPr>
            <w:tcW w:w="992"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193.2</w:t>
            </w:r>
          </w:p>
        </w:tc>
        <w:tc>
          <w:tcPr>
            <w:tcW w:w="3544" w:type="dxa"/>
            <w:vAlign w:val="center"/>
          </w:tcPr>
          <w:p>
            <w:pPr>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鹤溪镇、外舍乡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76"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135"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133"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Ⅱ-9</w:t>
            </w:r>
          </w:p>
        </w:tc>
        <w:tc>
          <w:tcPr>
            <w:tcW w:w="992"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50.0</w:t>
            </w:r>
          </w:p>
        </w:tc>
        <w:tc>
          <w:tcPr>
            <w:tcW w:w="3544" w:type="dxa"/>
            <w:vAlign w:val="center"/>
          </w:tcPr>
          <w:p>
            <w:pPr>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沙湾镇附近七里等村约占全镇面积的一半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76" w:type="dxa"/>
            <w:vMerge w:val="continue"/>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p>
        </w:tc>
        <w:tc>
          <w:tcPr>
            <w:tcW w:w="1135"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一类区</w:t>
            </w:r>
          </w:p>
        </w:tc>
        <w:tc>
          <w:tcPr>
            <w:tcW w:w="1133"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Ⅰ-13</w:t>
            </w:r>
          </w:p>
        </w:tc>
        <w:tc>
          <w:tcPr>
            <w:tcW w:w="992" w:type="dxa"/>
            <w:vAlign w:val="center"/>
          </w:tcPr>
          <w:p>
            <w:pPr>
              <w:spacing w:line="240" w:lineRule="auto"/>
              <w:jc w:val="center"/>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1706.8</w:t>
            </w:r>
          </w:p>
        </w:tc>
        <w:tc>
          <w:tcPr>
            <w:tcW w:w="3544" w:type="dxa"/>
            <w:vAlign w:val="center"/>
          </w:tcPr>
          <w:p>
            <w:pPr>
              <w:spacing w:line="240" w:lineRule="auto"/>
              <w:rPr>
                <w:color w:val="0D0D0D" w:themeColor="text1" w:themeTint="F2"/>
                <w:kern w:val="0"/>
                <w:sz w:val="24"/>
                <w:szCs w:val="24"/>
                <w:highlight w:val="none"/>
                <w14:textFill>
                  <w14:solidFill>
                    <w14:schemeClr w14:val="tx1">
                      <w14:lumMod w14:val="95000"/>
                      <w14:lumOff w14:val="5000"/>
                    </w14:schemeClr>
                  </w14:solidFill>
                </w14:textFill>
              </w:rPr>
            </w:pPr>
            <w:r>
              <w:rPr>
                <w:color w:val="0D0D0D" w:themeColor="text1" w:themeTint="F2"/>
                <w:kern w:val="0"/>
                <w:sz w:val="24"/>
                <w:szCs w:val="24"/>
                <w:highlight w:val="none"/>
                <w14:textFill>
                  <w14:solidFill>
                    <w14:schemeClr w14:val="tx1">
                      <w14:lumMod w14:val="95000"/>
                      <w14:lumOff w14:val="5000"/>
                    </w14:schemeClr>
                  </w14:solidFill>
                </w14:textFill>
              </w:rPr>
              <w:t>除二类功能区外县境范围内</w:t>
            </w:r>
          </w:p>
        </w:tc>
      </w:tr>
    </w:tbl>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4918075" cy="3477895"/>
            <wp:effectExtent l="152400" t="152400" r="358775" b="37020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31496" cy="3487624"/>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图</w:t>
      </w:r>
      <w:r>
        <w:rPr>
          <w:rFonts w:hint="eastAsia"/>
          <w:b/>
          <w:bCs/>
          <w:color w:val="0D0D0D" w:themeColor="text1" w:themeTint="F2"/>
          <w:sz w:val="24"/>
          <w:szCs w:val="24"/>
          <w:highlight w:val="none"/>
          <w14:textFill>
            <w14:solidFill>
              <w14:schemeClr w14:val="tx1">
                <w14:lumMod w14:val="95000"/>
                <w14:lumOff w14:val="5000"/>
              </w14:schemeClr>
            </w14:solidFill>
          </w14:textFill>
        </w:rPr>
        <w:t>4</w:t>
      </w:r>
      <w:r>
        <w:rPr>
          <w:b/>
          <w:bCs/>
          <w:color w:val="0D0D0D" w:themeColor="text1" w:themeTint="F2"/>
          <w:sz w:val="24"/>
          <w:szCs w:val="24"/>
          <w:highlight w:val="none"/>
          <w14:textFill>
            <w14:solidFill>
              <w14:schemeClr w14:val="tx1">
                <w14:lumMod w14:val="95000"/>
                <w14:lumOff w14:val="5000"/>
              </w14:schemeClr>
            </w14:solidFill>
          </w14:textFill>
        </w:rPr>
        <w:t>-1 景宁县现行环境空气质量功能区划图</w:t>
      </w:r>
    </w:p>
    <w:p>
      <w:pPr>
        <w:pStyle w:val="3"/>
        <w:spacing w:beforeLines="25"/>
        <w:rPr>
          <w:color w:val="0D0D0D" w:themeColor="text1" w:themeTint="F2"/>
          <w:sz w:val="28"/>
          <w:szCs w:val="28"/>
          <w:highlight w:val="none"/>
          <w14:textFill>
            <w14:solidFill>
              <w14:schemeClr w14:val="tx1">
                <w14:lumMod w14:val="95000"/>
                <w14:lumOff w14:val="5000"/>
              </w14:schemeClr>
            </w14:solidFill>
          </w14:textFill>
        </w:rPr>
      </w:pPr>
      <w:bookmarkStart w:id="59" w:name="_Toc7816"/>
      <w:r>
        <w:rPr>
          <w:color w:val="0D0D0D" w:themeColor="text1" w:themeTint="F2"/>
          <w:sz w:val="28"/>
          <w:szCs w:val="28"/>
          <w:highlight w:val="none"/>
          <w14:textFill>
            <w14:solidFill>
              <w14:schemeClr w14:val="tx1">
                <w14:lumMod w14:val="95000"/>
                <w14:lumOff w14:val="5000"/>
              </w14:schemeClr>
            </w14:solidFill>
          </w14:textFill>
        </w:rPr>
        <w:t xml:space="preserve">4.2 </w:t>
      </w:r>
      <w:r>
        <w:rPr>
          <w:rFonts w:hint="eastAsia"/>
          <w:color w:val="0D0D0D" w:themeColor="text1" w:themeTint="F2"/>
          <w:sz w:val="28"/>
          <w:szCs w:val="28"/>
          <w:highlight w:val="none"/>
          <w14:textFill>
            <w14:solidFill>
              <w14:schemeClr w14:val="tx1">
                <w14:lumMod w14:val="95000"/>
                <w14:lumOff w14:val="5000"/>
              </w14:schemeClr>
            </w14:solidFill>
          </w14:textFill>
        </w:rPr>
        <w:t>调整必要性</w:t>
      </w:r>
      <w:bookmarkEnd w:id="59"/>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1、原区划一类区划分面积过大，不符合技术规范要求</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按照《环境空气质量功能区划分原则与技术方方法》</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HJ-1996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和《环境空气质量标准》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w:t>
      </w:r>
      <w:r>
        <w:rPr>
          <w:color w:val="0D0D0D" w:themeColor="text1" w:themeTint="F2"/>
          <w:szCs w:val="28"/>
          <w:highlight w:val="none"/>
          <w14:textFill>
            <w14:solidFill>
              <w14:schemeClr w14:val="tx1">
                <w14:lumMod w14:val="95000"/>
                <w14:lumOff w14:val="5000"/>
              </w14:schemeClr>
            </w14:solidFill>
          </w14:textFill>
        </w:rPr>
        <w:t>B 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规定，一类环境空气质量功能区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一类区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指自然保护区、风景名胜区和其他需要特殊保护的地区</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指因国家政治、军事和为国家交往服务需要，对环境空气质量有严格要求的区域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，二类区指城镇规划中确定的居住区、商业交通居民混合区、文化区、工业区和农村地区。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原区划中一类区比例占到景宁县土地总面积的8</w:t>
      </w:r>
      <w:r>
        <w:rPr>
          <w:color w:val="0D0D0D" w:themeColor="text1" w:themeTint="F2"/>
          <w:szCs w:val="28"/>
          <w:highlight w:val="none"/>
          <w14:textFill>
            <w14:solidFill>
              <w14:schemeClr w14:val="tx1">
                <w14:lumMod w14:val="95000"/>
                <w14:lumOff w14:val="5000"/>
              </w14:schemeClr>
            </w14:solidFill>
          </w14:textFill>
        </w:rPr>
        <w:t>7.53</w:t>
      </w:r>
      <w:r>
        <w:rPr>
          <w:rFonts w:hint="eastAsia"/>
          <w:color w:val="0D0D0D" w:themeColor="text1" w:themeTint="F2"/>
          <w:szCs w:val="28"/>
          <w:highlight w:val="none"/>
          <w14:textFill>
            <w14:solidFill>
              <w14:schemeClr w14:val="tx1">
                <w14:lumMod w14:val="95000"/>
                <w14:lumOff w14:val="5000"/>
              </w14:schemeClr>
            </w14:solidFill>
          </w14:textFill>
        </w:rPr>
        <w:t>%，二类区仅为1</w:t>
      </w:r>
      <w:r>
        <w:rPr>
          <w:color w:val="0D0D0D" w:themeColor="text1" w:themeTint="F2"/>
          <w:szCs w:val="28"/>
          <w:highlight w:val="none"/>
          <w14:textFill>
            <w14:solidFill>
              <w14:schemeClr w14:val="tx1">
                <w14:lumMod w14:val="95000"/>
                <w14:lumOff w14:val="5000"/>
              </w14:schemeClr>
            </w14:solidFill>
          </w14:textFill>
        </w:rPr>
        <w:t>2.47</w:t>
      </w:r>
      <w:r>
        <w:rPr>
          <w:rFonts w:hint="eastAsia"/>
          <w:color w:val="0D0D0D" w:themeColor="text1" w:themeTint="F2"/>
          <w:szCs w:val="28"/>
          <w:highlight w:val="none"/>
          <w14:textFill>
            <w14:solidFill>
              <w14:schemeClr w14:val="tx1">
                <w14:lumMod w14:val="95000"/>
                <w14:lumOff w14:val="5000"/>
              </w14:schemeClr>
            </w14:solidFill>
          </w14:textFill>
        </w:rPr>
        <w:t>%。实际上，景宁县全县自然保护地面积不超过1</w:t>
      </w:r>
      <w:r>
        <w:rPr>
          <w:color w:val="0D0D0D" w:themeColor="text1" w:themeTint="F2"/>
          <w:szCs w:val="28"/>
          <w:highlight w:val="none"/>
          <w14:textFill>
            <w14:solidFill>
              <w14:schemeClr w14:val="tx1">
                <w14:lumMod w14:val="95000"/>
                <w14:lumOff w14:val="5000"/>
              </w14:schemeClr>
            </w14:solidFill>
          </w14:textFill>
        </w:rPr>
        <w:t>0</w:t>
      </w:r>
      <w:r>
        <w:rPr>
          <w:rFonts w:hint="eastAsia"/>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省级及以上自然保护区面积比例8</w:t>
      </w:r>
      <w:r>
        <w:rPr>
          <w:color w:val="0D0D0D" w:themeColor="text1" w:themeTint="F2"/>
          <w:szCs w:val="28"/>
          <w:highlight w:val="none"/>
          <w14:textFill>
            <w14:solidFill>
              <w14:schemeClr w14:val="tx1">
                <w14:lumMod w14:val="95000"/>
                <w14:lumOff w14:val="5000"/>
              </w14:schemeClr>
            </w14:solidFill>
          </w14:textFill>
        </w:rPr>
        <w:t>.93</w:t>
      </w:r>
      <w:r>
        <w:rPr>
          <w:rFonts w:hint="eastAsia"/>
          <w:color w:val="0D0D0D" w:themeColor="text1" w:themeTint="F2"/>
          <w:szCs w:val="28"/>
          <w:highlight w:val="none"/>
          <w14:textFill>
            <w14:solidFill>
              <w14:schemeClr w14:val="tx1">
                <w14:lumMod w14:val="95000"/>
                <w14:lumOff w14:val="5000"/>
              </w14:schemeClr>
            </w14:solidFill>
          </w14:textFill>
        </w:rPr>
        <w:t>%</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，远远低于原区划中一类区占比8</w:t>
      </w:r>
      <w:r>
        <w:rPr>
          <w:color w:val="0D0D0D" w:themeColor="text1" w:themeTint="F2"/>
          <w:szCs w:val="28"/>
          <w:highlight w:val="none"/>
          <w14:textFill>
            <w14:solidFill>
              <w14:schemeClr w14:val="tx1">
                <w14:lumMod w14:val="95000"/>
                <w14:lumOff w14:val="5000"/>
              </w14:schemeClr>
            </w14:solidFill>
          </w14:textFill>
        </w:rPr>
        <w:t>7.53</w:t>
      </w:r>
      <w:r>
        <w:rPr>
          <w:rFonts w:hint="eastAsia"/>
          <w:color w:val="0D0D0D" w:themeColor="text1" w:themeTint="F2"/>
          <w:szCs w:val="28"/>
          <w:highlight w:val="none"/>
          <w14:textFill>
            <w14:solidFill>
              <w14:schemeClr w14:val="tx1">
                <w14:lumMod w14:val="95000"/>
                <w14:lumOff w14:val="5000"/>
              </w14:schemeClr>
            </w14:solidFill>
          </w14:textFill>
        </w:rPr>
        <w:t>%的比例。原区划二类区中大量的城镇规划中的居住区、文化区、工业区等均未纳入。综上，原区划一二类区划分面积不合理，不符合技术规范要求。</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2、新增部分保护区和生态保护红线未列入一类区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2013年7月，浙江省人民政府文件批准建立景宁畲族自治县大仰湖湿地群省级自然保护区；1995年草鱼塘被浙江省林业局批准为省级森林公园，但1999年才完成公园整体规划，2002年被批准为国家AA级旅游区；2009年县人民政府印发龙潭桥水库饮用水源保护区的管理办法；2018年11月，景宁县人民政府开展金村水库及供水重点民生工程建设；此外，景宁县生态保护红线另划定了小溪</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毛</w:t>
      </w:r>
      <w:r>
        <w:rPr>
          <w:rFonts w:hint="eastAsia" w:ascii="仿宋" w:hAnsi="仿宋" w:eastAsia="仿宋" w:cs="微软雅黑"/>
          <w:color w:val="0D0D0D" w:themeColor="text1" w:themeTint="F2"/>
          <w:szCs w:val="28"/>
          <w:highlight w:val="none"/>
          <w14:textFill>
            <w14:solidFill>
              <w14:schemeClr w14:val="tx1">
                <w14:lumMod w14:val="95000"/>
                <w14:lumOff w14:val="5000"/>
              </w14:schemeClr>
            </w14:solidFill>
          </w14:textFill>
        </w:rPr>
        <w:t>垟</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港</w:t>
      </w:r>
      <w:r>
        <w:rPr>
          <w:rFonts w:hint="eastAsia" w:ascii="仿宋_GB2312" w:hAnsi="仿宋_GB2312" w:cs="仿宋_GB2312"/>
          <w:color w:val="0D0D0D" w:themeColor="text1" w:themeTint="F2"/>
          <w:szCs w:val="28"/>
          <w:highlight w:val="none"/>
          <w:lang w:eastAsia="zh-CN"/>
          <w14:textFill>
            <w14:solidFill>
              <w14:schemeClr w14:val="tx1">
                <w14:lumMod w14:val="95000"/>
                <w14:lumOff w14:val="5000"/>
              </w14:schemeClr>
            </w14:solidFill>
          </w14:textFill>
        </w:rPr>
        <w:t>)</w:t>
      </w:r>
      <w:r>
        <w:rPr>
          <w:rFonts w:hint="eastAsia" w:ascii="仿宋_GB2312" w:hAnsi="仿宋_GB2312" w:cs="仿宋_GB2312"/>
          <w:color w:val="0D0D0D" w:themeColor="text1" w:themeTint="F2"/>
          <w:szCs w:val="28"/>
          <w:highlight w:val="none"/>
          <w14:textFill>
            <w14:solidFill>
              <w14:schemeClr w14:val="tx1">
                <w14:lumMod w14:val="95000"/>
                <w14:lumOff w14:val="5000"/>
              </w14:schemeClr>
            </w14:solidFill>
          </w14:textFill>
        </w:rPr>
        <w:t>森林生态系统保护红线区、鹤溪森林生态系统保护红线区以及东北部森林生态系统生物多样性维护生态红</w:t>
      </w:r>
      <w:r>
        <w:rPr>
          <w:rFonts w:hint="eastAsia"/>
          <w:color w:val="0D0D0D" w:themeColor="text1" w:themeTint="F2"/>
          <w:szCs w:val="28"/>
          <w:highlight w:val="none"/>
          <w14:textFill>
            <w14:solidFill>
              <w14:schemeClr w14:val="tx1">
                <w14:lumMod w14:val="95000"/>
                <w14:lumOff w14:val="5000"/>
              </w14:schemeClr>
            </w14:solidFill>
          </w14:textFill>
        </w:rPr>
        <w:t>线区。按照相关编制规范和法律法规都应当划分为环境空气一类功能区。</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3、原有区划缓冲带范围、执行等级未明确</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1997年编制的环境空气质量功能区划，对于缓冲带要求：“</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各类功能区之间设置一定宽度的缓冲带，缓冲带的宽度根据区划面积、污染源分布、大气扩散能力确定，一般情况下一类区与三类区之间的缓冲带宽度不小于500米，其他类别功能区之间的缓冲带宽度不小于300米。缓冲带内的环境空气质量应向要求高的功能区靠。</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位于缓冲带内的污染源，应根据其对环境空气质量要求高的功能区影响情况，确定污染源执行排放标准的级别”。现区划中未明确缓冲带具体范围、执行等级，不利于开展大气环境管理工作。</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4、环境质量标准调整后，一类区管理及准入要求严苛的前提下，原区划现行管理难度大</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2012年2月，国家对《环境空气质量标准》进行了调整，GB3095-2012代替GB3095-1996，环境空气功能区分类由原来的三类调整为二类，并根据我国大气环境管理实际要求，增设了PM</w:t>
      </w:r>
      <w:r>
        <w:rPr>
          <w:color w:val="0D0D0D" w:themeColor="text1" w:themeTint="F2"/>
          <w:szCs w:val="28"/>
          <w:highlight w:val="none"/>
          <w:vertAlign w:val="subscript"/>
          <w14:textFill>
            <w14:solidFill>
              <w14:schemeClr w14:val="tx1">
                <w14:lumMod w14:val="95000"/>
                <w14:lumOff w14:val="5000"/>
              </w14:schemeClr>
            </w14:solidFill>
          </w14:textFill>
        </w:rPr>
        <w:t>2.5</w:t>
      </w:r>
      <w:r>
        <w:rPr>
          <w:color w:val="0D0D0D" w:themeColor="text1" w:themeTint="F2"/>
          <w:szCs w:val="28"/>
          <w:highlight w:val="none"/>
          <w14:textFill>
            <w14:solidFill>
              <w14:schemeClr w14:val="tx1">
                <w14:lumMod w14:val="95000"/>
                <w14:lumOff w14:val="5000"/>
              </w14:schemeClr>
            </w14:solidFill>
          </w14:textFill>
        </w:rPr>
        <w:t>浓度限值要求，减小了PM</w:t>
      </w:r>
      <w:r>
        <w:rPr>
          <w:color w:val="0D0D0D" w:themeColor="text1" w:themeTint="F2"/>
          <w:szCs w:val="28"/>
          <w:highlight w:val="none"/>
          <w:vertAlign w:val="subscript"/>
          <w14:textFill>
            <w14:solidFill>
              <w14:schemeClr w14:val="tx1">
                <w14:lumMod w14:val="95000"/>
                <w14:lumOff w14:val="5000"/>
              </w14:schemeClr>
            </w14:solidFill>
          </w14:textFill>
        </w:rPr>
        <w:t>10</w:t>
      </w:r>
      <w:r>
        <w:rPr>
          <w:color w:val="0D0D0D" w:themeColor="text1" w:themeTint="F2"/>
          <w:szCs w:val="28"/>
          <w:highlight w:val="none"/>
          <w14:textFill>
            <w14:solidFill>
              <w14:schemeClr w14:val="tx1">
                <w14:lumMod w14:val="95000"/>
                <w14:lumOff w14:val="5000"/>
              </w14:schemeClr>
            </w14:solidFill>
          </w14:textFill>
        </w:rPr>
        <w:t>、二氧化氮、铅和苯并芘等污染物的浓度限值。</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《大气污染物综合排放标准》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GB16297-1996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明确规定：一类区禁止新、扩建污染源，一类区现有污染源改建时执行现有污染源的一级标准。《锅炉大气污染物综合排放标准》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GB13271-2014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明确规定：一类区禁止新建以重油、渣油为燃料的锅炉。按照现行的大气环境质量管控要求，原区划国土面积的近9</w:t>
      </w:r>
      <w:r>
        <w:rPr>
          <w:color w:val="0D0D0D" w:themeColor="text1" w:themeTint="F2"/>
          <w:szCs w:val="28"/>
          <w:highlight w:val="none"/>
          <w14:textFill>
            <w14:solidFill>
              <w14:schemeClr w14:val="tx1">
                <w14:lumMod w14:val="95000"/>
                <w14:lumOff w14:val="5000"/>
              </w14:schemeClr>
            </w14:solidFill>
          </w14:textFill>
        </w:rPr>
        <w:t>0</w:t>
      </w:r>
      <w:r>
        <w:rPr>
          <w:rFonts w:hint="eastAsia"/>
          <w:color w:val="0D0D0D" w:themeColor="text1" w:themeTint="F2"/>
          <w:szCs w:val="28"/>
          <w:highlight w:val="none"/>
          <w14:textFill>
            <w14:solidFill>
              <w14:schemeClr w14:val="tx1">
                <w14:lumMod w14:val="95000"/>
                <w14:lumOff w14:val="5000"/>
              </w14:schemeClr>
            </w14:solidFill>
          </w14:textFill>
        </w:rPr>
        <w:t>%需执行以上空气质量一级标准，管理难度非常大。</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rFonts w:hint="eastAsia"/>
          <w:b/>
          <w:bCs/>
          <w:color w:val="0D0D0D" w:themeColor="text1" w:themeTint="F2"/>
          <w:szCs w:val="28"/>
          <w:highlight w:val="none"/>
          <w14:textFill>
            <w14:solidFill>
              <w14:schemeClr w14:val="tx1">
                <w14:lumMod w14:val="95000"/>
                <w14:lumOff w14:val="5000"/>
              </w14:schemeClr>
            </w14:solidFill>
          </w14:textFill>
        </w:rPr>
        <w:t>5、原区划与各类城市发展等规划存在明显冲突</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现景宁县环境空气功能区划为1997年编制，其中二类区为包括两部分，一是鹤溪镇和外舍乡，二是沙湾镇附近七里等村，总面积为243.2km</w:t>
      </w:r>
      <w:r>
        <w:rPr>
          <w:color w:val="0D0D0D" w:themeColor="text1" w:themeTint="F2"/>
          <w:szCs w:val="28"/>
          <w:highlight w:val="none"/>
          <w:vertAlign w:val="super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，一类区则为除却二类区的绝大部分乡镇、街道，行政区划范围上涵盖红星街道、英川、渤海、东坑镇及景南、澄照、毛</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垟</w:t>
      </w:r>
      <w:r>
        <w:rPr>
          <w:color w:val="0D0D0D" w:themeColor="text1" w:themeTint="F2"/>
          <w:szCs w:val="28"/>
          <w:highlight w:val="none"/>
          <w14:textFill>
            <w14:solidFill>
              <w14:schemeClr w14:val="tx1">
                <w14:lumMod w14:val="95000"/>
                <w14:lumOff w14:val="5000"/>
              </w14:schemeClr>
            </w14:solidFill>
          </w14:textFill>
        </w:rPr>
        <w:t>、秋炉、大地、梅岐、郑坑、大均、梧桐、大</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、标溪、家地、鸬鹚、雁溪、九龙乡，总面积为1706.8km</w:t>
      </w:r>
      <w:r>
        <w:rPr>
          <w:color w:val="0D0D0D" w:themeColor="text1" w:themeTint="F2"/>
          <w:szCs w:val="28"/>
          <w:highlight w:val="none"/>
          <w:vertAlign w:val="superscript"/>
          <w14:textFill>
            <w14:solidFill>
              <w14:schemeClr w14:val="tx1">
                <w14:lumMod w14:val="95000"/>
                <w14:lumOff w14:val="5000"/>
              </w14:schemeClr>
            </w14:solidFill>
          </w14:textFill>
        </w:rPr>
        <w:t>2.</w:t>
      </w:r>
      <w:r>
        <w:rPr>
          <w:color w:val="0D0D0D" w:themeColor="text1" w:themeTint="F2"/>
          <w:szCs w:val="28"/>
          <w:highlight w:val="none"/>
          <w14:textFill>
            <w14:solidFill>
              <w14:schemeClr w14:val="tx1">
                <w14:lumMod w14:val="95000"/>
                <w14:lumOff w14:val="5000"/>
              </w14:schemeClr>
            </w14:solidFill>
          </w14:textFill>
        </w:rPr>
        <w:t>。现一类区中除自然保护区、风景名胜区和其他需要特殊保护的区域外，划入较多农村地区。随着经济的发展和城镇化的快速推进，部分环境空气质量功能区已与社会发展不符，2014年11月景宁畲族自治县人民政府对《景宁畲族自治县土地利用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2006-2020年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进行了修编，2010年5月浙江省人民政府批准《景宁畲族自治县县域总体规划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2007-2020年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》，原划定为环境空气质量一类区现已规划调整为居住区、商业区或一类工业用地等。</w:t>
      </w:r>
    </w:p>
    <w:bookmarkEnd w:id="57"/>
    <w:bookmarkEnd w:id="58"/>
    <w:p>
      <w:pPr>
        <w:pStyle w:val="3"/>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60" w:name="_Toc514167218"/>
      <w:bookmarkStart w:id="61" w:name="_Toc39133147"/>
      <w:bookmarkStart w:id="62" w:name="_Toc6200"/>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4</w:t>
      </w:r>
      <w:r>
        <w:rPr>
          <w:rFonts w:eastAsia="仿宋_GB2312"/>
          <w:color w:val="0D0D0D" w:themeColor="text1" w:themeTint="F2"/>
          <w:sz w:val="28"/>
          <w:szCs w:val="28"/>
          <w:highlight w:val="none"/>
          <w14:textFill>
            <w14:solidFill>
              <w14:schemeClr w14:val="tx1">
                <w14:lumMod w14:val="95000"/>
                <w14:lumOff w14:val="5000"/>
              </w14:schemeClr>
            </w14:solidFill>
          </w14:textFill>
        </w:rPr>
        <w:t>.</w:t>
      </w:r>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3</w:t>
      </w:r>
      <w:r>
        <w:rPr>
          <w:rFonts w:eastAsia="仿宋_GB2312"/>
          <w:color w:val="0D0D0D" w:themeColor="text1" w:themeTint="F2"/>
          <w:sz w:val="28"/>
          <w:szCs w:val="28"/>
          <w:highlight w:val="none"/>
          <w14:textFill>
            <w14:solidFill>
              <w14:schemeClr w14:val="tx1">
                <w14:lumMod w14:val="95000"/>
                <w14:lumOff w14:val="5000"/>
              </w14:schemeClr>
            </w14:solidFill>
          </w14:textFill>
        </w:rPr>
        <w:t xml:space="preserve"> 区划方法及技术路线</w:t>
      </w:r>
      <w:bookmarkEnd w:id="60"/>
      <w:bookmarkEnd w:id="61"/>
      <w:bookmarkEnd w:id="62"/>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1</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功能区划方法</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环境空气质量功能区的划分在区域环境功能区的基础上，根据环境空气质量功能区划分的原则及地理、气象、政治、经济和大气污染源现状分布等因素的综合分析结果，按环境空气质量标准的要求将区域环境空气划分为不同的功能区域。</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分析区域或城市发展规划，确定环境空气质量功能区划分的范围并准备工作底图。</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根据调查和监测数据，以及环境空气质量功能区类别的定义、划分原则等进行综合分析，确定每一单元的功能类别。</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把区域类型相同的单元连成片，并绘制在底图上。</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根据环境空气管理和城市总体规划的要求，依据被保护对象对环境空气质量要求，兼顾自然条件和社会经济发展，将已建成区与规划中的开发区等所划分区域最终的区域功能类型进行反复审核，最后确定该区域的环境空气功能区划分的方案。</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技术路线</w:t>
      </w:r>
    </w:p>
    <w:p>
      <w:pPr>
        <w:spacing w:after="240"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景宁畲族自治县环境空气质量功能区划技术如图</w:t>
      </w:r>
      <w:r>
        <w:rPr>
          <w:rFonts w:hint="eastAsia"/>
          <w:color w:val="0D0D0D" w:themeColor="text1" w:themeTint="F2"/>
          <w:szCs w:val="28"/>
          <w:highlight w:val="none"/>
          <w14:textFill>
            <w14:solidFill>
              <w14:schemeClr w14:val="tx1">
                <w14:lumMod w14:val="95000"/>
                <w14:lumOff w14:val="5000"/>
              </w14:schemeClr>
            </w14:solidFill>
          </w14:textFill>
        </w:rPr>
        <w:t>4</w:t>
      </w:r>
      <w:r>
        <w:rPr>
          <w:color w:val="0D0D0D" w:themeColor="text1" w:themeTint="F2"/>
          <w:szCs w:val="28"/>
          <w:highlight w:val="none"/>
          <w14:textFill>
            <w14:solidFill>
              <w14:schemeClr w14:val="tx1">
                <w14:lumMod w14:val="95000"/>
                <w14:lumOff w14:val="5000"/>
              </w14:schemeClr>
            </w14:solidFill>
          </w14:textFill>
        </w:rPr>
        <w:t>-2所示。</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object>
          <v:shape id="_x0000_i1025" o:spt="75" type="#_x0000_t75" style="height:471.3pt;width:386.85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r:id="rId26">
            <o:LockedField>false</o:LockedField>
          </o:OLEObject>
        </w:object>
      </w:r>
    </w:p>
    <w:p>
      <w:pPr>
        <w:spacing w:before="240" w:line="360" w:lineRule="auto"/>
        <w:jc w:val="center"/>
        <w:rPr>
          <w:b/>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图</w:t>
      </w:r>
      <w:r>
        <w:rPr>
          <w:rFonts w:hint="eastAsia"/>
          <w:b/>
          <w:color w:val="0D0D0D" w:themeColor="text1" w:themeTint="F2"/>
          <w:sz w:val="24"/>
          <w:szCs w:val="24"/>
          <w:highlight w:val="none"/>
          <w14:textFill>
            <w14:solidFill>
              <w14:schemeClr w14:val="tx1">
                <w14:lumMod w14:val="95000"/>
                <w14:lumOff w14:val="5000"/>
              </w14:schemeClr>
            </w14:solidFill>
          </w14:textFill>
        </w:rPr>
        <w:t>4</w:t>
      </w:r>
      <w:r>
        <w:rPr>
          <w:b/>
          <w:color w:val="0D0D0D" w:themeColor="text1" w:themeTint="F2"/>
          <w:sz w:val="24"/>
          <w:szCs w:val="24"/>
          <w:highlight w:val="none"/>
          <w14:textFill>
            <w14:solidFill>
              <w14:schemeClr w14:val="tx1">
                <w14:lumMod w14:val="95000"/>
                <w14:lumOff w14:val="5000"/>
              </w14:schemeClr>
            </w14:solidFill>
          </w14:textFill>
        </w:rPr>
        <w:t>-2 区划技术路线图</w:t>
      </w:r>
    </w:p>
    <w:p>
      <w:pPr>
        <w:pStyle w:val="3"/>
        <w:spacing w:before="240"/>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63" w:name="_Toc39133148"/>
      <w:bookmarkStart w:id="64" w:name="_Toc514167219"/>
      <w:bookmarkStart w:id="65" w:name="_Toc29040"/>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4.4</w:t>
      </w:r>
      <w:bookmarkEnd w:id="63"/>
      <w:bookmarkEnd w:id="64"/>
      <w:r>
        <w:rPr>
          <w:rFonts w:eastAsia="仿宋_GB2312"/>
          <w:color w:val="0D0D0D" w:themeColor="text1" w:themeTint="F2"/>
          <w:sz w:val="28"/>
          <w:szCs w:val="28"/>
          <w:highlight w:val="none"/>
          <w14:textFill>
            <w14:solidFill>
              <w14:schemeClr w14:val="tx1">
                <w14:lumMod w14:val="95000"/>
                <w14:lumOff w14:val="5000"/>
              </w14:schemeClr>
            </w14:solidFill>
          </w14:textFill>
        </w:rPr>
        <w:t xml:space="preserve"> 功能区</w:t>
      </w:r>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调整成果</w:t>
      </w:r>
      <w:bookmarkEnd w:id="65"/>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根据前文分析结果以及环境保护要求，将景宁畲族自治县环境空气质量功能区划分为两类，两类中间设置缓冲带。调整结果详见表4-2，具体位置分布详见图4-3。其中一类功能区共包9个片区，占地面积为730.73平方公里，二类功能区占地面积约为842.17平方公里，缓冲带占地面积约为366.08平方公里。</w:t>
      </w:r>
    </w:p>
    <w:p>
      <w:pPr>
        <w:spacing w:line="360" w:lineRule="auto"/>
        <w:jc w:val="center"/>
        <w:rPr>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表4-2</w:t>
      </w:r>
      <w:r>
        <w:rPr>
          <w:rFonts w:hint="eastAsia"/>
          <w:b/>
          <w:color w:val="0D0D0D" w:themeColor="text1" w:themeTint="F2"/>
          <w:sz w:val="24"/>
          <w:szCs w:val="24"/>
          <w:highlight w:val="none"/>
          <w14:textFill>
            <w14:solidFill>
              <w14:schemeClr w14:val="tx1">
                <w14:lumMod w14:val="95000"/>
                <w14:lumOff w14:val="5000"/>
              </w14:schemeClr>
            </w14:solidFill>
          </w14:textFill>
        </w:rPr>
        <w:t>a</w:t>
      </w:r>
      <w:r>
        <w:rPr>
          <w:b/>
          <w:color w:val="0D0D0D" w:themeColor="text1" w:themeTint="F2"/>
          <w:sz w:val="24"/>
          <w:szCs w:val="24"/>
          <w:highlight w:val="none"/>
          <w14:textFill>
            <w14:solidFill>
              <w14:schemeClr w14:val="tx1">
                <w14:lumMod w14:val="95000"/>
                <w14:lumOff w14:val="5000"/>
              </w14:schemeClr>
            </w14:solidFill>
          </w14:textFill>
        </w:rPr>
        <w:t xml:space="preserve"> 景宁畲族自治县环境空气质量功能区划情况</w:t>
      </w:r>
    </w:p>
    <w:tbl>
      <w:tblPr>
        <w:tblStyle w:val="19"/>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680"/>
        <w:gridCol w:w="1113"/>
        <w:gridCol w:w="4478"/>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92"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功能区类别</w:t>
            </w: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图上编号</w:t>
            </w:r>
          </w:p>
        </w:tc>
        <w:tc>
          <w:tcPr>
            <w:tcW w:w="668" w:type="pct"/>
            <w:vAlign w:val="center"/>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面积</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km</w:t>
            </w:r>
            <w:r>
              <w:rPr>
                <w:color w:val="0D0D0D" w:themeColor="text1" w:themeTint="F2"/>
                <w:sz w:val="24"/>
                <w:szCs w:val="24"/>
                <w:highlight w:val="none"/>
                <w:vertAlign w:val="superscript"/>
                <w14:textFill>
                  <w14:solidFill>
                    <w14:schemeClr w14:val="tx1">
                      <w14:lumMod w14:val="95000"/>
                      <w14:lumOff w14:val="5000"/>
                    </w14:schemeClr>
                  </w14:solidFill>
                </w14:textFill>
              </w:rPr>
              <w:t>2</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c>
          <w:tcPr>
            <w:tcW w:w="268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功能区划范围</w:t>
            </w:r>
          </w:p>
        </w:tc>
        <w:tc>
          <w:tcPr>
            <w:tcW w:w="744"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92" w:type="pct"/>
            <w:vMerge w:val="restar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一类区</w:t>
            </w: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Ⅰ-1</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70.79</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东北部森林片区——九龙乡除西北角区域</w:t>
            </w:r>
          </w:p>
        </w:tc>
        <w:tc>
          <w:tcPr>
            <w:tcW w:w="744" w:type="pct"/>
            <w:vMerge w:val="restar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Ⅰ-2</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6</w:t>
            </w:r>
            <w:r>
              <w:rPr>
                <w:color w:val="0D0D0D" w:themeColor="text1" w:themeTint="F2"/>
                <w:sz w:val="24"/>
                <w:szCs w:val="24"/>
                <w:highlight w:val="none"/>
                <w14:textFill>
                  <w14:solidFill>
                    <w14:schemeClr w14:val="tx1">
                      <w14:lumMod w14:val="95000"/>
                      <w14:lumOff w14:val="5000"/>
                    </w14:schemeClr>
                  </w14:solidFill>
                </w14:textFill>
              </w:rPr>
              <w:t>6.64</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九龙片区——九龙省级地质公园</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Ⅰ-3</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61.43</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鹤溪—梅岐片区——包括鹤溪森林生态系统保护区、金村和龙潭桥水库饮用水源保护区、草鱼塘森林公园以及大仰湖湿地群保护区，与相对应的生态保护红线范围一致。</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Ⅰ-4</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1.45</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大均片区——与大均森林生态系统生态红线保护区范围一致</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Ⅰ-5</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6.75</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漈</w:t>
            </w:r>
            <w:r>
              <w:rPr>
                <w:color w:val="0D0D0D" w:themeColor="text1" w:themeTint="F2"/>
                <w:sz w:val="24"/>
                <w:szCs w:val="24"/>
                <w:highlight w:val="none"/>
                <w14:textFill>
                  <w14:solidFill>
                    <w14:schemeClr w14:val="tx1">
                      <w14:lumMod w14:val="95000"/>
                      <w14:lumOff w14:val="5000"/>
                    </w14:schemeClr>
                  </w14:solidFill>
                </w14:textFill>
              </w:rPr>
              <w:t>片区——云中大</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漈</w:t>
            </w:r>
            <w:r>
              <w:rPr>
                <w:color w:val="0D0D0D" w:themeColor="text1" w:themeTint="F2"/>
                <w:sz w:val="24"/>
                <w:szCs w:val="24"/>
                <w:highlight w:val="none"/>
                <w14:textFill>
                  <w14:solidFill>
                    <w14:schemeClr w14:val="tx1">
                      <w14:lumMod w14:val="95000"/>
                      <w14:lumOff w14:val="5000"/>
                    </w14:schemeClr>
                  </w14:solidFill>
                </w14:textFill>
              </w:rPr>
              <w:t>省级风景名胜区水土保持区域</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Ⅰ-6</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4.09</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景南—东坑片区——包括飞云江源头水源保护区和望东</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垟</w:t>
            </w:r>
            <w:r>
              <w:rPr>
                <w:color w:val="0D0D0D" w:themeColor="text1" w:themeTint="F2"/>
                <w:sz w:val="24"/>
                <w:szCs w:val="24"/>
                <w:highlight w:val="none"/>
                <w14:textFill>
                  <w14:solidFill>
                    <w14:schemeClr w14:val="tx1">
                      <w14:lumMod w14:val="95000"/>
                      <w14:lumOff w14:val="5000"/>
                    </w14:schemeClr>
                  </w14:solidFill>
                </w14:textFill>
              </w:rPr>
              <w:t>高山湿地保护区核心区块</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Ⅰ-7</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6</w:t>
            </w:r>
            <w:r>
              <w:rPr>
                <w:color w:val="0D0D0D" w:themeColor="text1" w:themeTint="F2"/>
                <w:sz w:val="24"/>
                <w:szCs w:val="24"/>
                <w:highlight w:val="none"/>
                <w14:textFill>
                  <w14:solidFill>
                    <w14:schemeClr w14:val="tx1">
                      <w14:lumMod w14:val="95000"/>
                      <w14:lumOff w14:val="5000"/>
                    </w14:schemeClr>
                  </w14:solidFill>
                </w14:textFill>
              </w:rPr>
              <w:t>2.27</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大地—家地片区——与仰天湖湿地自然保护小区生态保护红线区域一致</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I-8</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4.58</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毛</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垟</w:t>
            </w:r>
            <w:r>
              <w:rPr>
                <w:color w:val="0D0D0D" w:themeColor="text1" w:themeTint="F2"/>
                <w:sz w:val="24"/>
                <w:szCs w:val="24"/>
                <w:highlight w:val="none"/>
                <w14:textFill>
                  <w14:solidFill>
                    <w14:schemeClr w14:val="tx1">
                      <w14:lumMod w14:val="95000"/>
                      <w14:lumOff w14:val="5000"/>
                    </w14:schemeClr>
                  </w14:solidFill>
                </w14:textFill>
              </w:rPr>
              <w:t>—秋炉—沙湾片区——与</w:t>
            </w:r>
            <w:r>
              <w:rPr>
                <w:color w:val="0D0D0D" w:themeColor="text1" w:themeTint="F2"/>
                <w:spacing w:val="-11"/>
                <w:sz w:val="24"/>
                <w:szCs w:val="24"/>
                <w:highlight w:val="none"/>
                <w14:textFill>
                  <w14:solidFill>
                    <w14:schemeClr w14:val="tx1">
                      <w14:lumMod w14:val="95000"/>
                      <w14:lumOff w14:val="5000"/>
                    </w14:schemeClr>
                  </w14:solidFill>
                </w14:textFill>
              </w:rPr>
              <w:t>景宁小溪</w:t>
            </w:r>
            <w:r>
              <w:rPr>
                <w:rFonts w:hint="eastAsia"/>
                <w:color w:val="0D0D0D" w:themeColor="text1" w:themeTint="F2"/>
                <w:spacing w:val="-11"/>
                <w:sz w:val="24"/>
                <w:szCs w:val="24"/>
                <w:highlight w:val="none"/>
                <w:lang w:eastAsia="zh-CN"/>
                <w14:textFill>
                  <w14:solidFill>
                    <w14:schemeClr w14:val="tx1">
                      <w14:lumMod w14:val="95000"/>
                      <w14:lumOff w14:val="5000"/>
                    </w14:schemeClr>
                  </w14:solidFill>
                </w14:textFill>
              </w:rPr>
              <w:t>(</w:t>
            </w:r>
            <w:r>
              <w:rPr>
                <w:color w:val="0D0D0D" w:themeColor="text1" w:themeTint="F2"/>
                <w:spacing w:val="-11"/>
                <w:sz w:val="24"/>
                <w:szCs w:val="24"/>
                <w:highlight w:val="none"/>
                <w14:textFill>
                  <w14:solidFill>
                    <w14:schemeClr w14:val="tx1">
                      <w14:lumMod w14:val="95000"/>
                      <w14:lumOff w14:val="5000"/>
                    </w14:schemeClr>
                  </w14:solidFill>
                </w14:textFill>
              </w:rPr>
              <w:t>毛</w:t>
            </w:r>
            <w:r>
              <w:rPr>
                <w:rFonts w:ascii="仿宋" w:hAnsi="仿宋" w:eastAsia="仿宋"/>
                <w:color w:val="0D0D0D" w:themeColor="text1" w:themeTint="F2"/>
                <w:spacing w:val="-11"/>
                <w:sz w:val="24"/>
                <w:szCs w:val="24"/>
                <w:highlight w:val="none"/>
                <w14:textFill>
                  <w14:solidFill>
                    <w14:schemeClr w14:val="tx1">
                      <w14:lumMod w14:val="95000"/>
                      <w14:lumOff w14:val="5000"/>
                    </w14:schemeClr>
                  </w14:solidFill>
                </w14:textFill>
              </w:rPr>
              <w:t>垟</w:t>
            </w:r>
            <w:r>
              <w:rPr>
                <w:color w:val="0D0D0D" w:themeColor="text1" w:themeTint="F2"/>
                <w:spacing w:val="-11"/>
                <w:sz w:val="24"/>
                <w:szCs w:val="24"/>
                <w:highlight w:val="none"/>
                <w14:textFill>
                  <w14:solidFill>
                    <w14:schemeClr w14:val="tx1">
                      <w14:lumMod w14:val="95000"/>
                      <w14:lumOff w14:val="5000"/>
                    </w14:schemeClr>
                  </w14:solidFill>
                </w14:textFill>
              </w:rPr>
              <w:t>港</w:t>
            </w:r>
            <w:r>
              <w:rPr>
                <w:rFonts w:hint="eastAsia"/>
                <w:color w:val="0D0D0D" w:themeColor="text1" w:themeTint="F2"/>
                <w:spacing w:val="-11"/>
                <w:sz w:val="24"/>
                <w:szCs w:val="24"/>
                <w:highlight w:val="none"/>
                <w:lang w:eastAsia="zh-CN"/>
                <w14:textFill>
                  <w14:solidFill>
                    <w14:schemeClr w14:val="tx1">
                      <w14:lumMod w14:val="95000"/>
                      <w14:lumOff w14:val="5000"/>
                    </w14:schemeClr>
                  </w14:solidFill>
                </w14:textFill>
              </w:rPr>
              <w:t>)</w:t>
            </w:r>
            <w:r>
              <w:rPr>
                <w:color w:val="0D0D0D" w:themeColor="text1" w:themeTint="F2"/>
                <w:spacing w:val="-11"/>
                <w:sz w:val="24"/>
                <w:szCs w:val="24"/>
                <w:highlight w:val="none"/>
                <w14:textFill>
                  <w14:solidFill>
                    <w14:schemeClr w14:val="tx1">
                      <w14:lumMod w14:val="95000"/>
                      <w14:lumOff w14:val="5000"/>
                    </w14:schemeClr>
                  </w14:solidFill>
                </w14:textFill>
              </w:rPr>
              <w:t>森林生态系统生态保护红线区域一致</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I-9</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102.73</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英川—鸬</w:t>
            </w:r>
            <w:r>
              <w:rPr>
                <w:rFonts w:ascii="仿宋" w:hAnsi="仿宋" w:eastAsia="仿宋"/>
                <w:color w:val="0D0D0D" w:themeColor="text1" w:themeTint="F2"/>
                <w:sz w:val="24"/>
                <w:szCs w:val="24"/>
                <w:highlight w:val="none"/>
                <w14:textFill>
                  <w14:solidFill>
                    <w14:schemeClr w14:val="tx1">
                      <w14:lumMod w14:val="95000"/>
                      <w14:lumOff w14:val="5000"/>
                    </w14:schemeClr>
                  </w14:solidFill>
                </w14:textFill>
              </w:rPr>
              <w:t>鹚</w:t>
            </w:r>
            <w:r>
              <w:rPr>
                <w:color w:val="0D0D0D" w:themeColor="text1" w:themeTint="F2"/>
                <w:sz w:val="24"/>
                <w:szCs w:val="24"/>
                <w:highlight w:val="none"/>
                <w14:textFill>
                  <w14:solidFill>
                    <w14:schemeClr w14:val="tx1">
                      <w14:lumMod w14:val="95000"/>
                      <w14:lumOff w14:val="5000"/>
                    </w14:schemeClr>
                  </w14:solidFill>
                </w14:textFill>
              </w:rPr>
              <w:t>片区——与小溪</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英川溪</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水源涵养生态保护红线和英川森林生态系统生态保护红线区域一致</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小计</w:t>
            </w:r>
          </w:p>
        </w:tc>
        <w:tc>
          <w:tcPr>
            <w:tcW w:w="3356" w:type="pct"/>
            <w:gridSpan w:val="2"/>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744" w:type="pct"/>
            <w:vMerge w:val="continue"/>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二类区</w:t>
            </w:r>
          </w:p>
        </w:tc>
        <w:tc>
          <w:tcPr>
            <w:tcW w:w="40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Ⅱ-1</w:t>
            </w:r>
          </w:p>
        </w:tc>
        <w:tc>
          <w:tcPr>
            <w:tcW w:w="668"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2688" w:type="pct"/>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除一类区</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含缓冲带</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color w:val="0D0D0D" w:themeColor="text1" w:themeTint="F2"/>
                <w:sz w:val="24"/>
                <w:szCs w:val="24"/>
                <w:highlight w:val="none"/>
                <w14:textFill>
                  <w14:solidFill>
                    <w14:schemeClr w14:val="tx1">
                      <w14:lumMod w14:val="95000"/>
                      <w14:lumOff w14:val="5000"/>
                    </w14:schemeClr>
                  </w14:solidFill>
                </w14:textFill>
              </w:rPr>
              <w:t>以外的其他区域</w:t>
            </w:r>
          </w:p>
        </w:tc>
        <w:tc>
          <w:tcPr>
            <w:tcW w:w="744"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2"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缓冲带</w:t>
            </w:r>
          </w:p>
        </w:tc>
        <w:tc>
          <w:tcPr>
            <w:tcW w:w="3764" w:type="pct"/>
            <w:gridSpan w:val="3"/>
            <w:vAlign w:val="center"/>
          </w:tcPr>
          <w:p>
            <w:pPr>
              <w:spacing w:line="240" w:lineRule="auto"/>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一类区、二类区之间设置缓冲带宽度为300米</w:t>
            </w:r>
          </w:p>
        </w:tc>
        <w:tc>
          <w:tcPr>
            <w:tcW w:w="744" w:type="pc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bl>
    <w:p>
      <w:pPr>
        <w:spacing w:line="360" w:lineRule="auto"/>
        <w:rPr>
          <w:b/>
          <w:bCs/>
          <w:color w:val="0D0D0D" w:themeColor="text1" w:themeTint="F2"/>
          <w:szCs w:val="28"/>
          <w:highlight w:val="none"/>
          <w14:textFill>
            <w14:solidFill>
              <w14:schemeClr w14:val="tx1">
                <w14:lumMod w14:val="95000"/>
                <w14:lumOff w14:val="5000"/>
              </w14:schemeClr>
            </w14:solidFill>
          </w14:textFill>
        </w:rPr>
      </w:pPr>
    </w:p>
    <w:p>
      <w:pPr>
        <w:spacing w:line="360" w:lineRule="auto"/>
        <w:jc w:val="center"/>
        <w:rPr>
          <w:color w:val="0D0D0D" w:themeColor="text1" w:themeTint="F2"/>
          <w:sz w:val="24"/>
          <w:szCs w:val="24"/>
          <w:highlight w:val="none"/>
          <w14:textFill>
            <w14:solidFill>
              <w14:schemeClr w14:val="tx1">
                <w14:lumMod w14:val="95000"/>
                <w14:lumOff w14:val="5000"/>
              </w14:schemeClr>
            </w14:solidFill>
          </w14:textFill>
        </w:rPr>
      </w:pPr>
      <w:r>
        <w:rPr>
          <w:b/>
          <w:color w:val="0D0D0D" w:themeColor="text1" w:themeTint="F2"/>
          <w:sz w:val="24"/>
          <w:szCs w:val="24"/>
          <w:highlight w:val="none"/>
          <w14:textFill>
            <w14:solidFill>
              <w14:schemeClr w14:val="tx1">
                <w14:lumMod w14:val="95000"/>
                <w14:lumOff w14:val="5000"/>
              </w14:schemeClr>
            </w14:solidFill>
          </w14:textFill>
        </w:rPr>
        <w:t>表4-2</w:t>
      </w:r>
      <w:r>
        <w:rPr>
          <w:rFonts w:hint="eastAsia"/>
          <w:b/>
          <w:color w:val="0D0D0D" w:themeColor="text1" w:themeTint="F2"/>
          <w:sz w:val="24"/>
          <w:szCs w:val="24"/>
          <w:highlight w:val="none"/>
          <w14:textFill>
            <w14:solidFill>
              <w14:schemeClr w14:val="tx1">
                <w14:lumMod w14:val="95000"/>
                <w14:lumOff w14:val="5000"/>
              </w14:schemeClr>
            </w14:solidFill>
          </w14:textFill>
        </w:rPr>
        <w:t>b</w:t>
      </w:r>
      <w:r>
        <w:rPr>
          <w:b/>
          <w:color w:val="0D0D0D" w:themeColor="text1" w:themeTint="F2"/>
          <w:sz w:val="24"/>
          <w:szCs w:val="24"/>
          <w:highlight w:val="none"/>
          <w14:textFill>
            <w14:solidFill>
              <w14:schemeClr w14:val="tx1">
                <w14:lumMod w14:val="95000"/>
                <w14:lumOff w14:val="5000"/>
              </w14:schemeClr>
            </w14:solidFill>
          </w14:textFill>
        </w:rPr>
        <w:t xml:space="preserve"> 景宁畲族自治县环境空气质量功能区划</w:t>
      </w:r>
      <w:r>
        <w:rPr>
          <w:rFonts w:hint="eastAsia"/>
          <w:b/>
          <w:color w:val="0D0D0D" w:themeColor="text1" w:themeTint="F2"/>
          <w:sz w:val="24"/>
          <w:szCs w:val="24"/>
          <w:highlight w:val="none"/>
          <w14:textFill>
            <w14:solidFill>
              <w14:schemeClr w14:val="tx1">
                <w14:lumMod w14:val="95000"/>
                <w14:lumOff w14:val="5000"/>
              </w14:schemeClr>
            </w14:solidFill>
          </w14:textFill>
        </w:rPr>
        <w:t>情况统计表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269"/>
        <w:gridCol w:w="1528"/>
        <w:gridCol w:w="1937"/>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restar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功能区类别</w:t>
            </w:r>
          </w:p>
        </w:tc>
        <w:tc>
          <w:tcPr>
            <w:tcW w:w="6656" w:type="dxa"/>
            <w:gridSpan w:val="4"/>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现区划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vMerge w:val="continue"/>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12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片区数量</w:t>
            </w:r>
          </w:p>
        </w:tc>
        <w:tc>
          <w:tcPr>
            <w:tcW w:w="15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面积km</w:t>
            </w:r>
            <w:r>
              <w:rPr>
                <w:color w:val="0D0D0D" w:themeColor="text1" w:themeTint="F2"/>
                <w:sz w:val="24"/>
                <w:szCs w:val="24"/>
                <w:highlight w:val="none"/>
                <w:vertAlign w:val="superscript"/>
                <w14:textFill>
                  <w14:solidFill>
                    <w14:schemeClr w14:val="tx1">
                      <w14:lumMod w14:val="95000"/>
                      <w14:lumOff w14:val="5000"/>
                    </w14:schemeClr>
                  </w14:solidFill>
                </w14:textFill>
              </w:rPr>
              <w:t>2</w:t>
            </w:r>
          </w:p>
        </w:tc>
        <w:tc>
          <w:tcPr>
            <w:tcW w:w="1937" w:type="dxa"/>
            <w:vAlign w:val="center"/>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占土地面积比例</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sz w:val="24"/>
                <w:szCs w:val="24"/>
                <w:highlight w:val="none"/>
                <w14:textFill>
                  <w14:solidFill>
                    <w14:schemeClr w14:val="tx1">
                      <w14:lumMod w14:val="95000"/>
                      <w14:lumOff w14:val="5000"/>
                    </w14:schemeClr>
                  </w14:solidFill>
                </w14:textFill>
              </w:rPr>
              <w:t>%</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c>
          <w:tcPr>
            <w:tcW w:w="192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一类区</w:t>
            </w:r>
          </w:p>
        </w:tc>
        <w:tc>
          <w:tcPr>
            <w:tcW w:w="12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w:t>
            </w:r>
          </w:p>
        </w:tc>
        <w:tc>
          <w:tcPr>
            <w:tcW w:w="15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1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7.69</w:t>
            </w:r>
          </w:p>
        </w:tc>
        <w:tc>
          <w:tcPr>
            <w:tcW w:w="192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二类区</w:t>
            </w:r>
          </w:p>
        </w:tc>
        <w:tc>
          <w:tcPr>
            <w:tcW w:w="12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15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1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3.43</w:t>
            </w:r>
          </w:p>
        </w:tc>
        <w:tc>
          <w:tcPr>
            <w:tcW w:w="192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缓冲区</w:t>
            </w:r>
          </w:p>
        </w:tc>
        <w:tc>
          <w:tcPr>
            <w:tcW w:w="126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1528"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66.08</w:t>
            </w:r>
          </w:p>
        </w:tc>
        <w:tc>
          <w:tcPr>
            <w:tcW w:w="1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8.88</w:t>
            </w:r>
          </w:p>
        </w:tc>
        <w:tc>
          <w:tcPr>
            <w:tcW w:w="192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bl>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sectPr>
          <w:pgSz w:w="11907" w:h="16840"/>
          <w:pgMar w:top="1440" w:right="1800" w:bottom="1440" w:left="1800" w:header="851" w:footer="992" w:gutter="0"/>
          <w:pgNumType w:fmt="decimal"/>
          <w:cols w:space="425" w:num="1"/>
          <w:docGrid w:linePitch="312" w:charSpace="0"/>
        </w:sectPr>
      </w:pPr>
    </w:p>
    <w:p>
      <w:pPr>
        <w:spacing w:line="240" w:lineRule="auto"/>
        <w:jc w:val="center"/>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drawing>
          <wp:inline distT="0" distB="0" distL="0" distR="0">
            <wp:extent cx="7018020" cy="4965065"/>
            <wp:effectExtent l="0" t="0" r="508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28036" cy="4972480"/>
                    </a:xfrm>
                    <a:prstGeom prst="rect">
                      <a:avLst/>
                    </a:prstGeom>
                  </pic:spPr>
                </pic:pic>
              </a:graphicData>
            </a:graphic>
          </wp:inline>
        </w:drawing>
      </w:r>
    </w:p>
    <w:p>
      <w:pPr>
        <w:spacing w:line="240" w:lineRule="auto"/>
        <w:jc w:val="center"/>
        <w:rPr>
          <w:rFonts w:hint="eastAsia" w:eastAsia="仿宋_GB2312"/>
          <w:b/>
          <w:bCs/>
          <w:color w:val="0D0D0D" w:themeColor="text1" w:themeTint="F2"/>
          <w:szCs w:val="28"/>
          <w:highlight w:val="none"/>
          <w:lang w:eastAsia="zh-CN"/>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图4-3  景宁畲族自治县环境空气质量功能区划图</w:t>
      </w:r>
      <w:r>
        <w:rPr>
          <w:rFonts w:hint="eastAsia"/>
          <w:b/>
          <w:bCs/>
          <w:color w:val="0D0D0D" w:themeColor="text1" w:themeTint="F2"/>
          <w:szCs w:val="28"/>
          <w:highlight w:val="none"/>
          <w:lang w:eastAsia="zh-CN"/>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修编后</w:t>
      </w:r>
      <w:r>
        <w:rPr>
          <w:rFonts w:hint="eastAsia"/>
          <w:b/>
          <w:bCs/>
          <w:color w:val="0D0D0D" w:themeColor="text1" w:themeTint="F2"/>
          <w:szCs w:val="28"/>
          <w:highlight w:val="none"/>
          <w:lang w:eastAsia="zh-CN"/>
          <w14:textFill>
            <w14:solidFill>
              <w14:schemeClr w14:val="tx1">
                <w14:lumMod w14:val="95000"/>
                <w14:lumOff w14:val="5000"/>
              </w14:schemeClr>
            </w14:solidFill>
          </w14:textFill>
        </w:rPr>
        <w:t>)</w:t>
      </w: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sectPr>
          <w:pgSz w:w="16840" w:h="11907" w:orient="landscape"/>
          <w:pgMar w:top="1800" w:right="1440" w:bottom="1800" w:left="1440" w:header="851" w:footer="992" w:gutter="0"/>
          <w:pgNumType w:fmt="decimal"/>
          <w:cols w:space="425" w:num="1"/>
          <w:docGrid w:linePitch="381" w:charSpace="0"/>
        </w:sectPr>
      </w:pPr>
    </w:p>
    <w:p>
      <w:pPr>
        <w:spacing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1</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由一类功能区调整为二类功能区部分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景宁畲族自治县各乡镇开发利用现状及规划实际情况如下：</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土地开发利用方面</w:t>
      </w:r>
      <w:r>
        <w:rPr>
          <w:color w:val="0D0D0D" w:themeColor="text1" w:themeTint="F2"/>
          <w:szCs w:val="28"/>
          <w:highlight w:val="none"/>
          <w14:textFill>
            <w14:solidFill>
              <w14:schemeClr w14:val="tx1">
                <w14:lumMod w14:val="95000"/>
                <w14:lumOff w14:val="5000"/>
              </w14:schemeClr>
            </w14:solidFill>
          </w14:textFill>
        </w:rPr>
        <w:t>，目前红星街道、鹤溪街道、澄照乡和沙湾镇为主的中心城区已大规模开发外，其他乡镇基本为农村地区，主要为农村居住点、农田、林地等。根据《景宁畲族自治县县域总体规划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2007-2020年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》，全县规划形成“一主携三次，两轴带四片”的县域次区域组织和中心城镇布局结构。</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其中，与现行环境空气功能区冲突较为突出的内容是“规划要求‘三次’培育片区中心镇沙湾镇、东坑镇和九龙乡，分别作为西部、南部和东部地区的次一级片区中心，加强基础设施建设，引导产业和人口集聚，承担片区产业和服务中心的功能，带动周边乡镇发展”这与东坑镇和九龙乡目前处于一类空气功能区的要求严重冲突，对今后的城乡发展也会起到极大的约束性作用。另外，</w:t>
      </w:r>
      <w:r>
        <w:rPr>
          <w:b/>
          <w:color w:val="0D0D0D" w:themeColor="text1" w:themeTint="F2"/>
          <w:szCs w:val="28"/>
          <w:highlight w:val="none"/>
          <w14:textFill>
            <w14:solidFill>
              <w14:schemeClr w14:val="tx1">
                <w14:lumMod w14:val="95000"/>
                <w14:lumOff w14:val="5000"/>
              </w14:schemeClr>
            </w14:solidFill>
          </w14:textFill>
        </w:rPr>
        <w:t>东部片区</w:t>
      </w:r>
      <w:r>
        <w:rPr>
          <w:color w:val="0D0D0D" w:themeColor="text1" w:themeTint="F2"/>
          <w:szCs w:val="28"/>
          <w:highlight w:val="none"/>
          <w14:textFill>
            <w14:solidFill>
              <w14:schemeClr w14:val="tx1">
                <w14:lumMod w14:val="95000"/>
                <w14:lumOff w14:val="5000"/>
              </w14:schemeClr>
            </w14:solidFill>
          </w14:textFill>
        </w:rPr>
        <w:t>，以九龙乡为中心，渤海镇为辅中心，包括九龙乡、渤海镇、郑坑乡等3个乡镇。以炉西峡和九龙国家地质公园为核心的库区旅游业为发展主体，结合滩坑水库培育水上养殖和水产业，以镇区为依托适度发展加工工业。加强生态林建设，发展特色农林业。加快区内村庄布局调整和库区集镇复建，减少分散的农居点，实施严格的生态保育措施。加强对片区中心九龙乡镇的培育，依托其旅游服务的优势，成为片区人口和服务的集聚中心，争取尽早设镇。</w:t>
      </w:r>
      <w:r>
        <w:rPr>
          <w:b/>
          <w:color w:val="0D0D0D" w:themeColor="text1" w:themeTint="F2"/>
          <w:szCs w:val="28"/>
          <w:highlight w:val="none"/>
          <w14:textFill>
            <w14:solidFill>
              <w14:schemeClr w14:val="tx1">
                <w14:lumMod w14:val="95000"/>
                <w14:lumOff w14:val="5000"/>
              </w14:schemeClr>
            </w14:solidFill>
          </w14:textFill>
        </w:rPr>
        <w:t>南部片区</w:t>
      </w:r>
      <w:r>
        <w:rPr>
          <w:color w:val="0D0D0D" w:themeColor="text1" w:themeTint="F2"/>
          <w:szCs w:val="28"/>
          <w:highlight w:val="none"/>
          <w14:textFill>
            <w14:solidFill>
              <w14:schemeClr w14:val="tx1">
                <w14:lumMod w14:val="95000"/>
                <w14:lumOff w14:val="5000"/>
              </w14:schemeClr>
            </w14:solidFill>
          </w14:textFill>
        </w:rPr>
        <w:t>，以东坑镇为中心，包括东坑镇、大</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乡、景南乡、雁溪乡、家地乡等5个乡镇。重点培育笋竹、蔬菜、花卉等高效生态农业。在保护好景南原始森林的基础上，发展自然风景和生态景观为特色的生态休闲旅游业，推进东坑生态旅游示范镇建设，做大做强云中大</w:t>
      </w:r>
      <w:r>
        <w:rPr>
          <w:rFonts w:eastAsia="微软雅黑"/>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省级风景名胜区。东坑镇区以林木加工、农副产品精细加工业为主体，适度发展机械加工业。重点加强东坑镇区建设，争取形成县域次中心城镇。</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此外，根据《景宁畲族自治县土地利用总体规划</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2006-2020年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明确全县战略目标是构建以县城为中心，以东坑片区、滩坑片区、沙湾—英川片区为增长极的“一心三极”经济发展格式，建设全国畲族文化名城。全县土地划分为基本农田保护区、一般农地区、林业用地区、城镇建设用地区、村庄建设用地和风景旅游用地区等，并制定了相应的土地管制规则。</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以上规划图分布范围均与现行空气功能区划分存在极大的冲突与矛盾。</w:t>
      </w:r>
      <w:r>
        <w:rPr>
          <w:rFonts w:hint="eastAsia"/>
          <w:color w:val="0D0D0D" w:themeColor="text1" w:themeTint="F2"/>
          <w:szCs w:val="28"/>
          <w:highlight w:val="none"/>
          <w14:textFill>
            <w14:solidFill>
              <w14:schemeClr w14:val="tx1">
                <w14:lumMod w14:val="95000"/>
                <w14:lumOff w14:val="5000"/>
              </w14:schemeClr>
            </w14:solidFill>
          </w14:textFill>
        </w:rPr>
        <w:t>因此将冲突区域从原有一类区中划出。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目前景宁县红星街道、鹤溪街道、渤海镇、郑坑乡、大均乡、澄照乡、东坑镇、大</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漈</w:t>
      </w:r>
      <w:r>
        <w:rPr>
          <w:color w:val="0D0D0D" w:themeColor="text1" w:themeTint="F2"/>
          <w:szCs w:val="28"/>
          <w:highlight w:val="none"/>
          <w14:textFill>
            <w14:solidFill>
              <w14:schemeClr w14:val="tx1">
                <w14:lumMod w14:val="95000"/>
                <w14:lumOff w14:val="5000"/>
              </w14:schemeClr>
            </w14:solidFill>
          </w14:textFill>
        </w:rPr>
        <w:t>乡、梧桐乡、标溪乡、沙湾镇、大地乡等乡镇规划发展生态产业，包括生态农业、生态旅游、生态工业等，现状及规划布局局部有畜禽养殖等。根据《环境空气质量标准》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GB 3095-2012</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：二类区为居住区、商业交通居民混合区、文化区、工业区和农村地区，因而上述区域内除自然保护区、风景名胜区、生态保护红线区外，均可划为二类功能区。</w:t>
      </w:r>
    </w:p>
    <w:p>
      <w:pPr>
        <w:spacing w:before="120" w:line="360" w:lineRule="auto"/>
        <w:ind w:firstLine="562" w:firstLineChars="200"/>
        <w:rPr>
          <w:b/>
          <w:bCs/>
          <w:color w:val="0D0D0D" w:themeColor="text1" w:themeTint="F2"/>
          <w:szCs w:val="28"/>
          <w:highlight w:val="none"/>
          <w14:textFill>
            <w14:solidFill>
              <w14:schemeClr w14:val="tx1">
                <w14:lumMod w14:val="95000"/>
                <w14:lumOff w14:val="5000"/>
              </w14:schemeClr>
            </w14:solidFill>
          </w14:textFill>
        </w:rPr>
      </w:pPr>
      <w:r>
        <w:rPr>
          <w:b/>
          <w:bCs/>
          <w:color w:val="0D0D0D" w:themeColor="text1" w:themeTint="F2"/>
          <w:szCs w:val="28"/>
          <w:highlight w:val="none"/>
          <w14:textFill>
            <w14:solidFill>
              <w14:schemeClr w14:val="tx1">
                <w14:lumMod w14:val="95000"/>
                <w14:lumOff w14:val="5000"/>
              </w14:schemeClr>
            </w14:solidFill>
          </w14:textFill>
        </w:rPr>
        <w:t>2</w:t>
      </w:r>
      <w:r>
        <w:rPr>
          <w:rFonts w:hint="eastAsia"/>
          <w:b/>
          <w:bCs/>
          <w:color w:val="0D0D0D" w:themeColor="text1" w:themeTint="F2"/>
          <w:szCs w:val="28"/>
          <w:highlight w:val="none"/>
          <w14:textFill>
            <w14:solidFill>
              <w14:schemeClr w14:val="tx1">
                <w14:lumMod w14:val="95000"/>
                <w14:lumOff w14:val="5000"/>
              </w14:schemeClr>
            </w14:solidFill>
          </w14:textFill>
        </w:rPr>
        <w:t>、</w:t>
      </w:r>
      <w:r>
        <w:rPr>
          <w:b/>
          <w:bCs/>
          <w:color w:val="0D0D0D" w:themeColor="text1" w:themeTint="F2"/>
          <w:szCs w:val="28"/>
          <w:highlight w:val="none"/>
          <w14:textFill>
            <w14:solidFill>
              <w14:schemeClr w14:val="tx1">
                <w14:lumMod w14:val="95000"/>
                <w14:lumOff w14:val="5000"/>
              </w14:schemeClr>
            </w14:solidFill>
          </w14:textFill>
        </w:rPr>
        <w:t>由二类功能区调整为一类功能区部分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2013年7月，浙江省人民政府文件批准建立景宁畲族自治县大仰湖湿地群省级自然保护区；1995年草鱼塘被浙江省林业局批准为省级森林公园，但1999年才完成公园整体规划，2002年被批准为国家AA级旅游区；2009年县人民政府印发龙潭桥水库饮用水源保护区的管理办法；2018年11月，景宁县人民政府开展金村水库及供水重点民生工程建设；此外，景宁县生态保护红线另划定了小溪</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毛</w:t>
      </w:r>
      <w:r>
        <w:rPr>
          <w:rFonts w:ascii="仿宋" w:hAnsi="仿宋" w:eastAsia="仿宋"/>
          <w:color w:val="0D0D0D" w:themeColor="text1" w:themeTint="F2"/>
          <w:szCs w:val="28"/>
          <w:highlight w:val="none"/>
          <w14:textFill>
            <w14:solidFill>
              <w14:schemeClr w14:val="tx1">
                <w14:lumMod w14:val="95000"/>
                <w14:lumOff w14:val="5000"/>
              </w14:schemeClr>
            </w14:solidFill>
          </w14:textFill>
        </w:rPr>
        <w:t>垟</w:t>
      </w:r>
      <w:r>
        <w:rPr>
          <w:color w:val="0D0D0D" w:themeColor="text1" w:themeTint="F2"/>
          <w:szCs w:val="28"/>
          <w:highlight w:val="none"/>
          <w14:textFill>
            <w14:solidFill>
              <w14:schemeClr w14:val="tx1">
                <w14:lumMod w14:val="95000"/>
                <w14:lumOff w14:val="5000"/>
              </w14:schemeClr>
            </w14:solidFill>
          </w14:textFill>
        </w:rPr>
        <w:t>港</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森林生态系统保护红线区、鹤溪森林生态系统保护红线区以及东北部森林生态系统生物多样性维护生态红线区。按相关编制规范和法律法规都应当划分为环境空气一类功能区。具体调整位置详见图4-4</w:t>
      </w:r>
      <w:r>
        <w:rPr>
          <w:rFonts w:hint="eastAsia"/>
          <w:color w:val="0D0D0D" w:themeColor="text1" w:themeTint="F2"/>
          <w:szCs w:val="28"/>
          <w:highlight w:val="none"/>
          <w14:textFill>
            <w14:solidFill>
              <w14:schemeClr w14:val="tx1">
                <w14:lumMod w14:val="95000"/>
                <w14:lumOff w14:val="5000"/>
              </w14:schemeClr>
            </w14:solidFill>
          </w14:textFill>
        </w:rPr>
        <w:t>。</w:t>
      </w:r>
    </w:p>
    <w:p>
      <w:pPr>
        <w:spacing w:line="360" w:lineRule="auto"/>
        <w:jc w:val="center"/>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mc:AlternateContent>
          <mc:Choice Requires="wpg">
            <w:drawing>
              <wp:anchor distT="0" distB="0" distL="114300" distR="114300" simplePos="0" relativeHeight="251663360" behindDoc="0" locked="0" layoutInCell="1" allowOverlap="1">
                <wp:simplePos x="0" y="0"/>
                <wp:positionH relativeFrom="column">
                  <wp:posOffset>1099820</wp:posOffset>
                </wp:positionH>
                <wp:positionV relativeFrom="paragraph">
                  <wp:posOffset>798195</wp:posOffset>
                </wp:positionV>
                <wp:extent cx="2616200" cy="1809750"/>
                <wp:effectExtent l="25400" t="25400" r="12700" b="19050"/>
                <wp:wrapNone/>
                <wp:docPr id="25" name="Group 7"/>
                <wp:cNvGraphicFramePr/>
                <a:graphic xmlns:a="http://schemas.openxmlformats.org/drawingml/2006/main">
                  <a:graphicData uri="http://schemas.microsoft.com/office/word/2010/wordprocessingGroup">
                    <wpg:wgp>
                      <wpg:cNvGrpSpPr/>
                      <wpg:grpSpPr>
                        <a:xfrm>
                          <a:off x="0" y="0"/>
                          <a:ext cx="2616200" cy="1809750"/>
                          <a:chOff x="3470" y="5300"/>
                          <a:chExt cx="4120" cy="2850"/>
                        </a:xfrm>
                      </wpg:grpSpPr>
                      <wps:wsp>
                        <wps:cNvPr id="26" name="Oval 5"/>
                        <wps:cNvSpPr/>
                        <wps:spPr bwMode="auto">
                          <a:xfrm>
                            <a:off x="5300" y="5300"/>
                            <a:ext cx="2290" cy="2040"/>
                          </a:xfrm>
                          <a:prstGeom prst="ellipse">
                            <a:avLst/>
                          </a:prstGeom>
                          <a:noFill/>
                          <a:ln w="50800">
                            <a:solidFill>
                              <a:schemeClr val="accent6">
                                <a:lumMod val="75000"/>
                                <a:lumOff val="0"/>
                              </a:schemeClr>
                            </a:solidFill>
                            <a:round/>
                          </a:ln>
                        </wps:spPr>
                        <wps:bodyPr rot="0" vert="horz" wrap="square" lIns="91440" tIns="45720" rIns="91440" bIns="45720" anchor="t" anchorCtr="0" upright="1">
                          <a:noAutofit/>
                        </wps:bodyPr>
                      </wps:wsp>
                      <wps:wsp>
                        <wps:cNvPr id="28" name="Oval 6"/>
                        <wps:cNvSpPr/>
                        <wps:spPr bwMode="auto">
                          <a:xfrm>
                            <a:off x="3470" y="6910"/>
                            <a:ext cx="1740" cy="1240"/>
                          </a:xfrm>
                          <a:prstGeom prst="ellipse">
                            <a:avLst/>
                          </a:prstGeom>
                          <a:noFill/>
                          <a:ln w="50800">
                            <a:solidFill>
                              <a:schemeClr val="accent6">
                                <a:lumMod val="75000"/>
                                <a:lumOff val="0"/>
                              </a:schemeClr>
                            </a:solidFill>
                            <a:round/>
                          </a:ln>
                        </wps:spPr>
                        <wps:bodyPr rot="0" vert="horz" wrap="square" lIns="91440" tIns="45720" rIns="91440" bIns="45720" anchor="t" anchorCtr="0" upright="1">
                          <a:noAutofit/>
                        </wps:bodyPr>
                      </wps:wsp>
                    </wpg:wgp>
                  </a:graphicData>
                </a:graphic>
              </wp:anchor>
            </w:drawing>
          </mc:Choice>
          <mc:Fallback>
            <w:pict>
              <v:group id="Group 7" o:spid="_x0000_s1026" o:spt="203" style="position:absolute;left:0pt;margin-left:86.6pt;margin-top:62.85pt;height:142.5pt;width:206pt;z-index:251663360;mso-width-relative:page;mso-height-relative:page;" coordorigin="3470,5300" coordsize="4120,2850" o:gfxdata="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dmoet2wAAAAsBAAAPAAAAAAAAAAEAIAAAACIAAABkcnMv&#10;ZG93bnJldi54bWxQSwECFAAUAAAACACHTuJAXli1vqsCAADXBwAADgAAAAAAAAABACAAAAAqAQAA&#10;ZHJzL2Uyb0RvYy54bWxQSwUGAAAAAAYABgBZAQAARwYAAAAA&#10;">
                <o:lock v:ext="edit" aspectratio="f"/>
                <v:shape id="Oval 5" o:spid="_x0000_s1026" o:spt="3" type="#_x0000_t3" style="position:absolute;left:5300;top:5300;height:2040;width:2290;" filled="f" stroked="t" coordsize="21600,21600" o:gfxdata="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3T74A&#10;AADbAAAADwAAAAAAAAABACAAAAAiAAAAZHJzL2Rvd25yZXYueG1sUEsBAhQAFAAAAAgAh07iQDMv&#10;BZ47AAAAOQAAABAAAAAAAAAAAQAgAAAADQEAAGRycy9zaGFwZXhtbC54bWxQSwUGAAAAAAYABgBb&#10;AQAAtwMAAAAA&#10;">
                  <v:fill on="f" focussize="0,0"/>
                  <v:stroke weight="4pt" color="#548235 [3209]" joinstyle="round"/>
                  <v:imagedata o:title=""/>
                  <o:lock v:ext="edit" aspectratio="f"/>
                </v:shape>
                <v:shape id="Oval 6" o:spid="_x0000_s1026" o:spt="3" type="#_x0000_t3" style="position:absolute;left:3470;top:6910;height:1240;width:1740;" filled="f" stroked="t" coordsize="21600,21600" o:gfxdata="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hqa8AAAA&#10;2wAAAA8AAAAAAAAAAQAgAAAAIgAAAGRycy9kb3ducmV2LnhtbFBLAQIUABQAAAAIAIdO4kAzLwWe&#10;OwAAADkAAAAQAAAAAAAAAAEAIAAAAAsBAABkcnMvc2hhcGV4bWwueG1sUEsFBgAAAAAGAAYAWwEA&#10;ALUDAAAAAA==&#10;">
                  <v:fill on="f" focussize="0,0"/>
                  <v:stroke weight="4pt" color="#548235 [3209]" joinstyle="round"/>
                  <v:imagedata o:title=""/>
                  <o:lock v:ext="edit" aspectratio="f"/>
                </v:shape>
              </v:group>
            </w:pict>
          </mc:Fallback>
        </mc:AlternateContent>
      </w:r>
      <w:r>
        <w:rPr>
          <w:color w:val="0D0D0D" w:themeColor="text1" w:themeTint="F2"/>
          <w:szCs w:val="28"/>
          <w:highlight w:val="none"/>
          <w14:textFill>
            <w14:solidFill>
              <w14:schemeClr w14:val="tx1">
                <w14:lumMod w14:val="95000"/>
                <w14:lumOff w14:val="5000"/>
              </w14:schemeClr>
            </w14:solidFill>
          </w14:textFill>
        </w:rPr>
        <w:drawing>
          <wp:inline distT="0" distB="0" distL="0" distR="0">
            <wp:extent cx="4934585" cy="3492500"/>
            <wp:effectExtent l="165100" t="165100" r="170815" b="165100"/>
            <wp:docPr id="5" name="Picture 17"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地图上有字&#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5132" cy="34925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 xml:space="preserve">图4-4 </w:t>
      </w:r>
      <w:r>
        <w:rPr>
          <w:rFonts w:hint="eastAsia"/>
          <w:b/>
          <w:bCs/>
          <w:color w:val="0D0D0D" w:themeColor="text1" w:themeTint="F2"/>
          <w:sz w:val="24"/>
          <w:szCs w:val="24"/>
          <w:highlight w:val="none"/>
          <w14:textFill>
            <w14:solidFill>
              <w14:schemeClr w14:val="tx1">
                <w14:lumMod w14:val="95000"/>
                <w14:lumOff w14:val="5000"/>
              </w14:schemeClr>
            </w14:solidFill>
          </w14:textFill>
        </w:rPr>
        <w:t>原</w:t>
      </w:r>
      <w:r>
        <w:rPr>
          <w:b/>
          <w:bCs/>
          <w:color w:val="0D0D0D" w:themeColor="text1" w:themeTint="F2"/>
          <w:sz w:val="24"/>
          <w:szCs w:val="24"/>
          <w:highlight w:val="none"/>
          <w14:textFill>
            <w14:solidFill>
              <w14:schemeClr w14:val="tx1">
                <w14:lumMod w14:val="95000"/>
                <w14:lumOff w14:val="5000"/>
              </w14:schemeClr>
            </w14:solidFill>
          </w14:textFill>
        </w:rPr>
        <w:t>景宁县环境空气功能区划需由II类区调整为I类区的区域分布图</w:t>
      </w:r>
    </w:p>
    <w:p>
      <w:pPr>
        <w:pStyle w:val="3"/>
        <w:spacing w:before="240"/>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66" w:name="_Toc8996"/>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4.5</w:t>
      </w:r>
      <w:r>
        <w:rPr>
          <w:rFonts w:eastAsia="仿宋_GB2312"/>
          <w:color w:val="0D0D0D" w:themeColor="text1" w:themeTint="F2"/>
          <w:sz w:val="28"/>
          <w:szCs w:val="28"/>
          <w:highlight w:val="none"/>
          <w14:textFill>
            <w14:solidFill>
              <w14:schemeClr w14:val="tx1">
                <w14:lumMod w14:val="95000"/>
                <w14:lumOff w14:val="5000"/>
              </w14:schemeClr>
            </w14:solidFill>
          </w14:textFill>
        </w:rPr>
        <w:t xml:space="preserve"> </w:t>
      </w:r>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调整前后方案对比</w:t>
      </w:r>
      <w:bookmarkEnd w:id="66"/>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原环境空气质量功能区一类区占景宁县国土总面积的8</w:t>
      </w:r>
      <w:r>
        <w:rPr>
          <w:color w:val="0D0D0D" w:themeColor="text1" w:themeTint="F2"/>
          <w:szCs w:val="28"/>
          <w:highlight w:val="none"/>
          <w14:textFill>
            <w14:solidFill>
              <w14:schemeClr w14:val="tx1">
                <w14:lumMod w14:val="95000"/>
                <w14:lumOff w14:val="5000"/>
              </w14:schemeClr>
            </w14:solidFill>
          </w14:textFill>
        </w:rPr>
        <w:t>7.53%</w:t>
      </w:r>
      <w:r>
        <w:rPr>
          <w:rFonts w:hint="eastAsia"/>
          <w:color w:val="0D0D0D" w:themeColor="text1" w:themeTint="F2"/>
          <w:szCs w:val="28"/>
          <w:highlight w:val="none"/>
          <w14:textFill>
            <w14:solidFill>
              <w14:schemeClr w14:val="tx1">
                <w14:lumMod w14:val="95000"/>
                <w14:lumOff w14:val="5000"/>
              </w14:schemeClr>
            </w14:solidFill>
          </w14:textFill>
        </w:rPr>
        <w:t>，二类区占比仅有1</w:t>
      </w:r>
      <w:r>
        <w:rPr>
          <w:color w:val="0D0D0D" w:themeColor="text1" w:themeTint="F2"/>
          <w:szCs w:val="28"/>
          <w:highlight w:val="none"/>
          <w14:textFill>
            <w14:solidFill>
              <w14:schemeClr w14:val="tx1">
                <w14:lumMod w14:val="95000"/>
                <w14:lumOff w14:val="5000"/>
              </w14:schemeClr>
            </w14:solidFill>
          </w14:textFill>
        </w:rPr>
        <w:t>2.47%</w:t>
      </w:r>
      <w:r>
        <w:rPr>
          <w:rFonts w:hint="eastAsia"/>
          <w:color w:val="0D0D0D" w:themeColor="text1" w:themeTint="F2"/>
          <w:szCs w:val="28"/>
          <w:highlight w:val="none"/>
          <w14:textFill>
            <w14:solidFill>
              <w14:schemeClr w14:val="tx1">
                <w14:lumMod w14:val="95000"/>
                <w14:lumOff w14:val="5000"/>
              </w14:schemeClr>
            </w14:solidFill>
          </w14:textFill>
        </w:rPr>
        <w:t>，严重限制景宁县社会经济与生态环境的协调发展。按照相关规划指南以及合理衔接各类城市、土地和生态环境规划后，经调整修编后的环境空气功能区中一类区占比3</w:t>
      </w:r>
      <w:r>
        <w:rPr>
          <w:color w:val="0D0D0D" w:themeColor="text1" w:themeTint="F2"/>
          <w:szCs w:val="28"/>
          <w:highlight w:val="none"/>
          <w14:textFill>
            <w14:solidFill>
              <w14:schemeClr w14:val="tx1">
                <w14:lumMod w14:val="95000"/>
                <w14:lumOff w14:val="5000"/>
              </w14:schemeClr>
            </w14:solidFill>
          </w14:textFill>
        </w:rPr>
        <w:t>7.69%</w:t>
      </w:r>
      <w:r>
        <w:rPr>
          <w:rFonts w:hint="eastAsia"/>
          <w:color w:val="0D0D0D" w:themeColor="text1" w:themeTint="F2"/>
          <w:szCs w:val="28"/>
          <w:highlight w:val="none"/>
          <w14:textFill>
            <w14:solidFill>
              <w14:schemeClr w14:val="tx1">
                <w14:lumMod w14:val="95000"/>
                <w14:lumOff w14:val="5000"/>
              </w14:schemeClr>
            </w14:solidFill>
          </w14:textFill>
        </w:rPr>
        <w:t>，二类区占比</w:t>
      </w:r>
      <w:r>
        <w:rPr>
          <w:color w:val="0D0D0D" w:themeColor="text1" w:themeTint="F2"/>
          <w:szCs w:val="28"/>
          <w:highlight w:val="none"/>
          <w14:textFill>
            <w14:solidFill>
              <w14:schemeClr w14:val="tx1">
                <w14:lumMod w14:val="95000"/>
                <w14:lumOff w14:val="5000"/>
              </w14:schemeClr>
            </w14:solidFill>
          </w14:textFill>
        </w:rPr>
        <w:t>43.43%</w:t>
      </w:r>
      <w:r>
        <w:rPr>
          <w:rFonts w:hint="eastAsia"/>
          <w:color w:val="0D0D0D" w:themeColor="text1" w:themeTint="F2"/>
          <w:szCs w:val="28"/>
          <w:highlight w:val="none"/>
          <w14:textFill>
            <w14:solidFill>
              <w14:schemeClr w14:val="tx1">
                <w14:lumMod w14:val="95000"/>
                <w14:lumOff w14:val="5000"/>
              </w14:schemeClr>
            </w14:solidFill>
          </w14:textFill>
        </w:rPr>
        <w:t>，缓冲区占比1</w:t>
      </w:r>
      <w:r>
        <w:rPr>
          <w:color w:val="0D0D0D" w:themeColor="text1" w:themeTint="F2"/>
          <w:szCs w:val="28"/>
          <w:highlight w:val="none"/>
          <w14:textFill>
            <w14:solidFill>
              <w14:schemeClr w14:val="tx1">
                <w14:lumMod w14:val="95000"/>
                <w14:lumOff w14:val="5000"/>
              </w14:schemeClr>
            </w14:solidFill>
          </w14:textFill>
        </w:rPr>
        <w:t>8.88%</w:t>
      </w:r>
      <w:r>
        <w:rPr>
          <w:rFonts w:hint="eastAsia"/>
          <w:color w:val="0D0D0D" w:themeColor="text1" w:themeTint="F2"/>
          <w:szCs w:val="28"/>
          <w:highlight w:val="none"/>
          <w14:textFill>
            <w14:solidFill>
              <w14:schemeClr w14:val="tx1">
                <w14:lumMod w14:val="95000"/>
                <w14:lumOff w14:val="5000"/>
              </w14:schemeClr>
            </w14:solidFill>
          </w14:textFill>
        </w:rPr>
        <w:t>。二类区比例上升了3</w:t>
      </w:r>
      <w:r>
        <w:rPr>
          <w:color w:val="0D0D0D" w:themeColor="text1" w:themeTint="F2"/>
          <w:szCs w:val="28"/>
          <w:highlight w:val="none"/>
          <w14:textFill>
            <w14:solidFill>
              <w14:schemeClr w14:val="tx1">
                <w14:lumMod w14:val="95000"/>
                <w14:lumOff w14:val="5000"/>
              </w14:schemeClr>
            </w14:solidFill>
          </w14:textFill>
        </w:rPr>
        <w:t>0.96%</w:t>
      </w:r>
      <w:r>
        <w:rPr>
          <w:rFonts w:hint="eastAsia"/>
          <w:color w:val="0D0D0D" w:themeColor="text1" w:themeTint="F2"/>
          <w:szCs w:val="28"/>
          <w:highlight w:val="none"/>
          <w14:textFill>
            <w14:solidFill>
              <w14:schemeClr w14:val="tx1">
                <w14:lumMod w14:val="95000"/>
                <w14:lumOff w14:val="5000"/>
              </w14:schemeClr>
            </w14:solidFill>
          </w14:textFill>
        </w:rPr>
        <w:t>，该区域执行环境空气二级标准；一类区比例下降了近5</w:t>
      </w:r>
      <w:r>
        <w:rPr>
          <w:color w:val="0D0D0D" w:themeColor="text1" w:themeTint="F2"/>
          <w:szCs w:val="28"/>
          <w:highlight w:val="none"/>
          <w14:textFill>
            <w14:solidFill>
              <w14:schemeClr w14:val="tx1">
                <w14:lumMod w14:val="95000"/>
                <w14:lumOff w14:val="5000"/>
              </w14:schemeClr>
            </w14:solidFill>
          </w14:textFill>
        </w:rPr>
        <w:t>0%</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4</w:t>
      </w:r>
      <w:r>
        <w:rPr>
          <w:color w:val="0D0D0D" w:themeColor="text1" w:themeTint="F2"/>
          <w:szCs w:val="28"/>
          <w:highlight w:val="none"/>
          <w14:textFill>
            <w14:solidFill>
              <w14:schemeClr w14:val="tx1">
                <w14:lumMod w14:val="95000"/>
                <w14:lumOff w14:val="5000"/>
              </w14:schemeClr>
            </w14:solidFill>
          </w14:textFill>
        </w:rPr>
        <w:t>9.84%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，因缓冲区需执行一级空气标准，因而总体而言，执行一级标准区域下降了3</w:t>
      </w:r>
      <w:r>
        <w:rPr>
          <w:color w:val="0D0D0D" w:themeColor="text1" w:themeTint="F2"/>
          <w:szCs w:val="28"/>
          <w:highlight w:val="none"/>
          <w14:textFill>
            <w14:solidFill>
              <w14:schemeClr w14:val="tx1">
                <w14:lumMod w14:val="95000"/>
                <w14:lumOff w14:val="5000"/>
              </w14:schemeClr>
            </w14:solidFill>
          </w14:textFill>
        </w:rPr>
        <w:t>0.96%</w:t>
      </w:r>
      <w:r>
        <w:rPr>
          <w:rFonts w:hint="eastAsia"/>
          <w:color w:val="0D0D0D" w:themeColor="text1" w:themeTint="F2"/>
          <w:szCs w:val="28"/>
          <w:highlight w:val="none"/>
          <w14:textFill>
            <w14:solidFill>
              <w14:schemeClr w14:val="tx1">
                <w14:lumMod w14:val="95000"/>
                <w14:lumOff w14:val="5000"/>
              </w14:schemeClr>
            </w14:solidFill>
          </w14:textFill>
        </w:rPr>
        <w:t>。缓冲区和一类区在虽均执行一级空气标准，但在项目准入上，严格程度和管控措施上存在差异。</w:t>
      </w:r>
    </w:p>
    <w:p>
      <w:pPr>
        <w:spacing w:before="120" w:after="60" w:line="360" w:lineRule="auto"/>
        <w:jc w:val="center"/>
        <w:rPr>
          <w:b/>
          <w:color w:val="0D0D0D" w:themeColor="text1" w:themeTint="F2"/>
          <w:szCs w:val="28"/>
          <w:highlight w:val="none"/>
          <w14:textFill>
            <w14:solidFill>
              <w14:schemeClr w14:val="tx1">
                <w14:lumMod w14:val="95000"/>
                <w14:lumOff w14:val="5000"/>
              </w14:schemeClr>
            </w14:solidFill>
          </w14:textFill>
        </w:rPr>
      </w:pPr>
      <w:r>
        <w:rPr>
          <w:b/>
          <w:color w:val="0D0D0D" w:themeColor="text1" w:themeTint="F2"/>
          <w:szCs w:val="28"/>
          <w:highlight w:val="none"/>
          <w14:textFill>
            <w14:solidFill>
              <w14:schemeClr w14:val="tx1">
                <w14:lumMod w14:val="95000"/>
                <w14:lumOff w14:val="5000"/>
              </w14:schemeClr>
            </w14:solidFill>
          </w14:textFill>
        </w:rPr>
        <w:t>表4-3 原环境空气质量功能区划与现区划对比对比情况</w:t>
      </w:r>
    </w:p>
    <w:tbl>
      <w:tblPr>
        <w:tblStyle w:val="19"/>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821"/>
        <w:gridCol w:w="937"/>
        <w:gridCol w:w="1276"/>
        <w:gridCol w:w="992"/>
        <w:gridCol w:w="709"/>
        <w:gridCol w:w="992"/>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72" w:type="dxa"/>
            <w:vMerge w:val="restart"/>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功能区类别</w:t>
            </w:r>
          </w:p>
        </w:tc>
        <w:tc>
          <w:tcPr>
            <w:tcW w:w="4026" w:type="dxa"/>
            <w:gridSpan w:val="4"/>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原区划</w:t>
            </w:r>
          </w:p>
        </w:tc>
        <w:tc>
          <w:tcPr>
            <w:tcW w:w="3828" w:type="dxa"/>
            <w:gridSpan w:val="4"/>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现区划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continue"/>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p>
        </w:tc>
        <w:tc>
          <w:tcPr>
            <w:tcW w:w="82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片区数量</w:t>
            </w:r>
          </w:p>
        </w:tc>
        <w:tc>
          <w:tcPr>
            <w:tcW w:w="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面积km</w:t>
            </w:r>
            <w:r>
              <w:rPr>
                <w:color w:val="0D0D0D" w:themeColor="text1" w:themeTint="F2"/>
                <w:sz w:val="24"/>
                <w:szCs w:val="24"/>
                <w:highlight w:val="none"/>
                <w:vertAlign w:val="superscript"/>
                <w14:textFill>
                  <w14:solidFill>
                    <w14:schemeClr w14:val="tx1">
                      <w14:lumMod w14:val="95000"/>
                      <w14:lumOff w14:val="5000"/>
                    </w14:schemeClr>
                  </w14:solidFill>
                </w14:textFill>
              </w:rPr>
              <w:t>2</w:t>
            </w:r>
          </w:p>
        </w:tc>
        <w:tc>
          <w:tcPr>
            <w:tcW w:w="1276" w:type="dxa"/>
            <w:vAlign w:val="center"/>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面积占比</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sz w:val="24"/>
                <w:szCs w:val="24"/>
                <w:highlight w:val="none"/>
                <w14:textFill>
                  <w14:solidFill>
                    <w14:schemeClr w14:val="tx1">
                      <w14:lumMod w14:val="95000"/>
                      <w14:lumOff w14:val="5000"/>
                    </w14:schemeClr>
                  </w14:solidFill>
                </w14:textFill>
              </w:rPr>
              <w:t>%</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执行标准</w:t>
            </w:r>
          </w:p>
        </w:tc>
        <w:tc>
          <w:tcPr>
            <w:tcW w:w="70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片区数量</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面积km</w:t>
            </w:r>
            <w:r>
              <w:rPr>
                <w:color w:val="0D0D0D" w:themeColor="text1" w:themeTint="F2"/>
                <w:sz w:val="24"/>
                <w:szCs w:val="24"/>
                <w:highlight w:val="none"/>
                <w:vertAlign w:val="superscript"/>
                <w14:textFill>
                  <w14:solidFill>
                    <w14:schemeClr w14:val="tx1">
                      <w14:lumMod w14:val="95000"/>
                      <w14:lumOff w14:val="5000"/>
                    </w14:schemeClr>
                  </w14:solidFill>
                </w14:textFill>
              </w:rPr>
              <w:t>2</w:t>
            </w:r>
          </w:p>
        </w:tc>
        <w:tc>
          <w:tcPr>
            <w:tcW w:w="1276" w:type="dxa"/>
            <w:vAlign w:val="center"/>
          </w:tcPr>
          <w:p>
            <w:pPr>
              <w:spacing w:line="240" w:lineRule="auto"/>
              <w:jc w:val="center"/>
              <w:rPr>
                <w:rFonts w:hint="eastAsia" w:eastAsia="仿宋_GB2312"/>
                <w:color w:val="0D0D0D" w:themeColor="text1" w:themeTint="F2"/>
                <w:sz w:val="24"/>
                <w:szCs w:val="24"/>
                <w:highlight w:val="none"/>
                <w:lang w:eastAsia="zh-CN"/>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面积占比</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color w:val="0D0D0D" w:themeColor="text1" w:themeTint="F2"/>
                <w:sz w:val="24"/>
                <w:szCs w:val="24"/>
                <w:highlight w:val="none"/>
                <w14:textFill>
                  <w14:solidFill>
                    <w14:schemeClr w14:val="tx1">
                      <w14:lumMod w14:val="95000"/>
                      <w14:lumOff w14:val="5000"/>
                    </w14:schemeClr>
                  </w14:solidFill>
                </w14:textFill>
              </w:rPr>
              <w:t>%</w:t>
            </w:r>
            <w:r>
              <w:rPr>
                <w:rFonts w:hint="eastAsia"/>
                <w:color w:val="0D0D0D" w:themeColor="text1" w:themeTint="F2"/>
                <w:sz w:val="24"/>
                <w:szCs w:val="24"/>
                <w:highlight w:val="none"/>
                <w:lang w:eastAsia="zh-CN"/>
                <w14:textFill>
                  <w14:solidFill>
                    <w14:schemeClr w14:val="tx1">
                      <w14:lumMod w14:val="95000"/>
                      <w14:lumOff w14:val="5000"/>
                    </w14:schemeClr>
                  </w14:solidFill>
                </w14:textFill>
              </w:rPr>
              <w:t>)</w:t>
            </w:r>
          </w:p>
        </w:tc>
        <w:tc>
          <w:tcPr>
            <w:tcW w:w="85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72"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一类区</w:t>
            </w:r>
          </w:p>
        </w:tc>
        <w:tc>
          <w:tcPr>
            <w:tcW w:w="82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1706.8</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7.53</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c>
          <w:tcPr>
            <w:tcW w:w="70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9</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7</w:t>
            </w:r>
            <w:r>
              <w:rPr>
                <w:color w:val="0D0D0D" w:themeColor="text1" w:themeTint="F2"/>
                <w:sz w:val="24"/>
                <w:szCs w:val="24"/>
                <w:highlight w:val="none"/>
                <w14:textFill>
                  <w14:solidFill>
                    <w14:schemeClr w14:val="tx1">
                      <w14:lumMod w14:val="95000"/>
                      <w14:lumOff w14:val="5000"/>
                    </w14:schemeClr>
                  </w14:solidFill>
                </w14:textFill>
              </w:rPr>
              <w:t>30.73</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7.69</w:t>
            </w:r>
          </w:p>
        </w:tc>
        <w:tc>
          <w:tcPr>
            <w:tcW w:w="85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缓冲区</w:t>
            </w:r>
          </w:p>
        </w:tc>
        <w:tc>
          <w:tcPr>
            <w:tcW w:w="82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向要求高的功能区靠</w:t>
            </w:r>
          </w:p>
        </w:tc>
        <w:tc>
          <w:tcPr>
            <w:tcW w:w="70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3</w:t>
            </w:r>
            <w:r>
              <w:rPr>
                <w:color w:val="0D0D0D" w:themeColor="text1" w:themeTint="F2"/>
                <w:sz w:val="24"/>
                <w:szCs w:val="24"/>
                <w:highlight w:val="none"/>
                <w14:textFill>
                  <w14:solidFill>
                    <w14:schemeClr w14:val="tx1">
                      <w14:lumMod w14:val="95000"/>
                      <w14:lumOff w14:val="5000"/>
                    </w14:schemeClr>
                  </w14:solidFill>
                </w14:textFill>
              </w:rPr>
              <w:t>66.08</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8.88</w:t>
            </w:r>
          </w:p>
        </w:tc>
        <w:tc>
          <w:tcPr>
            <w:tcW w:w="85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72" w:type="dxa"/>
            <w:vAlign w:val="center"/>
          </w:tcPr>
          <w:p>
            <w:pPr>
              <w:spacing w:line="240" w:lineRule="auto"/>
              <w:jc w:val="center"/>
              <w:rPr>
                <w:b/>
                <w:bCs/>
                <w:color w:val="0D0D0D" w:themeColor="text1" w:themeTint="F2"/>
                <w:sz w:val="24"/>
                <w:szCs w:val="24"/>
                <w:highlight w:val="none"/>
                <w14:textFill>
                  <w14:solidFill>
                    <w14:schemeClr w14:val="tx1">
                      <w14:lumMod w14:val="95000"/>
                      <w14:lumOff w14:val="5000"/>
                    </w14:schemeClr>
                  </w14:solidFill>
                </w14:textFill>
              </w:rPr>
            </w:pPr>
            <w:r>
              <w:rPr>
                <w:b/>
                <w:bCs/>
                <w:color w:val="0D0D0D" w:themeColor="text1" w:themeTint="F2"/>
                <w:sz w:val="24"/>
                <w:szCs w:val="24"/>
                <w:highlight w:val="none"/>
                <w14:textFill>
                  <w14:solidFill>
                    <w14:schemeClr w14:val="tx1">
                      <w14:lumMod w14:val="95000"/>
                      <w14:lumOff w14:val="5000"/>
                    </w14:schemeClr>
                  </w14:solidFill>
                </w14:textFill>
              </w:rPr>
              <w:t>二类区</w:t>
            </w:r>
          </w:p>
        </w:tc>
        <w:tc>
          <w:tcPr>
            <w:tcW w:w="82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w:t>
            </w:r>
          </w:p>
        </w:tc>
        <w:tc>
          <w:tcPr>
            <w:tcW w:w="937"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243.2</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1</w:t>
            </w:r>
            <w:r>
              <w:rPr>
                <w:color w:val="0D0D0D" w:themeColor="text1" w:themeTint="F2"/>
                <w:sz w:val="24"/>
                <w:szCs w:val="24"/>
                <w:highlight w:val="none"/>
                <w14:textFill>
                  <w14:solidFill>
                    <w14:schemeClr w14:val="tx1">
                      <w14:lumMod w14:val="95000"/>
                      <w14:lumOff w14:val="5000"/>
                    </w14:schemeClr>
                  </w14:solidFill>
                </w14:textFill>
              </w:rPr>
              <w:t>2.47</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二级</w:t>
            </w:r>
          </w:p>
        </w:tc>
        <w:tc>
          <w:tcPr>
            <w:tcW w:w="709"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1</w:t>
            </w:r>
          </w:p>
        </w:tc>
        <w:tc>
          <w:tcPr>
            <w:tcW w:w="992"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8</w:t>
            </w:r>
            <w:r>
              <w:rPr>
                <w:color w:val="0D0D0D" w:themeColor="text1" w:themeTint="F2"/>
                <w:sz w:val="24"/>
                <w:szCs w:val="24"/>
                <w:highlight w:val="none"/>
                <w14:textFill>
                  <w14:solidFill>
                    <w14:schemeClr w14:val="tx1">
                      <w14:lumMod w14:val="95000"/>
                      <w14:lumOff w14:val="5000"/>
                    </w14:schemeClr>
                  </w14:solidFill>
                </w14:textFill>
              </w:rPr>
              <w:t>42.17</w:t>
            </w:r>
          </w:p>
        </w:tc>
        <w:tc>
          <w:tcPr>
            <w:tcW w:w="1276"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rFonts w:hint="eastAsia"/>
                <w:color w:val="0D0D0D" w:themeColor="text1" w:themeTint="F2"/>
                <w:sz w:val="24"/>
                <w:szCs w:val="24"/>
                <w:highlight w:val="none"/>
                <w14:textFill>
                  <w14:solidFill>
                    <w14:schemeClr w14:val="tx1">
                      <w14:lumMod w14:val="95000"/>
                      <w14:lumOff w14:val="5000"/>
                    </w14:schemeClr>
                  </w14:solidFill>
                </w14:textFill>
              </w:rPr>
              <w:t>4</w:t>
            </w:r>
            <w:r>
              <w:rPr>
                <w:color w:val="0D0D0D" w:themeColor="text1" w:themeTint="F2"/>
                <w:sz w:val="24"/>
                <w:szCs w:val="24"/>
                <w:highlight w:val="none"/>
                <w14:textFill>
                  <w14:solidFill>
                    <w14:schemeClr w14:val="tx1">
                      <w14:lumMod w14:val="95000"/>
                      <w14:lumOff w14:val="5000"/>
                    </w14:schemeClr>
                  </w14:solidFill>
                </w14:textFill>
              </w:rPr>
              <w:t>3.43</w:t>
            </w:r>
          </w:p>
        </w:tc>
        <w:tc>
          <w:tcPr>
            <w:tcW w:w="851" w:type="dxa"/>
            <w:vAlign w:val="center"/>
          </w:tcPr>
          <w:p>
            <w:pPr>
              <w:spacing w:line="240" w:lineRule="auto"/>
              <w:jc w:val="center"/>
              <w:rPr>
                <w:color w:val="0D0D0D" w:themeColor="text1" w:themeTint="F2"/>
                <w:sz w:val="24"/>
                <w:szCs w:val="24"/>
                <w:highlight w:val="none"/>
                <w14:textFill>
                  <w14:solidFill>
                    <w14:schemeClr w14:val="tx1">
                      <w14:lumMod w14:val="95000"/>
                      <w14:lumOff w14:val="5000"/>
                    </w14:schemeClr>
                  </w14:solidFill>
                </w14:textFill>
              </w:rPr>
            </w:pPr>
            <w:r>
              <w:rPr>
                <w:color w:val="0D0D0D" w:themeColor="text1" w:themeTint="F2"/>
                <w:sz w:val="24"/>
                <w:szCs w:val="24"/>
                <w:highlight w:val="none"/>
                <w14:textFill>
                  <w14:solidFill>
                    <w14:schemeClr w14:val="tx1">
                      <w14:lumMod w14:val="95000"/>
                      <w14:lumOff w14:val="5000"/>
                    </w14:schemeClr>
                  </w14:solidFill>
                </w14:textFill>
              </w:rPr>
              <w:t>二级</w:t>
            </w:r>
          </w:p>
        </w:tc>
      </w:tr>
    </w:tbl>
    <w:p>
      <w:pPr>
        <w:rPr>
          <w:rFonts w:hint="eastAsia"/>
          <w:color w:val="0D0D0D" w:themeColor="text1" w:themeTint="F2"/>
          <w:sz w:val="32"/>
          <w:szCs w:val="32"/>
          <w:highlight w:val="none"/>
          <w14:textFill>
            <w14:solidFill>
              <w14:schemeClr w14:val="tx1">
                <w14:lumMod w14:val="95000"/>
                <w14:lumOff w14:val="5000"/>
              </w14:schemeClr>
            </w14:solidFill>
          </w14:textFill>
        </w:rPr>
      </w:pPr>
      <w:bookmarkStart w:id="67" w:name="_Toc39133150"/>
      <w:bookmarkStart w:id="68" w:name="_Toc514167221"/>
      <w:r>
        <w:rPr>
          <w:rFonts w:hint="eastAsia"/>
          <w:color w:val="0D0D0D" w:themeColor="text1" w:themeTint="F2"/>
          <w:sz w:val="32"/>
          <w:szCs w:val="32"/>
          <w:highlight w:val="none"/>
          <w14:textFill>
            <w14:solidFill>
              <w14:schemeClr w14:val="tx1">
                <w14:lumMod w14:val="95000"/>
                <w14:lumOff w14:val="5000"/>
              </w14:schemeClr>
            </w14:solidFill>
          </w14:textFill>
        </w:rPr>
        <w:br w:type="page"/>
      </w:r>
    </w:p>
    <w:p>
      <w:pPr>
        <w:pStyle w:val="2"/>
        <w:spacing w:before="600" w:beforeLines="250" w:after="0" w:line="360" w:lineRule="auto"/>
        <w:rPr>
          <w:color w:val="0D0D0D" w:themeColor="text1" w:themeTint="F2"/>
          <w:sz w:val="32"/>
          <w:szCs w:val="32"/>
          <w:highlight w:val="none"/>
          <w14:textFill>
            <w14:solidFill>
              <w14:schemeClr w14:val="tx1">
                <w14:lumMod w14:val="95000"/>
                <w14:lumOff w14:val="5000"/>
              </w14:schemeClr>
            </w14:solidFill>
          </w14:textFill>
        </w:rPr>
      </w:pPr>
      <w:bookmarkStart w:id="69" w:name="_Toc25951"/>
      <w:r>
        <w:rPr>
          <w:rFonts w:hint="eastAsia"/>
          <w:color w:val="0D0D0D" w:themeColor="text1" w:themeTint="F2"/>
          <w:sz w:val="32"/>
          <w:szCs w:val="32"/>
          <w:highlight w:val="none"/>
          <w14:textFill>
            <w14:solidFill>
              <w14:schemeClr w14:val="tx1">
                <w14:lumMod w14:val="95000"/>
                <w14:lumOff w14:val="5000"/>
              </w14:schemeClr>
            </w14:solidFill>
          </w14:textFill>
        </w:rPr>
        <w:t>5</w:t>
      </w:r>
      <w:r>
        <w:rPr>
          <w:color w:val="0D0D0D" w:themeColor="text1" w:themeTint="F2"/>
          <w:sz w:val="32"/>
          <w:szCs w:val="32"/>
          <w:highlight w:val="none"/>
          <w14:textFill>
            <w14:solidFill>
              <w14:schemeClr w14:val="tx1">
                <w14:lumMod w14:val="95000"/>
                <w14:lumOff w14:val="5000"/>
              </w14:schemeClr>
            </w14:solidFill>
          </w14:textFill>
        </w:rPr>
        <w:t xml:space="preserve"> 环境保护与管理建议</w:t>
      </w:r>
      <w:bookmarkEnd w:id="67"/>
      <w:bookmarkEnd w:id="68"/>
      <w:bookmarkEnd w:id="69"/>
      <w:bookmarkStart w:id="70" w:name="_Toc514167222"/>
      <w:bookmarkStart w:id="71" w:name="_Toc39133151"/>
    </w:p>
    <w:p>
      <w:pPr>
        <w:pStyle w:val="3"/>
        <w:spacing w:before="120" w:beforeLines="50"/>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72" w:name="_Toc10838"/>
      <w:r>
        <w:rPr>
          <w:rFonts w:eastAsia="仿宋_GB2312"/>
          <w:color w:val="0D0D0D" w:themeColor="text1" w:themeTint="F2"/>
          <w:sz w:val="28"/>
          <w:szCs w:val="28"/>
          <w:highlight w:val="none"/>
          <w14:textFill>
            <w14:solidFill>
              <w14:schemeClr w14:val="tx1">
                <w14:lumMod w14:val="95000"/>
                <w14:lumOff w14:val="5000"/>
              </w14:schemeClr>
            </w14:solidFill>
          </w14:textFill>
        </w:rPr>
        <w:t>5.1 加强大气环境管理与监管</w:t>
      </w:r>
      <w:bookmarkEnd w:id="70"/>
      <w:bookmarkEnd w:id="71"/>
      <w:bookmarkEnd w:id="72"/>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73" w:name="_Toc514167223"/>
      <w:bookmarkStart w:id="74" w:name="_Toc390953727"/>
      <w:bookmarkStart w:id="75" w:name="_Toc39133152"/>
      <w:r>
        <w:rPr>
          <w:color w:val="0D0D0D" w:themeColor="text1" w:themeTint="F2"/>
          <w:sz w:val="28"/>
          <w:szCs w:val="28"/>
          <w:highlight w:val="none"/>
          <w14:textFill>
            <w14:solidFill>
              <w14:schemeClr w14:val="tx1">
                <w14:lumMod w14:val="95000"/>
                <w14:lumOff w14:val="5000"/>
              </w14:schemeClr>
            </w14:solidFill>
          </w14:textFill>
        </w:rPr>
        <w:t>5.1.1 严格执行相关法律法规</w:t>
      </w:r>
      <w:bookmarkEnd w:id="73"/>
      <w:bookmarkEnd w:id="74"/>
      <w:bookmarkEnd w:id="75"/>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严格执行《中华人民共和国水污染防治法》《大气十条》《大气污染防治行动计划》《浙江省大气污染防治条例》、浙江省发布大气污染防治行动计划(2013-2017年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》《丽水市大气污染防治行动实施细则</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2013-2017年</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》等国家和地方的各项法律法规要求，依法治气、从严整治。</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《大气污染物综合排放标准》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GB16297-1996</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明确规定：一类区禁止新、扩建污染源，一类区现有污染源改建时执行现有污染源的一级标准。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《锅炉大气污染物综合排放标准》</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GB13271-2014</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明确规定：一类区禁止新建以重油、渣油为燃料的锅炉。</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严格遵循丽水市“三线一单“针对大气管控的准入清单要求，即严格控制新增燃煤项目建设，严格控制燃煤机组新增装机规模，不再新建35蒸吨/小时以下的高污染燃料锅炉。严禁新增钢铁、焦化、电解铝、铸造、水泥和平板玻璃产能。禁止新增化工园区，加大现有化工园区整治力度。未纳入《石化产业规划布局方案》新建炼化项目一律不得建设。加快城市主城区内钢铁、石化、化工、有色金属冶炼、水泥、平板玻璃等重污染企业搬迁改造。严格落实《关于执行国家排放标准大气污染物特别排放限值的通告》要求，全面实施国家大气污染物排放标准中的二氧化硫、氮氧化物、颗粒物和挥发性有机物特别排放限值。开展生物质锅炉综合整治，实施燃煤锅炉超低排放改造。加强机动车污染防治，启动非道路移动机械治理。严格控制大气环境布局敏感区和弱扩散区大气污染物排放总量，禁止新建高污染、高风险的涉气项目，其他新建涉气项目按照规定实施大气污染物“减量替代”；强化源头管控，逐步削减大气污染物排放总量。</w:t>
      </w:r>
    </w:p>
    <w:p>
      <w:pPr>
        <w:spacing w:line="360" w:lineRule="auto"/>
        <w:ind w:firstLine="560" w:firstLineChars="200"/>
        <w:rPr>
          <w:rFonts w:hint="eastAsia" w:eastAsia="仿宋_GB2312"/>
          <w:color w:val="0D0D0D" w:themeColor="text1" w:themeTint="F2"/>
          <w:szCs w:val="28"/>
          <w:highlight w:val="none"/>
          <w:lang w:eastAsia="zh-CN"/>
          <w14:textFill>
            <w14:solidFill>
              <w14:schemeClr w14:val="tx1">
                <w14:lumMod w14:val="95000"/>
                <w14:lumOff w14:val="5000"/>
              </w14:schemeClr>
            </w14:solidFill>
          </w14:textFill>
        </w:rPr>
      </w:pPr>
      <w:r>
        <w:rPr>
          <w:rFonts w:hint="eastAsia"/>
          <w:color w:val="0D0D0D" w:themeColor="text1" w:themeTint="F2"/>
          <w:szCs w:val="28"/>
          <w:highlight w:val="none"/>
          <w14:textFill>
            <w14:solidFill>
              <w14:schemeClr w14:val="tx1">
                <w14:lumMod w14:val="95000"/>
                <w14:lumOff w14:val="5000"/>
              </w14:schemeClr>
            </w14:solidFill>
          </w14:textFill>
        </w:rPr>
        <w:t>推进资源能源总量和强度“双控”。到2020年，丽水市</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包括景宁县</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rFonts w:hint="eastAsia"/>
          <w:color w:val="0D0D0D" w:themeColor="text1" w:themeTint="F2"/>
          <w:szCs w:val="28"/>
          <w:highlight w:val="none"/>
          <w14:textFill>
            <w14:solidFill>
              <w14:schemeClr w14:val="tx1">
                <w14:lumMod w14:val="95000"/>
                <w14:lumOff w14:val="5000"/>
              </w14:schemeClr>
            </w14:solidFill>
          </w14:textFill>
        </w:rPr>
        <w:t>能源消费总量控制在478万吨标煤以下，煤炭消费总量控制在76.4万吨以下，单位生产总值能耗下降15.5%，控制在0.35吨标煤/万元</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76" w:name="_Toc390953731"/>
      <w:bookmarkStart w:id="77" w:name="_Toc514167224"/>
      <w:bookmarkStart w:id="78" w:name="_Toc39133153"/>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.1.2 加强对排污单位的监管</w:t>
      </w:r>
      <w:bookmarkEnd w:id="76"/>
      <w:bookmarkEnd w:id="77"/>
      <w:bookmarkEnd w:id="78"/>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深入开展大气执法专项行动，加大重点工业废气排放企业的环境监管力度。对偷排偷放、屡查屡犯的违法企业，要依法责令停产整治，并处以重罚；对未完成整治的企业，要从新项目准入、排污许可证核发、各类评优及资金补助等各方面予以制约；对拒不执行责令停产、停业、关闭或者停产整治等决定继续违法生产的企业，要依法予以强制执行，对涉嫌环境犯罪的，要依法追究刑事责任。</w:t>
      </w:r>
    </w:p>
    <w:p>
      <w:pPr>
        <w:pStyle w:val="3"/>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79" w:name="_Toc17263"/>
      <w:bookmarkStart w:id="80" w:name="_Toc514167225"/>
      <w:bookmarkStart w:id="81" w:name="_Toc39133154"/>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5</w:t>
      </w:r>
      <w:r>
        <w:rPr>
          <w:rFonts w:eastAsia="仿宋_GB2312"/>
          <w:color w:val="0D0D0D" w:themeColor="text1" w:themeTint="F2"/>
          <w:sz w:val="28"/>
          <w:szCs w:val="28"/>
          <w:highlight w:val="none"/>
          <w14:textFill>
            <w14:solidFill>
              <w14:schemeClr w14:val="tx1">
                <w14:lumMod w14:val="95000"/>
                <w14:lumOff w14:val="5000"/>
              </w14:schemeClr>
            </w14:solidFill>
          </w14:textFill>
        </w:rPr>
        <w:t>.2 多举措推进大气污染防治</w:t>
      </w:r>
      <w:bookmarkEnd w:id="79"/>
      <w:bookmarkEnd w:id="80"/>
      <w:bookmarkEnd w:id="81"/>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82" w:name="_Toc514167226"/>
      <w:bookmarkStart w:id="83" w:name="_Toc39133155"/>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.2.1 调整能源结构</w:t>
      </w:r>
      <w:bookmarkEnd w:id="82"/>
      <w:bookmarkEnd w:id="83"/>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煤炭消费总量。贯彻耗煤项目煤炭减量替代制度，通过逐步提高接受外输电比例、增加天然气供应、加大非化石能源利用强度等措施替代燃煤。新建项目禁止配套建设自备燃煤电站。除热电联产和整体煤气化联合循环发电系统</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IGCC</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外，禁止审批新建燃煤发电项目。</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发展清洁能源。加快推进天然气管网设施、汽车加气站建设。加快推进风电、太阳能、生物质能等可再生能源利用。全面淘汰10蒸吨/小时以下的燃煤锅炉，推进燃煤锅炉、窑炉天然气改造。</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推动禁燃区建设和煤炭清洁高效利用。禁止进口、使用高灰份、高硫份的劣质煤炭，限制高硫石油焦进口。提高能源使用效率，新建高耗能项目单位产品</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产值</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能耗要达到国际先进水平。</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推进集中供热，建设和完善热网工程，热网覆盖区域内分散燃煤锅炉全面淘汰。</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严格节能措施。严格落实节能评估审查制度，新建高耗能项目单位产品</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产值</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能耗要达到国际先进水平，用能设备达到一级能效标准。积极发展绿色建筑，新建建筑要严格执行强制性节能标准，推广使用太阳能热水系统、地源热泵、空气源热泵、光伏建筑一体化、“热—电—冷”三联供等技术和装备。</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84" w:name="_Toc514167227"/>
      <w:bookmarkStart w:id="85" w:name="_Toc39133156"/>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.2.2 防治机动车污染</w:t>
      </w:r>
      <w:bookmarkEnd w:id="84"/>
      <w:bookmarkEnd w:id="85"/>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加强机动车管理。深入实施《浙江省机动车排气污染防治条例》，全面淘汰“黄标车”。</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提升燃油品质。加强油品质量监督检查，严厉打击非法生产、销售、以次充好的行为。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大力发展清洁交通。大力推广清洁能源汽车，鼓励出租车每年更换高效尾气净化装置，加快推进公交车、出租车、低速汽车升级换代。</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实施道路畅通工程。实施公交优先战略，加快推进轨道交通建设，加强步行道、自行车交通系统建设，大力发展公共自行车、公交车、出租车等公共交通，倡导拼车、通勤班车出行。</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86" w:name="_Toc39133157"/>
      <w:bookmarkStart w:id="87" w:name="_Toc514167228"/>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.2.3 治理工业废气污染</w:t>
      </w:r>
      <w:bookmarkEnd w:id="86"/>
      <w:bookmarkEnd w:id="87"/>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1.治理工业烟粉尘。加快重点行业脱硫、脱硝、除尘改造，钢铁、水泥、有色、化工等行业以及燃煤锅炉项目统一执行国家新标准。</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实施挥发性有机废气治理。按照《浙江省挥发性有机物污染整治方案》文件要求，完成加油站、储油库、油罐车油气回收综合治理工作，及汽车维修、生活服务、橡胶塑料制品、印刷包装、木业、制鞋等主要行业的VOCs整治，建成VOCs污染防控体系。</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88" w:name="_Toc39133158"/>
      <w:bookmarkStart w:id="89" w:name="_Toc514167229"/>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.2.4 调整产业布局与结构</w:t>
      </w:r>
      <w:bookmarkEnd w:id="88"/>
      <w:bookmarkEnd w:id="89"/>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严格产业准入。全县禁止新建20蒸吨/小时以下的高污染燃料锅炉，禁止新建直接燃用非压缩成型生物质燃料锅炉。坚决遏制产能严重过剩行业盲目扩张，把二氧化硫、氮氧化物、烟粉尘和挥发性有机物排放总量指标作为评价审批的前置条件。新建高耗能项目单位产品</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产值</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能耗要达到国际先进水平。</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淘汰落后产能。对钢铁、水泥、化工、有色金属冶炼等重点行业进行清洁生产审核。</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优化区域布局。对城市建成区内钢铁、化工、有色金属冶炼、水泥等大气重污染企业实施搬迁改造，推动工业项目向园区集中。</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发展循环经济。鼓励产业集聚发展，实施园区循环化改造，构建循环型工业体系。</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90" w:name="_Toc514167230"/>
      <w:bookmarkStart w:id="91" w:name="_Toc39133159"/>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.2.5 整治城市烟尘</w:t>
      </w:r>
      <w:bookmarkEnd w:id="90"/>
      <w:bookmarkEnd w:id="91"/>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施工扬尘。建立健全扬尘管理机制，实施施工工地封闭管理，做到“七个100%”，即施工现场围挡、工地砂土覆盖、工地路面硬化、拆除工程洒水、出工地运输车辆冲净且密闭、暂不开发的场地绿化100%落实，以及外脚手架密目式安全网100%安装。</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控制道路扬尘。渣土运输车辆应采取密闭措施，逐步推行卫星定位系统。强化道路扬尘治理，减少城区裸露地面积。</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烟尘污染。禁止露天焚烧生活垃圾、工业边角料。严格控制露天烧烤。加大烟花爆竹禁燃力度，严禁在规定时间、规定地点外燃放烟花爆竹。对有烟粉尘排放的物流露天堆场、露天煤堆场等实施封闭管理，确实无法封闭的建设防风抑尘设施。</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餐饮油烟。禁止在未经规划作为饮食服务用房的居民楼或商住楼内新建从事产生油烟的餐饮经营活动。所有产生油烟的餐饮企业、单位须安装油烟净化装置，并执行定期清洗制度，确保净化装置高效稳定运行。</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装修、干洗废气污染。严格执行挥发性有机溶剂含量限值标准，推广使用水性涂料，鼓励生产销售和使用低毒、低挥发性溶剂。民用建筑内外墙体涂料强制使用水性涂料，家庭装修倡导使用水性涂料。干洗企业严格执行国家《洗染业管理办法》，新开洗染店或新购洗染设备的，必须为全封闭式干洗机并增加压缩机制冷回收系统，在用干洗设施要进行治理，强制回收干洗溶剂。</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92" w:name="_Toc514167231"/>
      <w:bookmarkStart w:id="93" w:name="_Toc39133160"/>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.2.6 控制农村废气污染</w:t>
      </w:r>
      <w:bookmarkEnd w:id="92"/>
      <w:bookmarkEnd w:id="93"/>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1</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禁止秸秆焚烧。推进秸秆及农作物废弃物综合利用，鼓励秸秆资源化、商品化，消除秸秆露天焚烧现象。</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2</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控制农业氨污染。积极推行测土配方施肥和减量增效技术，大力推广有机肥，引导农民科学施肥，着力提高肥料利用率，减少农田化肥使用量，减少氨挥发和逸出。</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3</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实施采矿粉尘治理。所有采碎石场、制砂场要落实扬尘、粉尘控制措施。</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4</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实施废弃矿山治理。对已关闭废弃矿山开展矸石山和危岩治理，并进行土地复垦和植被恢复。</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5</w:t>
      </w:r>
      <w:r>
        <w:rPr>
          <w:rFonts w:hint="eastAsia"/>
          <w:color w:val="0D0D0D" w:themeColor="text1" w:themeTint="F2"/>
          <w:szCs w:val="28"/>
          <w:highlight w:val="none"/>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实施绿化造林工程。大力开展植树造林，加强生态公益林、防护林建设，增强森林生态功能。</w:t>
      </w:r>
    </w:p>
    <w:p>
      <w:pPr>
        <w:pStyle w:val="3"/>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94" w:name="_Toc39133161"/>
      <w:bookmarkStart w:id="95" w:name="_Toc24409"/>
      <w:bookmarkStart w:id="96" w:name="_Toc514167232"/>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5</w:t>
      </w:r>
      <w:r>
        <w:rPr>
          <w:rFonts w:eastAsia="仿宋_GB2312"/>
          <w:color w:val="0D0D0D" w:themeColor="text1" w:themeTint="F2"/>
          <w:sz w:val="28"/>
          <w:szCs w:val="28"/>
          <w:highlight w:val="none"/>
          <w14:textFill>
            <w14:solidFill>
              <w14:schemeClr w14:val="tx1">
                <w14:lumMod w14:val="95000"/>
                <w14:lumOff w14:val="5000"/>
              </w14:schemeClr>
            </w14:solidFill>
          </w14:textFill>
        </w:rPr>
        <w:t>.3 强化环境空气监测体系</w:t>
      </w:r>
      <w:bookmarkEnd w:id="94"/>
      <w:bookmarkEnd w:id="95"/>
      <w:bookmarkEnd w:id="96"/>
      <w:r>
        <w:rPr>
          <w:rFonts w:eastAsia="仿宋_GB2312"/>
          <w:color w:val="0D0D0D" w:themeColor="text1" w:themeTint="F2"/>
          <w:sz w:val="28"/>
          <w:szCs w:val="28"/>
          <w:highlight w:val="none"/>
          <w14:textFill>
            <w14:solidFill>
              <w14:schemeClr w14:val="tx1">
                <w14:lumMod w14:val="95000"/>
                <w14:lumOff w14:val="5000"/>
              </w14:schemeClr>
            </w14:solidFill>
          </w14:textFill>
        </w:rPr>
        <w:tab/>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97" w:name="_Toc390953736"/>
      <w:bookmarkStart w:id="98" w:name="_Toc514167233"/>
      <w:bookmarkStart w:id="99" w:name="_Toc39133162"/>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.3.1 完善环境空气质量自动监测站网</w:t>
      </w:r>
      <w:bookmarkEnd w:id="97"/>
      <w:bookmarkEnd w:id="98"/>
      <w:bookmarkEnd w:id="99"/>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充分考虑一类功能区保护的基本要求，在现有站网的基础上，结合功能区调整实际情况，对监测站点的优化及增设，并建立完善的环境空气自动监控网络。</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100" w:name="_Toc390953737"/>
      <w:bookmarkStart w:id="101" w:name="_Toc514167234"/>
      <w:bookmarkStart w:id="102" w:name="_Toc39133163"/>
      <w:r>
        <w:rPr>
          <w:color w:val="0D0D0D" w:themeColor="text1" w:themeTint="F2"/>
          <w:sz w:val="28"/>
          <w:szCs w:val="28"/>
          <w:highlight w:val="none"/>
          <w14:textFill>
            <w14:solidFill>
              <w14:schemeClr w14:val="tx1">
                <w14:lumMod w14:val="95000"/>
                <w14:lumOff w14:val="5000"/>
              </w14:schemeClr>
            </w14:solidFill>
          </w14:textFill>
        </w:rPr>
        <w:t>5.3.2 提升污染源监测能力</w:t>
      </w:r>
      <w:bookmarkEnd w:id="100"/>
      <w:bookmarkEnd w:id="101"/>
      <w:bookmarkEnd w:id="102"/>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在大气固定源监测方面，加强重点企业的大气污染源监测，逐步建立VOC</w:t>
      </w:r>
      <w:r>
        <w:rPr>
          <w:color w:val="0D0D0D" w:themeColor="text1" w:themeTint="F2"/>
          <w:szCs w:val="28"/>
          <w:highlight w:val="none"/>
          <w:vertAlign w:val="subscript"/>
          <w14:textFill>
            <w14:solidFill>
              <w14:schemeClr w14:val="tx1">
                <w14:lumMod w14:val="95000"/>
                <w14:lumOff w14:val="5000"/>
              </w14:schemeClr>
            </w14:solidFill>
          </w14:textFill>
        </w:rPr>
        <w:t>S</w:t>
      </w:r>
      <w:r>
        <w:rPr>
          <w:color w:val="0D0D0D" w:themeColor="text1" w:themeTint="F2"/>
          <w:szCs w:val="28"/>
          <w:highlight w:val="none"/>
          <w14:textFill>
            <w14:solidFill>
              <w14:schemeClr w14:val="tx1">
                <w14:lumMod w14:val="95000"/>
                <w14:lumOff w14:val="5000"/>
              </w14:schemeClr>
            </w14:solidFill>
          </w14:textFill>
        </w:rPr>
        <w:t>在线监测监控，全面开展LDAR体系建设，完善涉气刷卡排污系统的运行和监管。在大气移动源监测方面，建立机动车环保信息管理平台，与公安等部门的数据库联网，提高机动车排气监管的信息化水平。</w:t>
      </w:r>
    </w:p>
    <w:p>
      <w:pPr>
        <w:pStyle w:val="3"/>
        <w:rPr>
          <w:rFonts w:eastAsia="仿宋_GB2312"/>
          <w:color w:val="0D0D0D" w:themeColor="text1" w:themeTint="F2"/>
          <w:sz w:val="28"/>
          <w:szCs w:val="28"/>
          <w:highlight w:val="none"/>
          <w14:textFill>
            <w14:solidFill>
              <w14:schemeClr w14:val="tx1">
                <w14:lumMod w14:val="95000"/>
                <w14:lumOff w14:val="5000"/>
              </w14:schemeClr>
            </w14:solidFill>
          </w14:textFill>
        </w:rPr>
      </w:pPr>
      <w:bookmarkStart w:id="103" w:name="_Toc391110642"/>
      <w:bookmarkStart w:id="104" w:name="_Toc14441"/>
      <w:bookmarkStart w:id="105" w:name="_Toc341177839"/>
      <w:bookmarkStart w:id="106" w:name="_Toc514167235"/>
      <w:bookmarkStart w:id="107" w:name="_Toc39133164"/>
      <w:r>
        <w:rPr>
          <w:rFonts w:hint="eastAsia" w:eastAsia="仿宋_GB2312"/>
          <w:color w:val="0D0D0D" w:themeColor="text1" w:themeTint="F2"/>
          <w:sz w:val="28"/>
          <w:szCs w:val="28"/>
          <w:highlight w:val="none"/>
          <w14:textFill>
            <w14:solidFill>
              <w14:schemeClr w14:val="tx1">
                <w14:lumMod w14:val="95000"/>
                <w14:lumOff w14:val="5000"/>
              </w14:schemeClr>
            </w14:solidFill>
          </w14:textFill>
        </w:rPr>
        <w:t>5</w:t>
      </w:r>
      <w:r>
        <w:rPr>
          <w:rFonts w:eastAsia="仿宋_GB2312"/>
          <w:color w:val="0D0D0D" w:themeColor="text1" w:themeTint="F2"/>
          <w:sz w:val="28"/>
          <w:szCs w:val="28"/>
          <w:highlight w:val="none"/>
          <w14:textFill>
            <w14:solidFill>
              <w14:schemeClr w14:val="tx1">
                <w14:lumMod w14:val="95000"/>
                <w14:lumOff w14:val="5000"/>
              </w14:schemeClr>
            </w14:solidFill>
          </w14:textFill>
        </w:rPr>
        <w:t>.4 完善保障机制</w:t>
      </w:r>
      <w:bookmarkEnd w:id="103"/>
      <w:bookmarkEnd w:id="104"/>
      <w:bookmarkEnd w:id="105"/>
      <w:bookmarkEnd w:id="106"/>
      <w:bookmarkEnd w:id="107"/>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108" w:name="_Toc514167236"/>
      <w:bookmarkStart w:id="109" w:name="_Toc39133165"/>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.4.1 加强组织领导</w:t>
      </w:r>
      <w:bookmarkEnd w:id="108"/>
      <w:bookmarkEnd w:id="109"/>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成立大气污染防治工作领导小组，切实加强大气污染防治工作的组织领导，制定实施大气污染防治年度计划。</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110" w:name="_Toc39133166"/>
      <w:bookmarkStart w:id="111" w:name="_Toc514167237"/>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.4.2 严格督查考核</w:t>
      </w:r>
      <w:bookmarkEnd w:id="110"/>
      <w:bookmarkEnd w:id="111"/>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制定大气污染防治行动推进机制，将目标任务层层分解落实到各部门、乡镇</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街道</w:t>
      </w:r>
      <w:r>
        <w:rPr>
          <w:rFonts w:hint="eastAsia"/>
          <w:color w:val="0D0D0D" w:themeColor="text1" w:themeTint="F2"/>
          <w:szCs w:val="28"/>
          <w:highlight w:val="none"/>
          <w:lang w:eastAsia="zh-CN"/>
          <w14:textFill>
            <w14:solidFill>
              <w14:schemeClr w14:val="tx1">
                <w14:lumMod w14:val="95000"/>
                <w14:lumOff w14:val="5000"/>
              </w14:schemeClr>
            </w14:solidFill>
          </w14:textFill>
        </w:rPr>
        <w:t>)</w:t>
      </w:r>
      <w:r>
        <w:rPr>
          <w:color w:val="0D0D0D" w:themeColor="text1" w:themeTint="F2"/>
          <w:szCs w:val="28"/>
          <w:highlight w:val="none"/>
          <w14:textFill>
            <w14:solidFill>
              <w14:schemeClr w14:val="tx1">
                <w14:lumMod w14:val="95000"/>
                <w14:lumOff w14:val="5000"/>
              </w14:schemeClr>
            </w14:solidFill>
          </w14:textFill>
        </w:rPr>
        <w:t>。严格实施《环境空气质量管理考核办法》，考核结果纳入政府年终综合考核，考核结果要公开发布，接受公众监督。</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112" w:name="_Toc39133167"/>
      <w:bookmarkStart w:id="113" w:name="_Toc514167238"/>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.4.3 强化激励机制</w:t>
      </w:r>
      <w:bookmarkEnd w:id="112"/>
      <w:bookmarkEnd w:id="113"/>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 xml:space="preserve"> 创新有利于大气污染防治的财政、物价、信贷、用地等政策措施，建立政府、企业、社会多元化投资机制，拓宽融资渠道，多方筹措污染防治资金。在积极争取中央、省、市财政专项资金支持外，区财政统筹安排资金，加大对大气污染防治能力建设、重点示范工程建设和重大科研攻关项目等支持。</w:t>
      </w:r>
    </w:p>
    <w:p>
      <w:pPr>
        <w:pStyle w:val="4"/>
        <w:spacing w:before="0" w:after="0" w:line="360" w:lineRule="auto"/>
        <w:rPr>
          <w:color w:val="0D0D0D" w:themeColor="text1" w:themeTint="F2"/>
          <w:sz w:val="28"/>
          <w:szCs w:val="28"/>
          <w:highlight w:val="none"/>
          <w14:textFill>
            <w14:solidFill>
              <w14:schemeClr w14:val="tx1">
                <w14:lumMod w14:val="95000"/>
                <w14:lumOff w14:val="5000"/>
              </w14:schemeClr>
            </w14:solidFill>
          </w14:textFill>
        </w:rPr>
      </w:pPr>
      <w:bookmarkStart w:id="114" w:name="_Toc514167239"/>
      <w:bookmarkStart w:id="115" w:name="_Toc39133168"/>
      <w:r>
        <w:rPr>
          <w:rFonts w:hint="eastAsia"/>
          <w:color w:val="0D0D0D" w:themeColor="text1" w:themeTint="F2"/>
          <w:sz w:val="28"/>
          <w:szCs w:val="28"/>
          <w:highlight w:val="none"/>
          <w14:textFill>
            <w14:solidFill>
              <w14:schemeClr w14:val="tx1">
                <w14:lumMod w14:val="95000"/>
                <w14:lumOff w14:val="5000"/>
              </w14:schemeClr>
            </w14:solidFill>
          </w14:textFill>
        </w:rPr>
        <w:t>5</w:t>
      </w:r>
      <w:r>
        <w:rPr>
          <w:color w:val="0D0D0D" w:themeColor="text1" w:themeTint="F2"/>
          <w:sz w:val="28"/>
          <w:szCs w:val="28"/>
          <w:highlight w:val="none"/>
          <w14:textFill>
            <w14:solidFill>
              <w14:schemeClr w14:val="tx1">
                <w14:lumMod w14:val="95000"/>
                <w14:lumOff w14:val="5000"/>
              </w14:schemeClr>
            </w14:solidFill>
          </w14:textFill>
        </w:rPr>
        <w:t>.4.4 加强科技支持</w:t>
      </w:r>
      <w:bookmarkEnd w:id="114"/>
      <w:bookmarkEnd w:id="115"/>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r>
        <w:rPr>
          <w:color w:val="0D0D0D" w:themeColor="text1" w:themeTint="F2"/>
          <w:szCs w:val="28"/>
          <w:highlight w:val="none"/>
          <w14:textFill>
            <w14:solidFill>
              <w14:schemeClr w14:val="tx1">
                <w14:lumMod w14:val="95000"/>
                <w14:lumOff w14:val="5000"/>
              </w14:schemeClr>
            </w14:solidFill>
          </w14:textFill>
        </w:rPr>
        <w:t>加强区域大气复合污染特征、形成机制、来源分析、健康影响、大气污染预报和治理技术等方面的研究。大力引进培养新兴产业、生态环保产业的高层次创新人才和团队。发展环保公共科技创新服务平台，积极开发推广脱硫脱硝、高效除尘、VOCs治理等关键技术，创新发展清洁能源，大力发展环保产业，以重点示范工程建设带动重点行业节能环保水平提升。</w:t>
      </w:r>
    </w:p>
    <w:p>
      <w:pPr>
        <w:spacing w:line="360" w:lineRule="auto"/>
        <w:ind w:firstLine="560" w:firstLineChars="200"/>
        <w:rPr>
          <w:color w:val="0D0D0D" w:themeColor="text1" w:themeTint="F2"/>
          <w:szCs w:val="28"/>
          <w:highlight w:val="none"/>
          <w14:textFill>
            <w14:solidFill>
              <w14:schemeClr w14:val="tx1">
                <w14:lumMod w14:val="95000"/>
                <w14:lumOff w14:val="5000"/>
              </w14:schemeClr>
            </w14:solidFill>
          </w14:textFill>
        </w:rPr>
      </w:pPr>
    </w:p>
    <w:sectPr>
      <w:pgSz w:w="11907" w:h="16840"/>
      <w:pgMar w:top="1440" w:right="1800" w:bottom="1440" w:left="1800"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01"/>
    <w:family w:val="auto"/>
    <w:pitch w:val="default"/>
    <w:sig w:usb0="E10002FF" w:usb1="4000ACFF" w:usb2="00000009" w:usb3="00000000" w:csb0="2000019F"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5678952"/>
                          </w:sdtPr>
                          <w:sdtContent>
                            <w:p>
                              <w:pPr>
                                <w:pStyle w:val="11"/>
                                <w:spacing w:line="240" w:lineRule="auto"/>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385678952"/>
                    </w:sdtPr>
                    <w:sdtContent>
                      <w:p>
                        <w:pPr>
                          <w:pStyle w:val="11"/>
                          <w:spacing w:line="240" w:lineRule="auto"/>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spacing w:line="240" w:lineRule="auto"/>
      </w:pPr>
      <w:r>
        <w:rPr>
          <w:rStyle w:val="25"/>
        </w:rPr>
        <w:footnoteRef/>
      </w:r>
      <w:r>
        <w:rPr>
          <w:rFonts w:hint="eastAsia"/>
          <w:sz w:val="21"/>
          <w:szCs w:val="21"/>
        </w:rPr>
        <w:t xml:space="preserve"> </w:t>
      </w:r>
      <w:r>
        <w:rPr>
          <w:rFonts w:hint="eastAsia"/>
          <w:sz w:val="22"/>
          <w:szCs w:val="21"/>
        </w:rPr>
        <w:t>《</w:t>
      </w:r>
      <w:r>
        <w:rPr>
          <w:rFonts w:hint="eastAsia"/>
          <w:sz w:val="16"/>
          <w:szCs w:val="21"/>
        </w:rPr>
        <w:t>环境空气质量功能区划分原则与技术方法》</w:t>
      </w:r>
      <w:r>
        <w:rPr>
          <w:rFonts w:hint="eastAsia"/>
          <w:sz w:val="16"/>
          <w:szCs w:val="21"/>
          <w:lang w:eastAsia="zh-CN"/>
        </w:rPr>
        <w:t>(</w:t>
      </w:r>
      <w:r>
        <w:rPr>
          <w:rFonts w:hint="eastAsia"/>
          <w:sz w:val="16"/>
          <w:szCs w:val="21"/>
        </w:rPr>
        <w:t>HJ14-1996</w:t>
      </w:r>
      <w:r>
        <w:rPr>
          <w:rFonts w:hint="eastAsia"/>
          <w:sz w:val="16"/>
          <w:szCs w:val="21"/>
          <w:lang w:eastAsia="zh-CN"/>
        </w:rPr>
        <w:t>)</w:t>
      </w:r>
      <w:r>
        <w:rPr>
          <w:rFonts w:hint="eastAsia"/>
          <w:sz w:val="16"/>
          <w:szCs w:val="21"/>
        </w:rPr>
        <w:t>中提到一般情况下一类区与三类区之间的缓冲带宽度不小于500米，其他类别功能区之间的缓冲带宽度不小于300米。缓冲带内环境空气质量应向要求高的区域靠</w:t>
      </w:r>
      <w:r>
        <w:rPr>
          <w:rFonts w:hint="eastAsia"/>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oNotDisplayPageBoundaries w:val="1"/>
  <w:bordersDoNotSurroundHeader w:val="0"/>
  <w:bordersDoNotSurroundFooter w:val="0"/>
  <w:documentProtection w:enforcement="0"/>
  <w:defaultTabStop w:val="420"/>
  <w:drawingGridHorizontalSpacing w:val="287"/>
  <w:drawingGridVerticalSpacing w:val="38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1F"/>
    <w:rsid w:val="00000AC0"/>
    <w:rsid w:val="000011B7"/>
    <w:rsid w:val="0000184C"/>
    <w:rsid w:val="00001A24"/>
    <w:rsid w:val="0000227E"/>
    <w:rsid w:val="0000257D"/>
    <w:rsid w:val="00002963"/>
    <w:rsid w:val="00002984"/>
    <w:rsid w:val="000032C3"/>
    <w:rsid w:val="0000493B"/>
    <w:rsid w:val="000068BF"/>
    <w:rsid w:val="00006A30"/>
    <w:rsid w:val="00007ED0"/>
    <w:rsid w:val="000123F4"/>
    <w:rsid w:val="000127AE"/>
    <w:rsid w:val="00012C05"/>
    <w:rsid w:val="00012F34"/>
    <w:rsid w:val="000134CB"/>
    <w:rsid w:val="0001351A"/>
    <w:rsid w:val="00014A83"/>
    <w:rsid w:val="000152DE"/>
    <w:rsid w:val="00015958"/>
    <w:rsid w:val="000162A9"/>
    <w:rsid w:val="000176F4"/>
    <w:rsid w:val="00017F3F"/>
    <w:rsid w:val="000204AB"/>
    <w:rsid w:val="0002192C"/>
    <w:rsid w:val="00021B81"/>
    <w:rsid w:val="00023F36"/>
    <w:rsid w:val="00024AC6"/>
    <w:rsid w:val="0002526A"/>
    <w:rsid w:val="00025591"/>
    <w:rsid w:val="00025ED8"/>
    <w:rsid w:val="000265CB"/>
    <w:rsid w:val="000270B9"/>
    <w:rsid w:val="00027717"/>
    <w:rsid w:val="00027797"/>
    <w:rsid w:val="0003075C"/>
    <w:rsid w:val="00033B8E"/>
    <w:rsid w:val="00036131"/>
    <w:rsid w:val="0003760A"/>
    <w:rsid w:val="0003782B"/>
    <w:rsid w:val="000379E9"/>
    <w:rsid w:val="00041CE8"/>
    <w:rsid w:val="00044F15"/>
    <w:rsid w:val="0004603D"/>
    <w:rsid w:val="000466DC"/>
    <w:rsid w:val="000468BE"/>
    <w:rsid w:val="00046F36"/>
    <w:rsid w:val="0004708E"/>
    <w:rsid w:val="00047BF2"/>
    <w:rsid w:val="00050E7A"/>
    <w:rsid w:val="00051473"/>
    <w:rsid w:val="0005193F"/>
    <w:rsid w:val="00051B09"/>
    <w:rsid w:val="00051BAD"/>
    <w:rsid w:val="00052060"/>
    <w:rsid w:val="00052CE3"/>
    <w:rsid w:val="000530C7"/>
    <w:rsid w:val="00053E74"/>
    <w:rsid w:val="00054562"/>
    <w:rsid w:val="0005490E"/>
    <w:rsid w:val="00056065"/>
    <w:rsid w:val="00056F12"/>
    <w:rsid w:val="0005743F"/>
    <w:rsid w:val="00060DC1"/>
    <w:rsid w:val="0006377D"/>
    <w:rsid w:val="000639C7"/>
    <w:rsid w:val="00064010"/>
    <w:rsid w:val="00064052"/>
    <w:rsid w:val="00064265"/>
    <w:rsid w:val="00064354"/>
    <w:rsid w:val="0006472E"/>
    <w:rsid w:val="00065048"/>
    <w:rsid w:val="000651E5"/>
    <w:rsid w:val="00066B95"/>
    <w:rsid w:val="000716AC"/>
    <w:rsid w:val="00071883"/>
    <w:rsid w:val="0007285F"/>
    <w:rsid w:val="00072A26"/>
    <w:rsid w:val="00072CEA"/>
    <w:rsid w:val="00073B21"/>
    <w:rsid w:val="00074C68"/>
    <w:rsid w:val="0007529F"/>
    <w:rsid w:val="000757A8"/>
    <w:rsid w:val="00075C5C"/>
    <w:rsid w:val="00076610"/>
    <w:rsid w:val="00076F14"/>
    <w:rsid w:val="000770DB"/>
    <w:rsid w:val="00077189"/>
    <w:rsid w:val="0007741A"/>
    <w:rsid w:val="00077672"/>
    <w:rsid w:val="00077763"/>
    <w:rsid w:val="000777E0"/>
    <w:rsid w:val="000826DE"/>
    <w:rsid w:val="0008414A"/>
    <w:rsid w:val="000843E3"/>
    <w:rsid w:val="00085592"/>
    <w:rsid w:val="00086424"/>
    <w:rsid w:val="0008721C"/>
    <w:rsid w:val="00087D57"/>
    <w:rsid w:val="000910F8"/>
    <w:rsid w:val="000911FB"/>
    <w:rsid w:val="0009166B"/>
    <w:rsid w:val="0009372B"/>
    <w:rsid w:val="000975BD"/>
    <w:rsid w:val="000A060A"/>
    <w:rsid w:val="000A2CF2"/>
    <w:rsid w:val="000A2E40"/>
    <w:rsid w:val="000A330D"/>
    <w:rsid w:val="000A434C"/>
    <w:rsid w:val="000A441D"/>
    <w:rsid w:val="000A4766"/>
    <w:rsid w:val="000A4EBE"/>
    <w:rsid w:val="000A5237"/>
    <w:rsid w:val="000A6270"/>
    <w:rsid w:val="000A75CF"/>
    <w:rsid w:val="000A7C0F"/>
    <w:rsid w:val="000B18A8"/>
    <w:rsid w:val="000B1AF5"/>
    <w:rsid w:val="000B1DBA"/>
    <w:rsid w:val="000B2179"/>
    <w:rsid w:val="000B323C"/>
    <w:rsid w:val="000B3485"/>
    <w:rsid w:val="000B47FE"/>
    <w:rsid w:val="000B6560"/>
    <w:rsid w:val="000B6D80"/>
    <w:rsid w:val="000B7186"/>
    <w:rsid w:val="000B7C26"/>
    <w:rsid w:val="000B7EED"/>
    <w:rsid w:val="000C0763"/>
    <w:rsid w:val="000C15A1"/>
    <w:rsid w:val="000C1FB6"/>
    <w:rsid w:val="000C2792"/>
    <w:rsid w:val="000C4A53"/>
    <w:rsid w:val="000C4F62"/>
    <w:rsid w:val="000C5BB6"/>
    <w:rsid w:val="000C622A"/>
    <w:rsid w:val="000C67C6"/>
    <w:rsid w:val="000C6826"/>
    <w:rsid w:val="000C69F2"/>
    <w:rsid w:val="000C7543"/>
    <w:rsid w:val="000D0844"/>
    <w:rsid w:val="000D126B"/>
    <w:rsid w:val="000D1A41"/>
    <w:rsid w:val="000D28ED"/>
    <w:rsid w:val="000D2FAD"/>
    <w:rsid w:val="000D3197"/>
    <w:rsid w:val="000D31A4"/>
    <w:rsid w:val="000D3DEF"/>
    <w:rsid w:val="000D3E54"/>
    <w:rsid w:val="000D468A"/>
    <w:rsid w:val="000D4E11"/>
    <w:rsid w:val="000D4ED3"/>
    <w:rsid w:val="000D56CF"/>
    <w:rsid w:val="000D692A"/>
    <w:rsid w:val="000D6B06"/>
    <w:rsid w:val="000D6D74"/>
    <w:rsid w:val="000D7485"/>
    <w:rsid w:val="000D7510"/>
    <w:rsid w:val="000D7C9F"/>
    <w:rsid w:val="000E00C4"/>
    <w:rsid w:val="000E0D63"/>
    <w:rsid w:val="000E214D"/>
    <w:rsid w:val="000E2442"/>
    <w:rsid w:val="000E2827"/>
    <w:rsid w:val="000E2E1C"/>
    <w:rsid w:val="000E3165"/>
    <w:rsid w:val="000E349C"/>
    <w:rsid w:val="000E38AD"/>
    <w:rsid w:val="000E40DD"/>
    <w:rsid w:val="000E4444"/>
    <w:rsid w:val="000E4B54"/>
    <w:rsid w:val="000E770D"/>
    <w:rsid w:val="000E7C29"/>
    <w:rsid w:val="000F0478"/>
    <w:rsid w:val="000F1BF2"/>
    <w:rsid w:val="000F2751"/>
    <w:rsid w:val="000F370A"/>
    <w:rsid w:val="000F4AF0"/>
    <w:rsid w:val="000F582C"/>
    <w:rsid w:val="000F5F2E"/>
    <w:rsid w:val="000F6194"/>
    <w:rsid w:val="000F6FC2"/>
    <w:rsid w:val="000F71EE"/>
    <w:rsid w:val="000F7838"/>
    <w:rsid w:val="000F7C5B"/>
    <w:rsid w:val="001005AA"/>
    <w:rsid w:val="0010123B"/>
    <w:rsid w:val="001015E2"/>
    <w:rsid w:val="00101942"/>
    <w:rsid w:val="0010209B"/>
    <w:rsid w:val="0010241D"/>
    <w:rsid w:val="00102679"/>
    <w:rsid w:val="0010278E"/>
    <w:rsid w:val="00103997"/>
    <w:rsid w:val="00104066"/>
    <w:rsid w:val="00104F5F"/>
    <w:rsid w:val="0010592C"/>
    <w:rsid w:val="001069C3"/>
    <w:rsid w:val="001073AD"/>
    <w:rsid w:val="001073E0"/>
    <w:rsid w:val="0010763A"/>
    <w:rsid w:val="00107F42"/>
    <w:rsid w:val="00110DFD"/>
    <w:rsid w:val="001117D0"/>
    <w:rsid w:val="001154D5"/>
    <w:rsid w:val="00115AEC"/>
    <w:rsid w:val="00116085"/>
    <w:rsid w:val="00117B24"/>
    <w:rsid w:val="00117B2E"/>
    <w:rsid w:val="00117EFE"/>
    <w:rsid w:val="0012089C"/>
    <w:rsid w:val="00120B04"/>
    <w:rsid w:val="00121979"/>
    <w:rsid w:val="00121CD5"/>
    <w:rsid w:val="001222FA"/>
    <w:rsid w:val="001225EB"/>
    <w:rsid w:val="00122D67"/>
    <w:rsid w:val="001246E4"/>
    <w:rsid w:val="00124BFF"/>
    <w:rsid w:val="00125674"/>
    <w:rsid w:val="00125B08"/>
    <w:rsid w:val="00125B52"/>
    <w:rsid w:val="00127253"/>
    <w:rsid w:val="0012753B"/>
    <w:rsid w:val="00130CE2"/>
    <w:rsid w:val="00131067"/>
    <w:rsid w:val="00131B31"/>
    <w:rsid w:val="00132E64"/>
    <w:rsid w:val="001351BE"/>
    <w:rsid w:val="00135826"/>
    <w:rsid w:val="00135B58"/>
    <w:rsid w:val="00135FE9"/>
    <w:rsid w:val="001368F8"/>
    <w:rsid w:val="00136D33"/>
    <w:rsid w:val="00136D83"/>
    <w:rsid w:val="00137115"/>
    <w:rsid w:val="00140B83"/>
    <w:rsid w:val="00140DD6"/>
    <w:rsid w:val="00140E97"/>
    <w:rsid w:val="00141298"/>
    <w:rsid w:val="00142780"/>
    <w:rsid w:val="00142E56"/>
    <w:rsid w:val="001430B3"/>
    <w:rsid w:val="00144D7D"/>
    <w:rsid w:val="0014606F"/>
    <w:rsid w:val="001466A8"/>
    <w:rsid w:val="00146985"/>
    <w:rsid w:val="00146E3E"/>
    <w:rsid w:val="0014708B"/>
    <w:rsid w:val="00147783"/>
    <w:rsid w:val="001509FF"/>
    <w:rsid w:val="001510D3"/>
    <w:rsid w:val="001517C0"/>
    <w:rsid w:val="00151CD4"/>
    <w:rsid w:val="00152DA1"/>
    <w:rsid w:val="00153CC6"/>
    <w:rsid w:val="001540EE"/>
    <w:rsid w:val="001551B0"/>
    <w:rsid w:val="00155C59"/>
    <w:rsid w:val="00156025"/>
    <w:rsid w:val="00156735"/>
    <w:rsid w:val="0015726B"/>
    <w:rsid w:val="00157F72"/>
    <w:rsid w:val="001610FD"/>
    <w:rsid w:val="00161E83"/>
    <w:rsid w:val="00162304"/>
    <w:rsid w:val="0016249E"/>
    <w:rsid w:val="00162ABA"/>
    <w:rsid w:val="001630B2"/>
    <w:rsid w:val="00163B91"/>
    <w:rsid w:val="00163CAE"/>
    <w:rsid w:val="001643FC"/>
    <w:rsid w:val="0016444A"/>
    <w:rsid w:val="001649F4"/>
    <w:rsid w:val="00164CF2"/>
    <w:rsid w:val="00165416"/>
    <w:rsid w:val="00166254"/>
    <w:rsid w:val="001673EB"/>
    <w:rsid w:val="001700BC"/>
    <w:rsid w:val="001709FF"/>
    <w:rsid w:val="00171024"/>
    <w:rsid w:val="001711A4"/>
    <w:rsid w:val="001719A8"/>
    <w:rsid w:val="00172351"/>
    <w:rsid w:val="001727D5"/>
    <w:rsid w:val="00172F13"/>
    <w:rsid w:val="00173B17"/>
    <w:rsid w:val="00173DED"/>
    <w:rsid w:val="001745AC"/>
    <w:rsid w:val="00175287"/>
    <w:rsid w:val="00176794"/>
    <w:rsid w:val="00176919"/>
    <w:rsid w:val="00177241"/>
    <w:rsid w:val="0018135E"/>
    <w:rsid w:val="00181486"/>
    <w:rsid w:val="00181840"/>
    <w:rsid w:val="0018408E"/>
    <w:rsid w:val="0018461C"/>
    <w:rsid w:val="00184B94"/>
    <w:rsid w:val="00184D91"/>
    <w:rsid w:val="00185134"/>
    <w:rsid w:val="00186049"/>
    <w:rsid w:val="00186184"/>
    <w:rsid w:val="001867B5"/>
    <w:rsid w:val="00186D64"/>
    <w:rsid w:val="001875B9"/>
    <w:rsid w:val="0019033A"/>
    <w:rsid w:val="00190B0B"/>
    <w:rsid w:val="00190DB7"/>
    <w:rsid w:val="001921CB"/>
    <w:rsid w:val="00192749"/>
    <w:rsid w:val="00192BBB"/>
    <w:rsid w:val="00192DF8"/>
    <w:rsid w:val="00193DCE"/>
    <w:rsid w:val="00194276"/>
    <w:rsid w:val="00195230"/>
    <w:rsid w:val="00195F2C"/>
    <w:rsid w:val="0019622C"/>
    <w:rsid w:val="001A09CA"/>
    <w:rsid w:val="001A0C19"/>
    <w:rsid w:val="001A0D8E"/>
    <w:rsid w:val="001A3754"/>
    <w:rsid w:val="001A3A87"/>
    <w:rsid w:val="001A4BD6"/>
    <w:rsid w:val="001A5BFD"/>
    <w:rsid w:val="001A60C6"/>
    <w:rsid w:val="001A62D5"/>
    <w:rsid w:val="001A68A3"/>
    <w:rsid w:val="001A7246"/>
    <w:rsid w:val="001A74B3"/>
    <w:rsid w:val="001A7BBE"/>
    <w:rsid w:val="001B0662"/>
    <w:rsid w:val="001B0754"/>
    <w:rsid w:val="001B09E1"/>
    <w:rsid w:val="001B09EF"/>
    <w:rsid w:val="001B0D34"/>
    <w:rsid w:val="001B17A9"/>
    <w:rsid w:val="001B1DFB"/>
    <w:rsid w:val="001B20DC"/>
    <w:rsid w:val="001B2901"/>
    <w:rsid w:val="001B2A6E"/>
    <w:rsid w:val="001B4195"/>
    <w:rsid w:val="001B47FD"/>
    <w:rsid w:val="001B6594"/>
    <w:rsid w:val="001B6E99"/>
    <w:rsid w:val="001C00E6"/>
    <w:rsid w:val="001C06BA"/>
    <w:rsid w:val="001C2ED0"/>
    <w:rsid w:val="001C322A"/>
    <w:rsid w:val="001C42C7"/>
    <w:rsid w:val="001C4582"/>
    <w:rsid w:val="001C4A17"/>
    <w:rsid w:val="001C4C4C"/>
    <w:rsid w:val="001C51BC"/>
    <w:rsid w:val="001C5E2C"/>
    <w:rsid w:val="001C668E"/>
    <w:rsid w:val="001C6FAC"/>
    <w:rsid w:val="001C72D4"/>
    <w:rsid w:val="001C7758"/>
    <w:rsid w:val="001C7799"/>
    <w:rsid w:val="001D108A"/>
    <w:rsid w:val="001D20C7"/>
    <w:rsid w:val="001D3861"/>
    <w:rsid w:val="001D3CCE"/>
    <w:rsid w:val="001D5CC6"/>
    <w:rsid w:val="001D624E"/>
    <w:rsid w:val="001D638F"/>
    <w:rsid w:val="001D6534"/>
    <w:rsid w:val="001D656B"/>
    <w:rsid w:val="001D70EA"/>
    <w:rsid w:val="001E066E"/>
    <w:rsid w:val="001E0AA4"/>
    <w:rsid w:val="001E1DA3"/>
    <w:rsid w:val="001E3B88"/>
    <w:rsid w:val="001E4550"/>
    <w:rsid w:val="001E676B"/>
    <w:rsid w:val="001E7057"/>
    <w:rsid w:val="001E78A9"/>
    <w:rsid w:val="001E7B1B"/>
    <w:rsid w:val="001F10DB"/>
    <w:rsid w:val="001F1605"/>
    <w:rsid w:val="001F1FC9"/>
    <w:rsid w:val="001F2067"/>
    <w:rsid w:val="001F208E"/>
    <w:rsid w:val="001F2A7E"/>
    <w:rsid w:val="001F4A8B"/>
    <w:rsid w:val="001F5566"/>
    <w:rsid w:val="001F5EA4"/>
    <w:rsid w:val="001F63E3"/>
    <w:rsid w:val="001F6902"/>
    <w:rsid w:val="001F6D97"/>
    <w:rsid w:val="001F7851"/>
    <w:rsid w:val="002007B4"/>
    <w:rsid w:val="00201A9B"/>
    <w:rsid w:val="00201B31"/>
    <w:rsid w:val="0020257F"/>
    <w:rsid w:val="0020267D"/>
    <w:rsid w:val="00203193"/>
    <w:rsid w:val="00204150"/>
    <w:rsid w:val="00204C8B"/>
    <w:rsid w:val="00204DD6"/>
    <w:rsid w:val="002055D7"/>
    <w:rsid w:val="002064CD"/>
    <w:rsid w:val="002066BD"/>
    <w:rsid w:val="00206C7B"/>
    <w:rsid w:val="0020755C"/>
    <w:rsid w:val="00207813"/>
    <w:rsid w:val="0021019D"/>
    <w:rsid w:val="0021062D"/>
    <w:rsid w:val="00210A3B"/>
    <w:rsid w:val="00211742"/>
    <w:rsid w:val="0021353C"/>
    <w:rsid w:val="002145E9"/>
    <w:rsid w:val="00214602"/>
    <w:rsid w:val="002158C8"/>
    <w:rsid w:val="00215CB4"/>
    <w:rsid w:val="00215D0D"/>
    <w:rsid w:val="00215E11"/>
    <w:rsid w:val="00216190"/>
    <w:rsid w:val="00216FA9"/>
    <w:rsid w:val="00220B98"/>
    <w:rsid w:val="002219A8"/>
    <w:rsid w:val="00221CD8"/>
    <w:rsid w:val="00222D65"/>
    <w:rsid w:val="00222E98"/>
    <w:rsid w:val="00223050"/>
    <w:rsid w:val="00225986"/>
    <w:rsid w:val="00225E49"/>
    <w:rsid w:val="002272A1"/>
    <w:rsid w:val="00230743"/>
    <w:rsid w:val="00230A98"/>
    <w:rsid w:val="00230B7E"/>
    <w:rsid w:val="00230DE4"/>
    <w:rsid w:val="00230E9E"/>
    <w:rsid w:val="00230EFC"/>
    <w:rsid w:val="00232B00"/>
    <w:rsid w:val="00233EC7"/>
    <w:rsid w:val="00234287"/>
    <w:rsid w:val="002349A2"/>
    <w:rsid w:val="0023688C"/>
    <w:rsid w:val="00236A1B"/>
    <w:rsid w:val="00236EF6"/>
    <w:rsid w:val="0023774C"/>
    <w:rsid w:val="00237A8C"/>
    <w:rsid w:val="00237B9D"/>
    <w:rsid w:val="002400E0"/>
    <w:rsid w:val="002404D2"/>
    <w:rsid w:val="00240869"/>
    <w:rsid w:val="00243B4F"/>
    <w:rsid w:val="00244EDF"/>
    <w:rsid w:val="00244FCA"/>
    <w:rsid w:val="00245DA4"/>
    <w:rsid w:val="00245DC6"/>
    <w:rsid w:val="00247389"/>
    <w:rsid w:val="002475B9"/>
    <w:rsid w:val="00250535"/>
    <w:rsid w:val="002535D4"/>
    <w:rsid w:val="00254165"/>
    <w:rsid w:val="00255315"/>
    <w:rsid w:val="00255AD5"/>
    <w:rsid w:val="00256D99"/>
    <w:rsid w:val="00256F58"/>
    <w:rsid w:val="0025767A"/>
    <w:rsid w:val="002576EB"/>
    <w:rsid w:val="0025789F"/>
    <w:rsid w:val="00257CBD"/>
    <w:rsid w:val="0026028A"/>
    <w:rsid w:val="002604E3"/>
    <w:rsid w:val="00260783"/>
    <w:rsid w:val="002609F4"/>
    <w:rsid w:val="00261CB4"/>
    <w:rsid w:val="002625A2"/>
    <w:rsid w:val="00262B04"/>
    <w:rsid w:val="0026308D"/>
    <w:rsid w:val="002634B4"/>
    <w:rsid w:val="002634C3"/>
    <w:rsid w:val="00263647"/>
    <w:rsid w:val="002641F2"/>
    <w:rsid w:val="002654CD"/>
    <w:rsid w:val="0026637C"/>
    <w:rsid w:val="0026697A"/>
    <w:rsid w:val="00266A09"/>
    <w:rsid w:val="00266DE0"/>
    <w:rsid w:val="0026759A"/>
    <w:rsid w:val="00267BF5"/>
    <w:rsid w:val="002718FD"/>
    <w:rsid w:val="002732E4"/>
    <w:rsid w:val="002744A1"/>
    <w:rsid w:val="0027501B"/>
    <w:rsid w:val="00275266"/>
    <w:rsid w:val="002756C9"/>
    <w:rsid w:val="00276E59"/>
    <w:rsid w:val="00277441"/>
    <w:rsid w:val="00277A8D"/>
    <w:rsid w:val="00280995"/>
    <w:rsid w:val="00280A19"/>
    <w:rsid w:val="00280D72"/>
    <w:rsid w:val="00280F48"/>
    <w:rsid w:val="00283E70"/>
    <w:rsid w:val="00284585"/>
    <w:rsid w:val="00284D43"/>
    <w:rsid w:val="002855E6"/>
    <w:rsid w:val="00285E40"/>
    <w:rsid w:val="00285F9D"/>
    <w:rsid w:val="00286CE2"/>
    <w:rsid w:val="002870BA"/>
    <w:rsid w:val="00287D8D"/>
    <w:rsid w:val="0029012C"/>
    <w:rsid w:val="00291587"/>
    <w:rsid w:val="002919F3"/>
    <w:rsid w:val="00291E1D"/>
    <w:rsid w:val="00292A55"/>
    <w:rsid w:val="00293023"/>
    <w:rsid w:val="00295FB3"/>
    <w:rsid w:val="00297BCD"/>
    <w:rsid w:val="00297DFD"/>
    <w:rsid w:val="00297FC4"/>
    <w:rsid w:val="002A0942"/>
    <w:rsid w:val="002A0B87"/>
    <w:rsid w:val="002A3105"/>
    <w:rsid w:val="002A3593"/>
    <w:rsid w:val="002A44D7"/>
    <w:rsid w:val="002A4B12"/>
    <w:rsid w:val="002A5641"/>
    <w:rsid w:val="002A59E5"/>
    <w:rsid w:val="002B0050"/>
    <w:rsid w:val="002B0402"/>
    <w:rsid w:val="002B0437"/>
    <w:rsid w:val="002B0D08"/>
    <w:rsid w:val="002B22AF"/>
    <w:rsid w:val="002B2BA5"/>
    <w:rsid w:val="002B2BF6"/>
    <w:rsid w:val="002B2EA2"/>
    <w:rsid w:val="002B3BE0"/>
    <w:rsid w:val="002B3ED1"/>
    <w:rsid w:val="002C0C51"/>
    <w:rsid w:val="002C0FAF"/>
    <w:rsid w:val="002C19C3"/>
    <w:rsid w:val="002C234C"/>
    <w:rsid w:val="002C26A3"/>
    <w:rsid w:val="002C26A5"/>
    <w:rsid w:val="002C2AE5"/>
    <w:rsid w:val="002C2BA1"/>
    <w:rsid w:val="002C437D"/>
    <w:rsid w:val="002C4388"/>
    <w:rsid w:val="002C449B"/>
    <w:rsid w:val="002C50F0"/>
    <w:rsid w:val="002C53CF"/>
    <w:rsid w:val="002C6BEC"/>
    <w:rsid w:val="002C6E8C"/>
    <w:rsid w:val="002C7AB3"/>
    <w:rsid w:val="002D1352"/>
    <w:rsid w:val="002D271C"/>
    <w:rsid w:val="002D2E0A"/>
    <w:rsid w:val="002D3316"/>
    <w:rsid w:val="002D3B1E"/>
    <w:rsid w:val="002D3DA8"/>
    <w:rsid w:val="002D4A1E"/>
    <w:rsid w:val="002D4EE4"/>
    <w:rsid w:val="002D4F67"/>
    <w:rsid w:val="002D561F"/>
    <w:rsid w:val="002D5654"/>
    <w:rsid w:val="002D5BB2"/>
    <w:rsid w:val="002D62AD"/>
    <w:rsid w:val="002D683B"/>
    <w:rsid w:val="002D6F09"/>
    <w:rsid w:val="002D74CC"/>
    <w:rsid w:val="002D7638"/>
    <w:rsid w:val="002E009E"/>
    <w:rsid w:val="002E1211"/>
    <w:rsid w:val="002E1AA8"/>
    <w:rsid w:val="002E1D27"/>
    <w:rsid w:val="002E3B32"/>
    <w:rsid w:val="002E4C02"/>
    <w:rsid w:val="002E4FAD"/>
    <w:rsid w:val="002E5BD1"/>
    <w:rsid w:val="002E5D78"/>
    <w:rsid w:val="002E6CA8"/>
    <w:rsid w:val="002E6DF0"/>
    <w:rsid w:val="002E7165"/>
    <w:rsid w:val="002E73D0"/>
    <w:rsid w:val="002E799D"/>
    <w:rsid w:val="002F1B45"/>
    <w:rsid w:val="002F2198"/>
    <w:rsid w:val="002F21A7"/>
    <w:rsid w:val="002F2AD2"/>
    <w:rsid w:val="002F2D11"/>
    <w:rsid w:val="002F2D60"/>
    <w:rsid w:val="002F32A4"/>
    <w:rsid w:val="002F33BB"/>
    <w:rsid w:val="002F3CAF"/>
    <w:rsid w:val="002F4E0F"/>
    <w:rsid w:val="002F4E89"/>
    <w:rsid w:val="002F5590"/>
    <w:rsid w:val="002F5DC3"/>
    <w:rsid w:val="002F660E"/>
    <w:rsid w:val="002F66B4"/>
    <w:rsid w:val="002F66EA"/>
    <w:rsid w:val="002F6DD3"/>
    <w:rsid w:val="002F73D0"/>
    <w:rsid w:val="002F76B8"/>
    <w:rsid w:val="003002F6"/>
    <w:rsid w:val="00300A70"/>
    <w:rsid w:val="00301049"/>
    <w:rsid w:val="0030171A"/>
    <w:rsid w:val="00301A44"/>
    <w:rsid w:val="003030D5"/>
    <w:rsid w:val="00303798"/>
    <w:rsid w:val="00303BE2"/>
    <w:rsid w:val="00304303"/>
    <w:rsid w:val="00304E32"/>
    <w:rsid w:val="00306413"/>
    <w:rsid w:val="00306559"/>
    <w:rsid w:val="00306EB8"/>
    <w:rsid w:val="0031000D"/>
    <w:rsid w:val="00311625"/>
    <w:rsid w:val="00311DEF"/>
    <w:rsid w:val="0031395F"/>
    <w:rsid w:val="00313DB6"/>
    <w:rsid w:val="00314E82"/>
    <w:rsid w:val="003150E9"/>
    <w:rsid w:val="0031516A"/>
    <w:rsid w:val="003160EE"/>
    <w:rsid w:val="0031619F"/>
    <w:rsid w:val="00317381"/>
    <w:rsid w:val="003176FE"/>
    <w:rsid w:val="00317AD5"/>
    <w:rsid w:val="0032006D"/>
    <w:rsid w:val="00320087"/>
    <w:rsid w:val="0032025E"/>
    <w:rsid w:val="003206AD"/>
    <w:rsid w:val="00321E27"/>
    <w:rsid w:val="00322AFB"/>
    <w:rsid w:val="0032310E"/>
    <w:rsid w:val="00323971"/>
    <w:rsid w:val="00324737"/>
    <w:rsid w:val="00324897"/>
    <w:rsid w:val="00324CCD"/>
    <w:rsid w:val="00324FAD"/>
    <w:rsid w:val="00325229"/>
    <w:rsid w:val="00325416"/>
    <w:rsid w:val="00327915"/>
    <w:rsid w:val="00327980"/>
    <w:rsid w:val="00330669"/>
    <w:rsid w:val="00331316"/>
    <w:rsid w:val="00331355"/>
    <w:rsid w:val="0033221C"/>
    <w:rsid w:val="0033297D"/>
    <w:rsid w:val="00332B67"/>
    <w:rsid w:val="00333B78"/>
    <w:rsid w:val="00333D77"/>
    <w:rsid w:val="00334677"/>
    <w:rsid w:val="00334773"/>
    <w:rsid w:val="00334BF7"/>
    <w:rsid w:val="00334D5B"/>
    <w:rsid w:val="00335321"/>
    <w:rsid w:val="003356CC"/>
    <w:rsid w:val="00336436"/>
    <w:rsid w:val="00336C99"/>
    <w:rsid w:val="00340A3E"/>
    <w:rsid w:val="00341271"/>
    <w:rsid w:val="0034199F"/>
    <w:rsid w:val="00341B5C"/>
    <w:rsid w:val="00341B80"/>
    <w:rsid w:val="00341BC6"/>
    <w:rsid w:val="00341E09"/>
    <w:rsid w:val="003422DA"/>
    <w:rsid w:val="00342514"/>
    <w:rsid w:val="00343CCE"/>
    <w:rsid w:val="003444EE"/>
    <w:rsid w:val="00344893"/>
    <w:rsid w:val="0034499F"/>
    <w:rsid w:val="00344F3E"/>
    <w:rsid w:val="0034555A"/>
    <w:rsid w:val="003502FB"/>
    <w:rsid w:val="003509FA"/>
    <w:rsid w:val="003512E7"/>
    <w:rsid w:val="00352256"/>
    <w:rsid w:val="003527BF"/>
    <w:rsid w:val="00353416"/>
    <w:rsid w:val="00353701"/>
    <w:rsid w:val="003545CF"/>
    <w:rsid w:val="00354FA2"/>
    <w:rsid w:val="0035578B"/>
    <w:rsid w:val="00357337"/>
    <w:rsid w:val="0035789F"/>
    <w:rsid w:val="00357CB0"/>
    <w:rsid w:val="00361011"/>
    <w:rsid w:val="00361431"/>
    <w:rsid w:val="0036155F"/>
    <w:rsid w:val="00361A7E"/>
    <w:rsid w:val="003635D7"/>
    <w:rsid w:val="0036435A"/>
    <w:rsid w:val="003644D8"/>
    <w:rsid w:val="00364583"/>
    <w:rsid w:val="00365D67"/>
    <w:rsid w:val="00366328"/>
    <w:rsid w:val="00366844"/>
    <w:rsid w:val="00366A04"/>
    <w:rsid w:val="0036724C"/>
    <w:rsid w:val="0037169D"/>
    <w:rsid w:val="00373557"/>
    <w:rsid w:val="003739C2"/>
    <w:rsid w:val="00374837"/>
    <w:rsid w:val="00374F2A"/>
    <w:rsid w:val="00375508"/>
    <w:rsid w:val="0037611A"/>
    <w:rsid w:val="0037678E"/>
    <w:rsid w:val="00377614"/>
    <w:rsid w:val="00380425"/>
    <w:rsid w:val="00380446"/>
    <w:rsid w:val="003811CB"/>
    <w:rsid w:val="003815E4"/>
    <w:rsid w:val="00381BF2"/>
    <w:rsid w:val="00381EE8"/>
    <w:rsid w:val="0038227E"/>
    <w:rsid w:val="00383291"/>
    <w:rsid w:val="00383E45"/>
    <w:rsid w:val="0038445C"/>
    <w:rsid w:val="003845C2"/>
    <w:rsid w:val="00384BD0"/>
    <w:rsid w:val="00384E05"/>
    <w:rsid w:val="003850D8"/>
    <w:rsid w:val="003855E3"/>
    <w:rsid w:val="003856D9"/>
    <w:rsid w:val="00386CC2"/>
    <w:rsid w:val="00387989"/>
    <w:rsid w:val="003907AF"/>
    <w:rsid w:val="00390803"/>
    <w:rsid w:val="0039110F"/>
    <w:rsid w:val="00391252"/>
    <w:rsid w:val="003914AA"/>
    <w:rsid w:val="00392616"/>
    <w:rsid w:val="00392D58"/>
    <w:rsid w:val="00393136"/>
    <w:rsid w:val="00394617"/>
    <w:rsid w:val="00395B1F"/>
    <w:rsid w:val="003973A2"/>
    <w:rsid w:val="003A140F"/>
    <w:rsid w:val="003A1562"/>
    <w:rsid w:val="003A2FBB"/>
    <w:rsid w:val="003A3378"/>
    <w:rsid w:val="003A4F04"/>
    <w:rsid w:val="003A4FF5"/>
    <w:rsid w:val="003A531D"/>
    <w:rsid w:val="003A5E1F"/>
    <w:rsid w:val="003A662B"/>
    <w:rsid w:val="003A6807"/>
    <w:rsid w:val="003A6BC7"/>
    <w:rsid w:val="003A6E17"/>
    <w:rsid w:val="003A744F"/>
    <w:rsid w:val="003A7642"/>
    <w:rsid w:val="003A77E8"/>
    <w:rsid w:val="003A7CA1"/>
    <w:rsid w:val="003A7FA2"/>
    <w:rsid w:val="003B0708"/>
    <w:rsid w:val="003B085B"/>
    <w:rsid w:val="003B0F19"/>
    <w:rsid w:val="003B1B48"/>
    <w:rsid w:val="003B2636"/>
    <w:rsid w:val="003B272D"/>
    <w:rsid w:val="003B2939"/>
    <w:rsid w:val="003B2A57"/>
    <w:rsid w:val="003B30E8"/>
    <w:rsid w:val="003B3FF1"/>
    <w:rsid w:val="003B4B52"/>
    <w:rsid w:val="003B5970"/>
    <w:rsid w:val="003B6DA0"/>
    <w:rsid w:val="003B7B71"/>
    <w:rsid w:val="003B7C7F"/>
    <w:rsid w:val="003B7CC9"/>
    <w:rsid w:val="003C0315"/>
    <w:rsid w:val="003C04DE"/>
    <w:rsid w:val="003C099C"/>
    <w:rsid w:val="003C0F9C"/>
    <w:rsid w:val="003C1567"/>
    <w:rsid w:val="003C2193"/>
    <w:rsid w:val="003C2B27"/>
    <w:rsid w:val="003C414D"/>
    <w:rsid w:val="003C4A7C"/>
    <w:rsid w:val="003C50B9"/>
    <w:rsid w:val="003C6215"/>
    <w:rsid w:val="003C75FC"/>
    <w:rsid w:val="003C7949"/>
    <w:rsid w:val="003D0B6F"/>
    <w:rsid w:val="003D1081"/>
    <w:rsid w:val="003D17D6"/>
    <w:rsid w:val="003D274E"/>
    <w:rsid w:val="003D3E75"/>
    <w:rsid w:val="003D4760"/>
    <w:rsid w:val="003D493A"/>
    <w:rsid w:val="003D53ED"/>
    <w:rsid w:val="003D5822"/>
    <w:rsid w:val="003D594A"/>
    <w:rsid w:val="003D6728"/>
    <w:rsid w:val="003D7C8A"/>
    <w:rsid w:val="003D7F15"/>
    <w:rsid w:val="003E295A"/>
    <w:rsid w:val="003E3DC1"/>
    <w:rsid w:val="003E4B4C"/>
    <w:rsid w:val="003E4F88"/>
    <w:rsid w:val="003E5965"/>
    <w:rsid w:val="003E5AAA"/>
    <w:rsid w:val="003E6056"/>
    <w:rsid w:val="003E674D"/>
    <w:rsid w:val="003E6F71"/>
    <w:rsid w:val="003E77AA"/>
    <w:rsid w:val="003F086F"/>
    <w:rsid w:val="003F0D3F"/>
    <w:rsid w:val="003F173A"/>
    <w:rsid w:val="003F17B8"/>
    <w:rsid w:val="003F1A90"/>
    <w:rsid w:val="003F4BA2"/>
    <w:rsid w:val="003F5FBE"/>
    <w:rsid w:val="003F5FC5"/>
    <w:rsid w:val="003F7474"/>
    <w:rsid w:val="00400746"/>
    <w:rsid w:val="00400A29"/>
    <w:rsid w:val="00402483"/>
    <w:rsid w:val="00402DC6"/>
    <w:rsid w:val="004031E3"/>
    <w:rsid w:val="00403868"/>
    <w:rsid w:val="00404772"/>
    <w:rsid w:val="00404C69"/>
    <w:rsid w:val="00404CE9"/>
    <w:rsid w:val="00404E07"/>
    <w:rsid w:val="004057B0"/>
    <w:rsid w:val="00405C66"/>
    <w:rsid w:val="00410FB8"/>
    <w:rsid w:val="004113B7"/>
    <w:rsid w:val="0041177D"/>
    <w:rsid w:val="004119CB"/>
    <w:rsid w:val="00411A25"/>
    <w:rsid w:val="00411E0A"/>
    <w:rsid w:val="00411E93"/>
    <w:rsid w:val="00412B27"/>
    <w:rsid w:val="00413BA7"/>
    <w:rsid w:val="00414227"/>
    <w:rsid w:val="0041436C"/>
    <w:rsid w:val="004146ED"/>
    <w:rsid w:val="0041538C"/>
    <w:rsid w:val="00416E5B"/>
    <w:rsid w:val="00416F63"/>
    <w:rsid w:val="0041701F"/>
    <w:rsid w:val="00417209"/>
    <w:rsid w:val="00417339"/>
    <w:rsid w:val="004177D9"/>
    <w:rsid w:val="00417D3B"/>
    <w:rsid w:val="00420949"/>
    <w:rsid w:val="004209FE"/>
    <w:rsid w:val="00420C24"/>
    <w:rsid w:val="00420FDD"/>
    <w:rsid w:val="00422096"/>
    <w:rsid w:val="004252A8"/>
    <w:rsid w:val="004252E9"/>
    <w:rsid w:val="00426905"/>
    <w:rsid w:val="00427517"/>
    <w:rsid w:val="004278ED"/>
    <w:rsid w:val="00430BD9"/>
    <w:rsid w:val="004310AB"/>
    <w:rsid w:val="00431244"/>
    <w:rsid w:val="00431456"/>
    <w:rsid w:val="004319D2"/>
    <w:rsid w:val="00431F6B"/>
    <w:rsid w:val="004325AA"/>
    <w:rsid w:val="00433711"/>
    <w:rsid w:val="00434445"/>
    <w:rsid w:val="004347F3"/>
    <w:rsid w:val="00434C7B"/>
    <w:rsid w:val="00434E56"/>
    <w:rsid w:val="00435482"/>
    <w:rsid w:val="00435C0B"/>
    <w:rsid w:val="0043657E"/>
    <w:rsid w:val="004365CC"/>
    <w:rsid w:val="00436710"/>
    <w:rsid w:val="00436FDB"/>
    <w:rsid w:val="00437D4C"/>
    <w:rsid w:val="004401D5"/>
    <w:rsid w:val="0044030B"/>
    <w:rsid w:val="004404FB"/>
    <w:rsid w:val="00440631"/>
    <w:rsid w:val="00440A70"/>
    <w:rsid w:val="00440D68"/>
    <w:rsid w:val="004427D9"/>
    <w:rsid w:val="00443310"/>
    <w:rsid w:val="00443607"/>
    <w:rsid w:val="00443AEA"/>
    <w:rsid w:val="00444C32"/>
    <w:rsid w:val="00444CD4"/>
    <w:rsid w:val="0044534F"/>
    <w:rsid w:val="00445E1C"/>
    <w:rsid w:val="00445E85"/>
    <w:rsid w:val="00446A15"/>
    <w:rsid w:val="004473DB"/>
    <w:rsid w:val="0045018D"/>
    <w:rsid w:val="00450720"/>
    <w:rsid w:val="004508F2"/>
    <w:rsid w:val="00451A27"/>
    <w:rsid w:val="004526E4"/>
    <w:rsid w:val="00453877"/>
    <w:rsid w:val="004539DE"/>
    <w:rsid w:val="00454945"/>
    <w:rsid w:val="00454C48"/>
    <w:rsid w:val="00455CC3"/>
    <w:rsid w:val="00456043"/>
    <w:rsid w:val="00456D63"/>
    <w:rsid w:val="00457575"/>
    <w:rsid w:val="00457789"/>
    <w:rsid w:val="0045779D"/>
    <w:rsid w:val="00457976"/>
    <w:rsid w:val="00457A6C"/>
    <w:rsid w:val="00457C20"/>
    <w:rsid w:val="00457D2C"/>
    <w:rsid w:val="00461153"/>
    <w:rsid w:val="004621B3"/>
    <w:rsid w:val="00462743"/>
    <w:rsid w:val="00462B43"/>
    <w:rsid w:val="004634EA"/>
    <w:rsid w:val="004641E4"/>
    <w:rsid w:val="0046511E"/>
    <w:rsid w:val="004656B6"/>
    <w:rsid w:val="004658A7"/>
    <w:rsid w:val="00465E6A"/>
    <w:rsid w:val="004666E6"/>
    <w:rsid w:val="004671E0"/>
    <w:rsid w:val="00467EDA"/>
    <w:rsid w:val="00470148"/>
    <w:rsid w:val="0047170E"/>
    <w:rsid w:val="00471DFA"/>
    <w:rsid w:val="004731AC"/>
    <w:rsid w:val="00473A5D"/>
    <w:rsid w:val="004746BA"/>
    <w:rsid w:val="00474BCD"/>
    <w:rsid w:val="00474E1E"/>
    <w:rsid w:val="0047500E"/>
    <w:rsid w:val="00475D89"/>
    <w:rsid w:val="0047608B"/>
    <w:rsid w:val="0047619C"/>
    <w:rsid w:val="0047636F"/>
    <w:rsid w:val="00476373"/>
    <w:rsid w:val="004767A3"/>
    <w:rsid w:val="00477882"/>
    <w:rsid w:val="004817E2"/>
    <w:rsid w:val="00481A24"/>
    <w:rsid w:val="00483241"/>
    <w:rsid w:val="00484832"/>
    <w:rsid w:val="0048599F"/>
    <w:rsid w:val="00485A04"/>
    <w:rsid w:val="00485E48"/>
    <w:rsid w:val="00485EFD"/>
    <w:rsid w:val="00486A51"/>
    <w:rsid w:val="00486AAF"/>
    <w:rsid w:val="00486C24"/>
    <w:rsid w:val="00487D00"/>
    <w:rsid w:val="004912A3"/>
    <w:rsid w:val="004919CA"/>
    <w:rsid w:val="00491E02"/>
    <w:rsid w:val="00491F12"/>
    <w:rsid w:val="004922A5"/>
    <w:rsid w:val="00492538"/>
    <w:rsid w:val="004933CD"/>
    <w:rsid w:val="00493FC6"/>
    <w:rsid w:val="004944C6"/>
    <w:rsid w:val="0049611D"/>
    <w:rsid w:val="0049664F"/>
    <w:rsid w:val="004A019C"/>
    <w:rsid w:val="004A02D9"/>
    <w:rsid w:val="004A032C"/>
    <w:rsid w:val="004A0652"/>
    <w:rsid w:val="004A1A1E"/>
    <w:rsid w:val="004A1C67"/>
    <w:rsid w:val="004A2599"/>
    <w:rsid w:val="004A3431"/>
    <w:rsid w:val="004A4A50"/>
    <w:rsid w:val="004A53BC"/>
    <w:rsid w:val="004A5F79"/>
    <w:rsid w:val="004A77D0"/>
    <w:rsid w:val="004A7B61"/>
    <w:rsid w:val="004B0528"/>
    <w:rsid w:val="004B10A0"/>
    <w:rsid w:val="004B24B2"/>
    <w:rsid w:val="004B2625"/>
    <w:rsid w:val="004B32FA"/>
    <w:rsid w:val="004B379C"/>
    <w:rsid w:val="004B53C5"/>
    <w:rsid w:val="004B56A0"/>
    <w:rsid w:val="004B5718"/>
    <w:rsid w:val="004B575E"/>
    <w:rsid w:val="004B62F5"/>
    <w:rsid w:val="004B6313"/>
    <w:rsid w:val="004B70C5"/>
    <w:rsid w:val="004C07AD"/>
    <w:rsid w:val="004C0A81"/>
    <w:rsid w:val="004C253A"/>
    <w:rsid w:val="004C27F5"/>
    <w:rsid w:val="004C2959"/>
    <w:rsid w:val="004C2C6E"/>
    <w:rsid w:val="004C331D"/>
    <w:rsid w:val="004C3C83"/>
    <w:rsid w:val="004C4C26"/>
    <w:rsid w:val="004C6293"/>
    <w:rsid w:val="004C6A8C"/>
    <w:rsid w:val="004D123D"/>
    <w:rsid w:val="004D1946"/>
    <w:rsid w:val="004D1ADC"/>
    <w:rsid w:val="004D1BE1"/>
    <w:rsid w:val="004D1C5E"/>
    <w:rsid w:val="004D223B"/>
    <w:rsid w:val="004D2787"/>
    <w:rsid w:val="004D3334"/>
    <w:rsid w:val="004D33E6"/>
    <w:rsid w:val="004D378C"/>
    <w:rsid w:val="004D3DCB"/>
    <w:rsid w:val="004D4B01"/>
    <w:rsid w:val="004D5D4D"/>
    <w:rsid w:val="004D7374"/>
    <w:rsid w:val="004D7931"/>
    <w:rsid w:val="004E0D3F"/>
    <w:rsid w:val="004E1139"/>
    <w:rsid w:val="004E2A33"/>
    <w:rsid w:val="004E2AA0"/>
    <w:rsid w:val="004E38B7"/>
    <w:rsid w:val="004E3A98"/>
    <w:rsid w:val="004E5EDE"/>
    <w:rsid w:val="004E6C0E"/>
    <w:rsid w:val="004F01DA"/>
    <w:rsid w:val="004F0315"/>
    <w:rsid w:val="004F1360"/>
    <w:rsid w:val="004F2CAA"/>
    <w:rsid w:val="004F36FB"/>
    <w:rsid w:val="004F3745"/>
    <w:rsid w:val="004F49BB"/>
    <w:rsid w:val="004F6A10"/>
    <w:rsid w:val="004F6D2E"/>
    <w:rsid w:val="004F7948"/>
    <w:rsid w:val="00500442"/>
    <w:rsid w:val="0050115F"/>
    <w:rsid w:val="00501660"/>
    <w:rsid w:val="0050218A"/>
    <w:rsid w:val="00502415"/>
    <w:rsid w:val="0050311D"/>
    <w:rsid w:val="00503EF5"/>
    <w:rsid w:val="00504221"/>
    <w:rsid w:val="0050433C"/>
    <w:rsid w:val="005049D1"/>
    <w:rsid w:val="00506449"/>
    <w:rsid w:val="00506E04"/>
    <w:rsid w:val="00507AD0"/>
    <w:rsid w:val="00507C1D"/>
    <w:rsid w:val="00510D2B"/>
    <w:rsid w:val="00510FDD"/>
    <w:rsid w:val="00511B58"/>
    <w:rsid w:val="00512FBC"/>
    <w:rsid w:val="0051349A"/>
    <w:rsid w:val="00513C35"/>
    <w:rsid w:val="00513D1B"/>
    <w:rsid w:val="0051456C"/>
    <w:rsid w:val="005158B6"/>
    <w:rsid w:val="0051616C"/>
    <w:rsid w:val="00516322"/>
    <w:rsid w:val="00516F9E"/>
    <w:rsid w:val="005174F0"/>
    <w:rsid w:val="00521083"/>
    <w:rsid w:val="00522C85"/>
    <w:rsid w:val="00523042"/>
    <w:rsid w:val="00524473"/>
    <w:rsid w:val="00524AEE"/>
    <w:rsid w:val="00525546"/>
    <w:rsid w:val="00525B9D"/>
    <w:rsid w:val="005265EA"/>
    <w:rsid w:val="00526C96"/>
    <w:rsid w:val="00530F0A"/>
    <w:rsid w:val="005321B0"/>
    <w:rsid w:val="00535184"/>
    <w:rsid w:val="00536467"/>
    <w:rsid w:val="005369D0"/>
    <w:rsid w:val="00537436"/>
    <w:rsid w:val="00537920"/>
    <w:rsid w:val="00537D1B"/>
    <w:rsid w:val="00540B40"/>
    <w:rsid w:val="00541558"/>
    <w:rsid w:val="005421A8"/>
    <w:rsid w:val="0054280B"/>
    <w:rsid w:val="00542875"/>
    <w:rsid w:val="00542AD4"/>
    <w:rsid w:val="0054303D"/>
    <w:rsid w:val="00543970"/>
    <w:rsid w:val="005439DC"/>
    <w:rsid w:val="00544D25"/>
    <w:rsid w:val="00545BB9"/>
    <w:rsid w:val="00546051"/>
    <w:rsid w:val="00546BB9"/>
    <w:rsid w:val="00546D31"/>
    <w:rsid w:val="0055055A"/>
    <w:rsid w:val="00550885"/>
    <w:rsid w:val="005508F8"/>
    <w:rsid w:val="00550D8D"/>
    <w:rsid w:val="00550EA3"/>
    <w:rsid w:val="00552CEA"/>
    <w:rsid w:val="0055311C"/>
    <w:rsid w:val="00553286"/>
    <w:rsid w:val="00554682"/>
    <w:rsid w:val="00555217"/>
    <w:rsid w:val="005559BB"/>
    <w:rsid w:val="00555CC9"/>
    <w:rsid w:val="00557031"/>
    <w:rsid w:val="0055705A"/>
    <w:rsid w:val="005571C8"/>
    <w:rsid w:val="00557692"/>
    <w:rsid w:val="00557816"/>
    <w:rsid w:val="00557A1D"/>
    <w:rsid w:val="00557EAF"/>
    <w:rsid w:val="00560188"/>
    <w:rsid w:val="00562A35"/>
    <w:rsid w:val="0056368C"/>
    <w:rsid w:val="00567895"/>
    <w:rsid w:val="00567A18"/>
    <w:rsid w:val="00567DCE"/>
    <w:rsid w:val="00567F31"/>
    <w:rsid w:val="00570B73"/>
    <w:rsid w:val="005710F5"/>
    <w:rsid w:val="00571F6C"/>
    <w:rsid w:val="005725BE"/>
    <w:rsid w:val="005733F4"/>
    <w:rsid w:val="005740C3"/>
    <w:rsid w:val="005743DB"/>
    <w:rsid w:val="005749AC"/>
    <w:rsid w:val="00574B25"/>
    <w:rsid w:val="0057526E"/>
    <w:rsid w:val="0057683D"/>
    <w:rsid w:val="00576B5F"/>
    <w:rsid w:val="00576F9F"/>
    <w:rsid w:val="00580C78"/>
    <w:rsid w:val="00580E1C"/>
    <w:rsid w:val="00581336"/>
    <w:rsid w:val="00581D9C"/>
    <w:rsid w:val="005824F0"/>
    <w:rsid w:val="00583A92"/>
    <w:rsid w:val="00584494"/>
    <w:rsid w:val="00584F8F"/>
    <w:rsid w:val="005857D0"/>
    <w:rsid w:val="00585F62"/>
    <w:rsid w:val="00586029"/>
    <w:rsid w:val="0058605B"/>
    <w:rsid w:val="00586722"/>
    <w:rsid w:val="00586D6A"/>
    <w:rsid w:val="00587A68"/>
    <w:rsid w:val="00587AEF"/>
    <w:rsid w:val="00587BE2"/>
    <w:rsid w:val="0059027F"/>
    <w:rsid w:val="00590499"/>
    <w:rsid w:val="005909B4"/>
    <w:rsid w:val="00590C5E"/>
    <w:rsid w:val="00590CFC"/>
    <w:rsid w:val="00590F34"/>
    <w:rsid w:val="00591A97"/>
    <w:rsid w:val="00592731"/>
    <w:rsid w:val="005946D8"/>
    <w:rsid w:val="005958D0"/>
    <w:rsid w:val="00595EB6"/>
    <w:rsid w:val="005960D3"/>
    <w:rsid w:val="005963B0"/>
    <w:rsid w:val="0059751A"/>
    <w:rsid w:val="005A0932"/>
    <w:rsid w:val="005A0B8D"/>
    <w:rsid w:val="005A0DFB"/>
    <w:rsid w:val="005A1892"/>
    <w:rsid w:val="005A1D0B"/>
    <w:rsid w:val="005A29FE"/>
    <w:rsid w:val="005A2F68"/>
    <w:rsid w:val="005A326B"/>
    <w:rsid w:val="005A4104"/>
    <w:rsid w:val="005A4320"/>
    <w:rsid w:val="005A4A52"/>
    <w:rsid w:val="005A4EC4"/>
    <w:rsid w:val="005A51E5"/>
    <w:rsid w:val="005A53FC"/>
    <w:rsid w:val="005A55BB"/>
    <w:rsid w:val="005A5EC3"/>
    <w:rsid w:val="005A684C"/>
    <w:rsid w:val="005A685F"/>
    <w:rsid w:val="005A7852"/>
    <w:rsid w:val="005A7E24"/>
    <w:rsid w:val="005B0676"/>
    <w:rsid w:val="005B0982"/>
    <w:rsid w:val="005B116D"/>
    <w:rsid w:val="005B1A5C"/>
    <w:rsid w:val="005B2171"/>
    <w:rsid w:val="005B2460"/>
    <w:rsid w:val="005B327E"/>
    <w:rsid w:val="005B36AE"/>
    <w:rsid w:val="005B3805"/>
    <w:rsid w:val="005B4551"/>
    <w:rsid w:val="005B467E"/>
    <w:rsid w:val="005B4B6A"/>
    <w:rsid w:val="005B5223"/>
    <w:rsid w:val="005B54B1"/>
    <w:rsid w:val="005B5CED"/>
    <w:rsid w:val="005B69F2"/>
    <w:rsid w:val="005B6F06"/>
    <w:rsid w:val="005B7767"/>
    <w:rsid w:val="005C06FA"/>
    <w:rsid w:val="005C0CB7"/>
    <w:rsid w:val="005C0F34"/>
    <w:rsid w:val="005C0F75"/>
    <w:rsid w:val="005C1217"/>
    <w:rsid w:val="005C1E2D"/>
    <w:rsid w:val="005C2709"/>
    <w:rsid w:val="005C493B"/>
    <w:rsid w:val="005C4ED5"/>
    <w:rsid w:val="005C57A0"/>
    <w:rsid w:val="005C58D1"/>
    <w:rsid w:val="005C7206"/>
    <w:rsid w:val="005C7665"/>
    <w:rsid w:val="005D0D0A"/>
    <w:rsid w:val="005D1398"/>
    <w:rsid w:val="005D2DA1"/>
    <w:rsid w:val="005D2DCF"/>
    <w:rsid w:val="005D3358"/>
    <w:rsid w:val="005D3C16"/>
    <w:rsid w:val="005D418E"/>
    <w:rsid w:val="005D60EF"/>
    <w:rsid w:val="005D7094"/>
    <w:rsid w:val="005D7DD9"/>
    <w:rsid w:val="005E00C9"/>
    <w:rsid w:val="005E0145"/>
    <w:rsid w:val="005E1330"/>
    <w:rsid w:val="005E2254"/>
    <w:rsid w:val="005E26FB"/>
    <w:rsid w:val="005E27FD"/>
    <w:rsid w:val="005E2FFD"/>
    <w:rsid w:val="005E44DE"/>
    <w:rsid w:val="005E4D79"/>
    <w:rsid w:val="005E549D"/>
    <w:rsid w:val="005E5BB9"/>
    <w:rsid w:val="005E602A"/>
    <w:rsid w:val="005E6321"/>
    <w:rsid w:val="005F08CC"/>
    <w:rsid w:val="005F0CEA"/>
    <w:rsid w:val="005F1593"/>
    <w:rsid w:val="005F1996"/>
    <w:rsid w:val="005F1CB3"/>
    <w:rsid w:val="005F20A6"/>
    <w:rsid w:val="005F31F4"/>
    <w:rsid w:val="005F37FD"/>
    <w:rsid w:val="005F41F1"/>
    <w:rsid w:val="005F42A0"/>
    <w:rsid w:val="005F5694"/>
    <w:rsid w:val="005F5EC6"/>
    <w:rsid w:val="005F613B"/>
    <w:rsid w:val="005F759B"/>
    <w:rsid w:val="005F7D1B"/>
    <w:rsid w:val="005F7EE9"/>
    <w:rsid w:val="005F7F1A"/>
    <w:rsid w:val="006003FE"/>
    <w:rsid w:val="0060081C"/>
    <w:rsid w:val="00601995"/>
    <w:rsid w:val="00602633"/>
    <w:rsid w:val="00602920"/>
    <w:rsid w:val="006030BB"/>
    <w:rsid w:val="006031AD"/>
    <w:rsid w:val="006043D5"/>
    <w:rsid w:val="00604567"/>
    <w:rsid w:val="00604759"/>
    <w:rsid w:val="0060558B"/>
    <w:rsid w:val="00606C44"/>
    <w:rsid w:val="00607489"/>
    <w:rsid w:val="006074F9"/>
    <w:rsid w:val="00607848"/>
    <w:rsid w:val="006100E1"/>
    <w:rsid w:val="00610544"/>
    <w:rsid w:val="00610915"/>
    <w:rsid w:val="00610E41"/>
    <w:rsid w:val="00611585"/>
    <w:rsid w:val="0061240C"/>
    <w:rsid w:val="00612CE6"/>
    <w:rsid w:val="00612D4E"/>
    <w:rsid w:val="00614F38"/>
    <w:rsid w:val="0061561C"/>
    <w:rsid w:val="00617BF7"/>
    <w:rsid w:val="00620EF7"/>
    <w:rsid w:val="0062143C"/>
    <w:rsid w:val="00622600"/>
    <w:rsid w:val="006226D5"/>
    <w:rsid w:val="00623A35"/>
    <w:rsid w:val="00624817"/>
    <w:rsid w:val="00625B92"/>
    <w:rsid w:val="00625EA7"/>
    <w:rsid w:val="0062611A"/>
    <w:rsid w:val="00630117"/>
    <w:rsid w:val="006303AA"/>
    <w:rsid w:val="00630533"/>
    <w:rsid w:val="0063093F"/>
    <w:rsid w:val="00630BAC"/>
    <w:rsid w:val="0063144E"/>
    <w:rsid w:val="00632118"/>
    <w:rsid w:val="006323A5"/>
    <w:rsid w:val="006329D9"/>
    <w:rsid w:val="006334A0"/>
    <w:rsid w:val="006335EE"/>
    <w:rsid w:val="00633960"/>
    <w:rsid w:val="006341B4"/>
    <w:rsid w:val="00634391"/>
    <w:rsid w:val="00634593"/>
    <w:rsid w:val="0063509F"/>
    <w:rsid w:val="00635D1E"/>
    <w:rsid w:val="00636116"/>
    <w:rsid w:val="00637726"/>
    <w:rsid w:val="00640703"/>
    <w:rsid w:val="00640B9D"/>
    <w:rsid w:val="00640E5E"/>
    <w:rsid w:val="0064112E"/>
    <w:rsid w:val="00641345"/>
    <w:rsid w:val="00641590"/>
    <w:rsid w:val="00641ABF"/>
    <w:rsid w:val="00641D85"/>
    <w:rsid w:val="0064229E"/>
    <w:rsid w:val="006423D4"/>
    <w:rsid w:val="00643C6C"/>
    <w:rsid w:val="006451E2"/>
    <w:rsid w:val="0064672C"/>
    <w:rsid w:val="00646A60"/>
    <w:rsid w:val="00647012"/>
    <w:rsid w:val="00647607"/>
    <w:rsid w:val="006500E7"/>
    <w:rsid w:val="00650198"/>
    <w:rsid w:val="006503AF"/>
    <w:rsid w:val="0065048B"/>
    <w:rsid w:val="00650816"/>
    <w:rsid w:val="00651522"/>
    <w:rsid w:val="0065179E"/>
    <w:rsid w:val="00651973"/>
    <w:rsid w:val="006519A5"/>
    <w:rsid w:val="00651DE8"/>
    <w:rsid w:val="00651F82"/>
    <w:rsid w:val="006528D5"/>
    <w:rsid w:val="00652C27"/>
    <w:rsid w:val="00653ACD"/>
    <w:rsid w:val="00655BF8"/>
    <w:rsid w:val="00655C14"/>
    <w:rsid w:val="00657C64"/>
    <w:rsid w:val="00657D6A"/>
    <w:rsid w:val="00657EA9"/>
    <w:rsid w:val="00660078"/>
    <w:rsid w:val="006603D4"/>
    <w:rsid w:val="0066049D"/>
    <w:rsid w:val="00661C11"/>
    <w:rsid w:val="00662662"/>
    <w:rsid w:val="00662CC6"/>
    <w:rsid w:val="00664BC6"/>
    <w:rsid w:val="00665ACC"/>
    <w:rsid w:val="006664EC"/>
    <w:rsid w:val="00666B31"/>
    <w:rsid w:val="0066722B"/>
    <w:rsid w:val="00667EE1"/>
    <w:rsid w:val="006715D2"/>
    <w:rsid w:val="00672382"/>
    <w:rsid w:val="006725F3"/>
    <w:rsid w:val="006729F0"/>
    <w:rsid w:val="0067383E"/>
    <w:rsid w:val="00673A2A"/>
    <w:rsid w:val="00673C54"/>
    <w:rsid w:val="00674747"/>
    <w:rsid w:val="006748FF"/>
    <w:rsid w:val="00676474"/>
    <w:rsid w:val="00680AD4"/>
    <w:rsid w:val="00681B0F"/>
    <w:rsid w:val="00682C26"/>
    <w:rsid w:val="00682F5C"/>
    <w:rsid w:val="00683697"/>
    <w:rsid w:val="00683E2E"/>
    <w:rsid w:val="00684834"/>
    <w:rsid w:val="00685235"/>
    <w:rsid w:val="006854BD"/>
    <w:rsid w:val="00685DDA"/>
    <w:rsid w:val="00686257"/>
    <w:rsid w:val="00690D79"/>
    <w:rsid w:val="00690F23"/>
    <w:rsid w:val="00690F96"/>
    <w:rsid w:val="006926CB"/>
    <w:rsid w:val="00693247"/>
    <w:rsid w:val="006949A7"/>
    <w:rsid w:val="006953DD"/>
    <w:rsid w:val="0069576D"/>
    <w:rsid w:val="006961AF"/>
    <w:rsid w:val="006965C3"/>
    <w:rsid w:val="00696B6D"/>
    <w:rsid w:val="00697314"/>
    <w:rsid w:val="006976A0"/>
    <w:rsid w:val="00697963"/>
    <w:rsid w:val="00697C0D"/>
    <w:rsid w:val="006A05E1"/>
    <w:rsid w:val="006A1E02"/>
    <w:rsid w:val="006A1F09"/>
    <w:rsid w:val="006A2433"/>
    <w:rsid w:val="006A3EBC"/>
    <w:rsid w:val="006A55ED"/>
    <w:rsid w:val="006A5DF3"/>
    <w:rsid w:val="006A69CF"/>
    <w:rsid w:val="006A70E0"/>
    <w:rsid w:val="006A71B6"/>
    <w:rsid w:val="006A7778"/>
    <w:rsid w:val="006A786F"/>
    <w:rsid w:val="006B005E"/>
    <w:rsid w:val="006B2B80"/>
    <w:rsid w:val="006B2C0A"/>
    <w:rsid w:val="006B30F4"/>
    <w:rsid w:val="006B3D53"/>
    <w:rsid w:val="006B4700"/>
    <w:rsid w:val="006B4B06"/>
    <w:rsid w:val="006B4B7B"/>
    <w:rsid w:val="006B4BA7"/>
    <w:rsid w:val="006B6987"/>
    <w:rsid w:val="006B6FF4"/>
    <w:rsid w:val="006B7A2E"/>
    <w:rsid w:val="006B7AE0"/>
    <w:rsid w:val="006C04DB"/>
    <w:rsid w:val="006C0B8D"/>
    <w:rsid w:val="006C0F53"/>
    <w:rsid w:val="006C14AD"/>
    <w:rsid w:val="006C16F2"/>
    <w:rsid w:val="006C4EE0"/>
    <w:rsid w:val="006C51AB"/>
    <w:rsid w:val="006C6561"/>
    <w:rsid w:val="006C69C0"/>
    <w:rsid w:val="006C7BD0"/>
    <w:rsid w:val="006C7D9C"/>
    <w:rsid w:val="006D2878"/>
    <w:rsid w:val="006D2D2F"/>
    <w:rsid w:val="006D2FEF"/>
    <w:rsid w:val="006D3BAE"/>
    <w:rsid w:val="006D4032"/>
    <w:rsid w:val="006D419D"/>
    <w:rsid w:val="006D4A42"/>
    <w:rsid w:val="006D4B3C"/>
    <w:rsid w:val="006D52EE"/>
    <w:rsid w:val="006D6775"/>
    <w:rsid w:val="006D724A"/>
    <w:rsid w:val="006D738F"/>
    <w:rsid w:val="006D76D8"/>
    <w:rsid w:val="006D7C8B"/>
    <w:rsid w:val="006E02C1"/>
    <w:rsid w:val="006E10A3"/>
    <w:rsid w:val="006E1960"/>
    <w:rsid w:val="006E263F"/>
    <w:rsid w:val="006E3297"/>
    <w:rsid w:val="006E3842"/>
    <w:rsid w:val="006E3F33"/>
    <w:rsid w:val="006E4AF2"/>
    <w:rsid w:val="006E4E9E"/>
    <w:rsid w:val="006E6C92"/>
    <w:rsid w:val="006E6F54"/>
    <w:rsid w:val="006E71AD"/>
    <w:rsid w:val="006F0C74"/>
    <w:rsid w:val="006F12FF"/>
    <w:rsid w:val="006F1715"/>
    <w:rsid w:val="006F19F7"/>
    <w:rsid w:val="006F2A10"/>
    <w:rsid w:val="006F3413"/>
    <w:rsid w:val="006F3840"/>
    <w:rsid w:val="006F480E"/>
    <w:rsid w:val="006F5DDF"/>
    <w:rsid w:val="006F64D1"/>
    <w:rsid w:val="006F65C9"/>
    <w:rsid w:val="006F69AB"/>
    <w:rsid w:val="006F6ADD"/>
    <w:rsid w:val="006F78A0"/>
    <w:rsid w:val="00700206"/>
    <w:rsid w:val="007002D0"/>
    <w:rsid w:val="00700B12"/>
    <w:rsid w:val="00701904"/>
    <w:rsid w:val="00701B8F"/>
    <w:rsid w:val="00701C94"/>
    <w:rsid w:val="00703E5B"/>
    <w:rsid w:val="007042CD"/>
    <w:rsid w:val="007049B4"/>
    <w:rsid w:val="0070671D"/>
    <w:rsid w:val="00707E5E"/>
    <w:rsid w:val="007100F4"/>
    <w:rsid w:val="00710415"/>
    <w:rsid w:val="0071062B"/>
    <w:rsid w:val="00710DFB"/>
    <w:rsid w:val="007116C5"/>
    <w:rsid w:val="00711FF2"/>
    <w:rsid w:val="00712267"/>
    <w:rsid w:val="00713988"/>
    <w:rsid w:val="00713AC2"/>
    <w:rsid w:val="0071410D"/>
    <w:rsid w:val="00715605"/>
    <w:rsid w:val="007156CF"/>
    <w:rsid w:val="00715FEF"/>
    <w:rsid w:val="0071622B"/>
    <w:rsid w:val="0071640A"/>
    <w:rsid w:val="00716AC2"/>
    <w:rsid w:val="00716D81"/>
    <w:rsid w:val="00717026"/>
    <w:rsid w:val="007203F6"/>
    <w:rsid w:val="007205D2"/>
    <w:rsid w:val="00720AE6"/>
    <w:rsid w:val="00720C38"/>
    <w:rsid w:val="00721B70"/>
    <w:rsid w:val="00722C65"/>
    <w:rsid w:val="00723013"/>
    <w:rsid w:val="00723F63"/>
    <w:rsid w:val="0072489F"/>
    <w:rsid w:val="007267B2"/>
    <w:rsid w:val="0072753F"/>
    <w:rsid w:val="00727A7C"/>
    <w:rsid w:val="00727B11"/>
    <w:rsid w:val="00727FD2"/>
    <w:rsid w:val="0073147C"/>
    <w:rsid w:val="00733588"/>
    <w:rsid w:val="007337AF"/>
    <w:rsid w:val="0073493D"/>
    <w:rsid w:val="00734B9A"/>
    <w:rsid w:val="0073576B"/>
    <w:rsid w:val="007361D5"/>
    <w:rsid w:val="007369BE"/>
    <w:rsid w:val="007373F6"/>
    <w:rsid w:val="007375F3"/>
    <w:rsid w:val="00740558"/>
    <w:rsid w:val="00741098"/>
    <w:rsid w:val="0074167C"/>
    <w:rsid w:val="00741B2D"/>
    <w:rsid w:val="007423DB"/>
    <w:rsid w:val="007426DD"/>
    <w:rsid w:val="007427F4"/>
    <w:rsid w:val="00742802"/>
    <w:rsid w:val="00742ABA"/>
    <w:rsid w:val="007446E6"/>
    <w:rsid w:val="00744C30"/>
    <w:rsid w:val="007460FF"/>
    <w:rsid w:val="0074627A"/>
    <w:rsid w:val="007465F7"/>
    <w:rsid w:val="00747C71"/>
    <w:rsid w:val="00750E5E"/>
    <w:rsid w:val="00751524"/>
    <w:rsid w:val="00751D88"/>
    <w:rsid w:val="007530C2"/>
    <w:rsid w:val="00753976"/>
    <w:rsid w:val="00754266"/>
    <w:rsid w:val="007543FC"/>
    <w:rsid w:val="00754AB2"/>
    <w:rsid w:val="0075515F"/>
    <w:rsid w:val="00755369"/>
    <w:rsid w:val="00756997"/>
    <w:rsid w:val="00756C27"/>
    <w:rsid w:val="00757753"/>
    <w:rsid w:val="007612EE"/>
    <w:rsid w:val="00762670"/>
    <w:rsid w:val="00763538"/>
    <w:rsid w:val="0076358E"/>
    <w:rsid w:val="00764843"/>
    <w:rsid w:val="007655CC"/>
    <w:rsid w:val="0076591F"/>
    <w:rsid w:val="00766B68"/>
    <w:rsid w:val="00767D6F"/>
    <w:rsid w:val="00767DE8"/>
    <w:rsid w:val="0077044A"/>
    <w:rsid w:val="00772FAB"/>
    <w:rsid w:val="007732F3"/>
    <w:rsid w:val="007735BE"/>
    <w:rsid w:val="00773759"/>
    <w:rsid w:val="0077386E"/>
    <w:rsid w:val="00773D63"/>
    <w:rsid w:val="00774086"/>
    <w:rsid w:val="00774428"/>
    <w:rsid w:val="007744CD"/>
    <w:rsid w:val="007753F5"/>
    <w:rsid w:val="00776C04"/>
    <w:rsid w:val="007773CA"/>
    <w:rsid w:val="00777409"/>
    <w:rsid w:val="007775E4"/>
    <w:rsid w:val="00777DC8"/>
    <w:rsid w:val="00777EF4"/>
    <w:rsid w:val="0078030E"/>
    <w:rsid w:val="007803D5"/>
    <w:rsid w:val="00780E72"/>
    <w:rsid w:val="00780ECF"/>
    <w:rsid w:val="00781309"/>
    <w:rsid w:val="007828D4"/>
    <w:rsid w:val="007832D4"/>
    <w:rsid w:val="0078378D"/>
    <w:rsid w:val="00783C85"/>
    <w:rsid w:val="00783FAE"/>
    <w:rsid w:val="007841C0"/>
    <w:rsid w:val="007843EB"/>
    <w:rsid w:val="00784E31"/>
    <w:rsid w:val="007875D6"/>
    <w:rsid w:val="00787647"/>
    <w:rsid w:val="00787B4D"/>
    <w:rsid w:val="00790258"/>
    <w:rsid w:val="00790F47"/>
    <w:rsid w:val="00792104"/>
    <w:rsid w:val="007926BF"/>
    <w:rsid w:val="007943C2"/>
    <w:rsid w:val="00795698"/>
    <w:rsid w:val="0079677A"/>
    <w:rsid w:val="007969AD"/>
    <w:rsid w:val="00796CFF"/>
    <w:rsid w:val="00796DD1"/>
    <w:rsid w:val="00797615"/>
    <w:rsid w:val="007A0D19"/>
    <w:rsid w:val="007A2137"/>
    <w:rsid w:val="007A28CB"/>
    <w:rsid w:val="007A5382"/>
    <w:rsid w:val="007A59AE"/>
    <w:rsid w:val="007A682F"/>
    <w:rsid w:val="007A6D4D"/>
    <w:rsid w:val="007A6F97"/>
    <w:rsid w:val="007A7420"/>
    <w:rsid w:val="007A7637"/>
    <w:rsid w:val="007A7967"/>
    <w:rsid w:val="007B0BA0"/>
    <w:rsid w:val="007B1FF0"/>
    <w:rsid w:val="007B214D"/>
    <w:rsid w:val="007B2280"/>
    <w:rsid w:val="007B273A"/>
    <w:rsid w:val="007B29C9"/>
    <w:rsid w:val="007B3979"/>
    <w:rsid w:val="007B4A8C"/>
    <w:rsid w:val="007B4E04"/>
    <w:rsid w:val="007B554E"/>
    <w:rsid w:val="007B5874"/>
    <w:rsid w:val="007B5A1B"/>
    <w:rsid w:val="007B67AE"/>
    <w:rsid w:val="007B7388"/>
    <w:rsid w:val="007B7915"/>
    <w:rsid w:val="007B79BA"/>
    <w:rsid w:val="007C13E1"/>
    <w:rsid w:val="007C250F"/>
    <w:rsid w:val="007C2D33"/>
    <w:rsid w:val="007C342A"/>
    <w:rsid w:val="007C3816"/>
    <w:rsid w:val="007C6639"/>
    <w:rsid w:val="007C6AD9"/>
    <w:rsid w:val="007C7511"/>
    <w:rsid w:val="007C75A1"/>
    <w:rsid w:val="007D0949"/>
    <w:rsid w:val="007D1960"/>
    <w:rsid w:val="007D27C1"/>
    <w:rsid w:val="007D2BED"/>
    <w:rsid w:val="007D3676"/>
    <w:rsid w:val="007D3760"/>
    <w:rsid w:val="007D4247"/>
    <w:rsid w:val="007D5782"/>
    <w:rsid w:val="007D63D6"/>
    <w:rsid w:val="007D6754"/>
    <w:rsid w:val="007D744C"/>
    <w:rsid w:val="007E05E6"/>
    <w:rsid w:val="007E08DD"/>
    <w:rsid w:val="007E0FF2"/>
    <w:rsid w:val="007E14C6"/>
    <w:rsid w:val="007E274F"/>
    <w:rsid w:val="007E2C34"/>
    <w:rsid w:val="007E3055"/>
    <w:rsid w:val="007E3547"/>
    <w:rsid w:val="007E3EBE"/>
    <w:rsid w:val="007E4201"/>
    <w:rsid w:val="007E43BE"/>
    <w:rsid w:val="007E48A9"/>
    <w:rsid w:val="007E5D84"/>
    <w:rsid w:val="007E6C3E"/>
    <w:rsid w:val="007E78F9"/>
    <w:rsid w:val="007E7BEC"/>
    <w:rsid w:val="007E7D18"/>
    <w:rsid w:val="007F1A41"/>
    <w:rsid w:val="007F2619"/>
    <w:rsid w:val="007F270D"/>
    <w:rsid w:val="007F2E92"/>
    <w:rsid w:val="007F3069"/>
    <w:rsid w:val="007F3179"/>
    <w:rsid w:val="007F31CA"/>
    <w:rsid w:val="007F3255"/>
    <w:rsid w:val="007F3940"/>
    <w:rsid w:val="007F3A30"/>
    <w:rsid w:val="007F5842"/>
    <w:rsid w:val="007F5AC2"/>
    <w:rsid w:val="007F63D5"/>
    <w:rsid w:val="007F71D0"/>
    <w:rsid w:val="007F7F1B"/>
    <w:rsid w:val="008002A3"/>
    <w:rsid w:val="0080188E"/>
    <w:rsid w:val="00801B0C"/>
    <w:rsid w:val="00801B1F"/>
    <w:rsid w:val="008041AD"/>
    <w:rsid w:val="00805A94"/>
    <w:rsid w:val="00805CD3"/>
    <w:rsid w:val="008064EC"/>
    <w:rsid w:val="00806982"/>
    <w:rsid w:val="00807C30"/>
    <w:rsid w:val="0081074F"/>
    <w:rsid w:val="00810EF5"/>
    <w:rsid w:val="00811E65"/>
    <w:rsid w:val="00812B9E"/>
    <w:rsid w:val="00812CA0"/>
    <w:rsid w:val="00813D7E"/>
    <w:rsid w:val="00814A17"/>
    <w:rsid w:val="00814C63"/>
    <w:rsid w:val="00815381"/>
    <w:rsid w:val="0081676B"/>
    <w:rsid w:val="00821D8B"/>
    <w:rsid w:val="00822899"/>
    <w:rsid w:val="008234AF"/>
    <w:rsid w:val="008243E7"/>
    <w:rsid w:val="00824D95"/>
    <w:rsid w:val="00825840"/>
    <w:rsid w:val="00825ADD"/>
    <w:rsid w:val="00825D56"/>
    <w:rsid w:val="00825E44"/>
    <w:rsid w:val="00826586"/>
    <w:rsid w:val="0082695F"/>
    <w:rsid w:val="00827C45"/>
    <w:rsid w:val="0083045F"/>
    <w:rsid w:val="00830485"/>
    <w:rsid w:val="00830689"/>
    <w:rsid w:val="008323CF"/>
    <w:rsid w:val="008325E8"/>
    <w:rsid w:val="00832F24"/>
    <w:rsid w:val="00833098"/>
    <w:rsid w:val="008331EE"/>
    <w:rsid w:val="00836439"/>
    <w:rsid w:val="00836ECA"/>
    <w:rsid w:val="00837475"/>
    <w:rsid w:val="0084066C"/>
    <w:rsid w:val="00840B5F"/>
    <w:rsid w:val="00843109"/>
    <w:rsid w:val="008432FE"/>
    <w:rsid w:val="0084391F"/>
    <w:rsid w:val="00843A9B"/>
    <w:rsid w:val="00844703"/>
    <w:rsid w:val="00844B0B"/>
    <w:rsid w:val="008452F7"/>
    <w:rsid w:val="00845BC5"/>
    <w:rsid w:val="008460B4"/>
    <w:rsid w:val="00846F07"/>
    <w:rsid w:val="00847FD5"/>
    <w:rsid w:val="008502B4"/>
    <w:rsid w:val="008512EC"/>
    <w:rsid w:val="0085216D"/>
    <w:rsid w:val="00852C42"/>
    <w:rsid w:val="00852D54"/>
    <w:rsid w:val="00853D0D"/>
    <w:rsid w:val="00853F4A"/>
    <w:rsid w:val="00854F83"/>
    <w:rsid w:val="00855431"/>
    <w:rsid w:val="0085568C"/>
    <w:rsid w:val="0085628D"/>
    <w:rsid w:val="008564C4"/>
    <w:rsid w:val="00856781"/>
    <w:rsid w:val="008568D4"/>
    <w:rsid w:val="00856DF8"/>
    <w:rsid w:val="00856FE7"/>
    <w:rsid w:val="00857E3B"/>
    <w:rsid w:val="00857EB6"/>
    <w:rsid w:val="00860A05"/>
    <w:rsid w:val="00860D84"/>
    <w:rsid w:val="00862CE1"/>
    <w:rsid w:val="00862DEC"/>
    <w:rsid w:val="0086316A"/>
    <w:rsid w:val="008645A5"/>
    <w:rsid w:val="00864D3F"/>
    <w:rsid w:val="0086552F"/>
    <w:rsid w:val="008659B5"/>
    <w:rsid w:val="00866F75"/>
    <w:rsid w:val="0086706C"/>
    <w:rsid w:val="008675DD"/>
    <w:rsid w:val="00867CA7"/>
    <w:rsid w:val="008703D4"/>
    <w:rsid w:val="00870473"/>
    <w:rsid w:val="0087179E"/>
    <w:rsid w:val="00871C00"/>
    <w:rsid w:val="00871C5D"/>
    <w:rsid w:val="00872B37"/>
    <w:rsid w:val="00872C03"/>
    <w:rsid w:val="00873021"/>
    <w:rsid w:val="008735D9"/>
    <w:rsid w:val="008738FC"/>
    <w:rsid w:val="00873A6C"/>
    <w:rsid w:val="00874198"/>
    <w:rsid w:val="0087422C"/>
    <w:rsid w:val="00875489"/>
    <w:rsid w:val="0087575A"/>
    <w:rsid w:val="008759EC"/>
    <w:rsid w:val="00876FC5"/>
    <w:rsid w:val="00877219"/>
    <w:rsid w:val="00880C57"/>
    <w:rsid w:val="00881F71"/>
    <w:rsid w:val="00883A63"/>
    <w:rsid w:val="00883C8C"/>
    <w:rsid w:val="008842A3"/>
    <w:rsid w:val="008845F3"/>
    <w:rsid w:val="0088574C"/>
    <w:rsid w:val="00886004"/>
    <w:rsid w:val="008875C1"/>
    <w:rsid w:val="00887681"/>
    <w:rsid w:val="00887E5A"/>
    <w:rsid w:val="00890837"/>
    <w:rsid w:val="00890867"/>
    <w:rsid w:val="00890D46"/>
    <w:rsid w:val="008913F1"/>
    <w:rsid w:val="008914BA"/>
    <w:rsid w:val="00891B4B"/>
    <w:rsid w:val="008927DE"/>
    <w:rsid w:val="00894B4A"/>
    <w:rsid w:val="008955C1"/>
    <w:rsid w:val="00896E13"/>
    <w:rsid w:val="00897933"/>
    <w:rsid w:val="00897E1E"/>
    <w:rsid w:val="008A02DE"/>
    <w:rsid w:val="008A12CE"/>
    <w:rsid w:val="008A2EE7"/>
    <w:rsid w:val="008A33AB"/>
    <w:rsid w:val="008A35E6"/>
    <w:rsid w:val="008A3EB4"/>
    <w:rsid w:val="008A427C"/>
    <w:rsid w:val="008A4D98"/>
    <w:rsid w:val="008A5564"/>
    <w:rsid w:val="008A5E38"/>
    <w:rsid w:val="008A5E70"/>
    <w:rsid w:val="008A6072"/>
    <w:rsid w:val="008A638F"/>
    <w:rsid w:val="008A79F8"/>
    <w:rsid w:val="008B0D39"/>
    <w:rsid w:val="008B22E6"/>
    <w:rsid w:val="008B2D3C"/>
    <w:rsid w:val="008B30EA"/>
    <w:rsid w:val="008B5064"/>
    <w:rsid w:val="008B54D2"/>
    <w:rsid w:val="008B5562"/>
    <w:rsid w:val="008B5EDE"/>
    <w:rsid w:val="008B6796"/>
    <w:rsid w:val="008B754F"/>
    <w:rsid w:val="008B7C11"/>
    <w:rsid w:val="008C09AC"/>
    <w:rsid w:val="008C0E13"/>
    <w:rsid w:val="008C2751"/>
    <w:rsid w:val="008C27CD"/>
    <w:rsid w:val="008C34B3"/>
    <w:rsid w:val="008C35AB"/>
    <w:rsid w:val="008C4FDE"/>
    <w:rsid w:val="008C64A8"/>
    <w:rsid w:val="008C69A8"/>
    <w:rsid w:val="008C6A38"/>
    <w:rsid w:val="008D0751"/>
    <w:rsid w:val="008D0E44"/>
    <w:rsid w:val="008D0F5E"/>
    <w:rsid w:val="008D253D"/>
    <w:rsid w:val="008D2C49"/>
    <w:rsid w:val="008D3CF7"/>
    <w:rsid w:val="008D4277"/>
    <w:rsid w:val="008D465F"/>
    <w:rsid w:val="008D51B2"/>
    <w:rsid w:val="008D6222"/>
    <w:rsid w:val="008D63A6"/>
    <w:rsid w:val="008D7A4F"/>
    <w:rsid w:val="008E0001"/>
    <w:rsid w:val="008E0855"/>
    <w:rsid w:val="008E2EC3"/>
    <w:rsid w:val="008E370E"/>
    <w:rsid w:val="008E3869"/>
    <w:rsid w:val="008E43B8"/>
    <w:rsid w:val="008E4816"/>
    <w:rsid w:val="008E4FBB"/>
    <w:rsid w:val="008E5608"/>
    <w:rsid w:val="008E6961"/>
    <w:rsid w:val="008F065D"/>
    <w:rsid w:val="008F07EF"/>
    <w:rsid w:val="008F11F1"/>
    <w:rsid w:val="008F1315"/>
    <w:rsid w:val="008F1B37"/>
    <w:rsid w:val="008F28BC"/>
    <w:rsid w:val="008F406A"/>
    <w:rsid w:val="008F4719"/>
    <w:rsid w:val="008F4E14"/>
    <w:rsid w:val="008F6827"/>
    <w:rsid w:val="008F6FDE"/>
    <w:rsid w:val="008F7C70"/>
    <w:rsid w:val="009006DA"/>
    <w:rsid w:val="00901871"/>
    <w:rsid w:val="00902303"/>
    <w:rsid w:val="0090313F"/>
    <w:rsid w:val="009037BF"/>
    <w:rsid w:val="0090382D"/>
    <w:rsid w:val="0090487B"/>
    <w:rsid w:val="00904B5F"/>
    <w:rsid w:val="00904CC3"/>
    <w:rsid w:val="0090753C"/>
    <w:rsid w:val="00907AC4"/>
    <w:rsid w:val="00907BC4"/>
    <w:rsid w:val="0091155D"/>
    <w:rsid w:val="009119FB"/>
    <w:rsid w:val="00913104"/>
    <w:rsid w:val="00913889"/>
    <w:rsid w:val="00913F2A"/>
    <w:rsid w:val="009143B8"/>
    <w:rsid w:val="00914B10"/>
    <w:rsid w:val="00914FBD"/>
    <w:rsid w:val="00915068"/>
    <w:rsid w:val="009159FC"/>
    <w:rsid w:val="00915C53"/>
    <w:rsid w:val="0091627D"/>
    <w:rsid w:val="00916CEB"/>
    <w:rsid w:val="009178EA"/>
    <w:rsid w:val="00917C5A"/>
    <w:rsid w:val="0092002B"/>
    <w:rsid w:val="00920874"/>
    <w:rsid w:val="00922128"/>
    <w:rsid w:val="009222CA"/>
    <w:rsid w:val="00922E8B"/>
    <w:rsid w:val="009230FD"/>
    <w:rsid w:val="0092339C"/>
    <w:rsid w:val="00925316"/>
    <w:rsid w:val="00925762"/>
    <w:rsid w:val="00925BAC"/>
    <w:rsid w:val="00926FE4"/>
    <w:rsid w:val="00927501"/>
    <w:rsid w:val="00927E48"/>
    <w:rsid w:val="00930FF8"/>
    <w:rsid w:val="009318AD"/>
    <w:rsid w:val="00931A82"/>
    <w:rsid w:val="00931E4F"/>
    <w:rsid w:val="0093235F"/>
    <w:rsid w:val="00932614"/>
    <w:rsid w:val="00933DA5"/>
    <w:rsid w:val="00933ED4"/>
    <w:rsid w:val="009345A7"/>
    <w:rsid w:val="00934B5E"/>
    <w:rsid w:val="00935804"/>
    <w:rsid w:val="00935EA9"/>
    <w:rsid w:val="009375B3"/>
    <w:rsid w:val="00937715"/>
    <w:rsid w:val="009401CF"/>
    <w:rsid w:val="009407DA"/>
    <w:rsid w:val="0094256C"/>
    <w:rsid w:val="00942A90"/>
    <w:rsid w:val="00942B10"/>
    <w:rsid w:val="00943AD1"/>
    <w:rsid w:val="00943FC9"/>
    <w:rsid w:val="0094453D"/>
    <w:rsid w:val="009457A7"/>
    <w:rsid w:val="00946CB7"/>
    <w:rsid w:val="00946FDC"/>
    <w:rsid w:val="00947A9E"/>
    <w:rsid w:val="00950007"/>
    <w:rsid w:val="009510F8"/>
    <w:rsid w:val="009511DD"/>
    <w:rsid w:val="00951D63"/>
    <w:rsid w:val="00952907"/>
    <w:rsid w:val="00952972"/>
    <w:rsid w:val="009531A4"/>
    <w:rsid w:val="00953203"/>
    <w:rsid w:val="0095451D"/>
    <w:rsid w:val="00954F79"/>
    <w:rsid w:val="00955FC8"/>
    <w:rsid w:val="009560E7"/>
    <w:rsid w:val="00956649"/>
    <w:rsid w:val="009569D5"/>
    <w:rsid w:val="00956F71"/>
    <w:rsid w:val="00957DAD"/>
    <w:rsid w:val="0096064E"/>
    <w:rsid w:val="00960E35"/>
    <w:rsid w:val="009611EF"/>
    <w:rsid w:val="0096153E"/>
    <w:rsid w:val="00962BF8"/>
    <w:rsid w:val="009631B0"/>
    <w:rsid w:val="00963E4D"/>
    <w:rsid w:val="00964156"/>
    <w:rsid w:val="00966199"/>
    <w:rsid w:val="00966D80"/>
    <w:rsid w:val="009700CC"/>
    <w:rsid w:val="009708D8"/>
    <w:rsid w:val="00970B50"/>
    <w:rsid w:val="009728BB"/>
    <w:rsid w:val="00972C02"/>
    <w:rsid w:val="00972C49"/>
    <w:rsid w:val="00973068"/>
    <w:rsid w:val="009737E5"/>
    <w:rsid w:val="00974DB8"/>
    <w:rsid w:val="009752B7"/>
    <w:rsid w:val="00976017"/>
    <w:rsid w:val="00976638"/>
    <w:rsid w:val="00976664"/>
    <w:rsid w:val="009773C6"/>
    <w:rsid w:val="00981725"/>
    <w:rsid w:val="00981FC4"/>
    <w:rsid w:val="00984098"/>
    <w:rsid w:val="00984C35"/>
    <w:rsid w:val="00986345"/>
    <w:rsid w:val="009863DB"/>
    <w:rsid w:val="009868FC"/>
    <w:rsid w:val="00986C1B"/>
    <w:rsid w:val="00986FFE"/>
    <w:rsid w:val="0098706A"/>
    <w:rsid w:val="00992547"/>
    <w:rsid w:val="0099360C"/>
    <w:rsid w:val="00994973"/>
    <w:rsid w:val="00994A11"/>
    <w:rsid w:val="00994EE9"/>
    <w:rsid w:val="00995A5C"/>
    <w:rsid w:val="00996163"/>
    <w:rsid w:val="0099675A"/>
    <w:rsid w:val="00996AA8"/>
    <w:rsid w:val="00996D7A"/>
    <w:rsid w:val="00996DC5"/>
    <w:rsid w:val="00996E18"/>
    <w:rsid w:val="00997139"/>
    <w:rsid w:val="009972D4"/>
    <w:rsid w:val="00997CD4"/>
    <w:rsid w:val="00997FE6"/>
    <w:rsid w:val="009A0464"/>
    <w:rsid w:val="009A176D"/>
    <w:rsid w:val="009A32E6"/>
    <w:rsid w:val="009A35A5"/>
    <w:rsid w:val="009A3861"/>
    <w:rsid w:val="009A3E6D"/>
    <w:rsid w:val="009A3FE8"/>
    <w:rsid w:val="009A4340"/>
    <w:rsid w:val="009A6355"/>
    <w:rsid w:val="009A6467"/>
    <w:rsid w:val="009A742A"/>
    <w:rsid w:val="009A7A2B"/>
    <w:rsid w:val="009B13CE"/>
    <w:rsid w:val="009B1DC4"/>
    <w:rsid w:val="009B21D9"/>
    <w:rsid w:val="009B2670"/>
    <w:rsid w:val="009B354E"/>
    <w:rsid w:val="009B5987"/>
    <w:rsid w:val="009B5B4F"/>
    <w:rsid w:val="009B61B5"/>
    <w:rsid w:val="009B67A0"/>
    <w:rsid w:val="009B6CEF"/>
    <w:rsid w:val="009C06D8"/>
    <w:rsid w:val="009C0B43"/>
    <w:rsid w:val="009C1846"/>
    <w:rsid w:val="009C1BCB"/>
    <w:rsid w:val="009C1EF5"/>
    <w:rsid w:val="009C1FD0"/>
    <w:rsid w:val="009C226D"/>
    <w:rsid w:val="009C2CE0"/>
    <w:rsid w:val="009C324B"/>
    <w:rsid w:val="009C3D13"/>
    <w:rsid w:val="009C3D49"/>
    <w:rsid w:val="009C4490"/>
    <w:rsid w:val="009C653B"/>
    <w:rsid w:val="009C793E"/>
    <w:rsid w:val="009C7D09"/>
    <w:rsid w:val="009D1E10"/>
    <w:rsid w:val="009D46C3"/>
    <w:rsid w:val="009D5144"/>
    <w:rsid w:val="009D529A"/>
    <w:rsid w:val="009D67DD"/>
    <w:rsid w:val="009D6C3C"/>
    <w:rsid w:val="009D739A"/>
    <w:rsid w:val="009D752B"/>
    <w:rsid w:val="009D7748"/>
    <w:rsid w:val="009E0068"/>
    <w:rsid w:val="009E0932"/>
    <w:rsid w:val="009E09BB"/>
    <w:rsid w:val="009E0F72"/>
    <w:rsid w:val="009E167E"/>
    <w:rsid w:val="009E25D7"/>
    <w:rsid w:val="009E3A6C"/>
    <w:rsid w:val="009E3A9B"/>
    <w:rsid w:val="009E4351"/>
    <w:rsid w:val="009E482C"/>
    <w:rsid w:val="009E4C14"/>
    <w:rsid w:val="009E57FB"/>
    <w:rsid w:val="009E5C5C"/>
    <w:rsid w:val="009E6106"/>
    <w:rsid w:val="009E6407"/>
    <w:rsid w:val="009E6BFE"/>
    <w:rsid w:val="009E79C3"/>
    <w:rsid w:val="009F000C"/>
    <w:rsid w:val="009F0147"/>
    <w:rsid w:val="009F088E"/>
    <w:rsid w:val="009F0A93"/>
    <w:rsid w:val="009F0EE9"/>
    <w:rsid w:val="009F2CDC"/>
    <w:rsid w:val="009F308D"/>
    <w:rsid w:val="009F3E70"/>
    <w:rsid w:val="009F3F6C"/>
    <w:rsid w:val="009F45C4"/>
    <w:rsid w:val="009F46F1"/>
    <w:rsid w:val="009F4986"/>
    <w:rsid w:val="009F5384"/>
    <w:rsid w:val="009F542D"/>
    <w:rsid w:val="009F5A92"/>
    <w:rsid w:val="009F5CBD"/>
    <w:rsid w:val="009F7C34"/>
    <w:rsid w:val="00A00351"/>
    <w:rsid w:val="00A01D92"/>
    <w:rsid w:val="00A02539"/>
    <w:rsid w:val="00A0374D"/>
    <w:rsid w:val="00A0472E"/>
    <w:rsid w:val="00A04E83"/>
    <w:rsid w:val="00A0647C"/>
    <w:rsid w:val="00A06E11"/>
    <w:rsid w:val="00A0770D"/>
    <w:rsid w:val="00A103BD"/>
    <w:rsid w:val="00A10D58"/>
    <w:rsid w:val="00A11A02"/>
    <w:rsid w:val="00A132CD"/>
    <w:rsid w:val="00A14227"/>
    <w:rsid w:val="00A14359"/>
    <w:rsid w:val="00A1452D"/>
    <w:rsid w:val="00A14FC6"/>
    <w:rsid w:val="00A15070"/>
    <w:rsid w:val="00A1595B"/>
    <w:rsid w:val="00A15F96"/>
    <w:rsid w:val="00A16B24"/>
    <w:rsid w:val="00A200C9"/>
    <w:rsid w:val="00A20C5D"/>
    <w:rsid w:val="00A20CD3"/>
    <w:rsid w:val="00A213A5"/>
    <w:rsid w:val="00A21985"/>
    <w:rsid w:val="00A22CA1"/>
    <w:rsid w:val="00A22DDD"/>
    <w:rsid w:val="00A23157"/>
    <w:rsid w:val="00A23484"/>
    <w:rsid w:val="00A252F9"/>
    <w:rsid w:val="00A26676"/>
    <w:rsid w:val="00A27381"/>
    <w:rsid w:val="00A30495"/>
    <w:rsid w:val="00A329F4"/>
    <w:rsid w:val="00A32D84"/>
    <w:rsid w:val="00A331D0"/>
    <w:rsid w:val="00A3351F"/>
    <w:rsid w:val="00A3374D"/>
    <w:rsid w:val="00A3441F"/>
    <w:rsid w:val="00A34BBF"/>
    <w:rsid w:val="00A36703"/>
    <w:rsid w:val="00A36E74"/>
    <w:rsid w:val="00A370F4"/>
    <w:rsid w:val="00A3745A"/>
    <w:rsid w:val="00A376CA"/>
    <w:rsid w:val="00A37FAC"/>
    <w:rsid w:val="00A40EB6"/>
    <w:rsid w:val="00A41428"/>
    <w:rsid w:val="00A415DC"/>
    <w:rsid w:val="00A43697"/>
    <w:rsid w:val="00A43AD1"/>
    <w:rsid w:val="00A43CF3"/>
    <w:rsid w:val="00A44051"/>
    <w:rsid w:val="00A44737"/>
    <w:rsid w:val="00A44D26"/>
    <w:rsid w:val="00A45253"/>
    <w:rsid w:val="00A45A04"/>
    <w:rsid w:val="00A461B7"/>
    <w:rsid w:val="00A464E2"/>
    <w:rsid w:val="00A46519"/>
    <w:rsid w:val="00A5106B"/>
    <w:rsid w:val="00A5224A"/>
    <w:rsid w:val="00A5273B"/>
    <w:rsid w:val="00A53E4D"/>
    <w:rsid w:val="00A544F9"/>
    <w:rsid w:val="00A54842"/>
    <w:rsid w:val="00A54B75"/>
    <w:rsid w:val="00A55334"/>
    <w:rsid w:val="00A559E1"/>
    <w:rsid w:val="00A55A46"/>
    <w:rsid w:val="00A5622F"/>
    <w:rsid w:val="00A569AC"/>
    <w:rsid w:val="00A60335"/>
    <w:rsid w:val="00A60B7B"/>
    <w:rsid w:val="00A61A2E"/>
    <w:rsid w:val="00A6330E"/>
    <w:rsid w:val="00A63B05"/>
    <w:rsid w:val="00A64052"/>
    <w:rsid w:val="00A642ED"/>
    <w:rsid w:val="00A64955"/>
    <w:rsid w:val="00A66ADE"/>
    <w:rsid w:val="00A66AE3"/>
    <w:rsid w:val="00A670F8"/>
    <w:rsid w:val="00A6718B"/>
    <w:rsid w:val="00A701DE"/>
    <w:rsid w:val="00A70890"/>
    <w:rsid w:val="00A71589"/>
    <w:rsid w:val="00A71627"/>
    <w:rsid w:val="00A72131"/>
    <w:rsid w:val="00A7333E"/>
    <w:rsid w:val="00A73857"/>
    <w:rsid w:val="00A73B0C"/>
    <w:rsid w:val="00A75A57"/>
    <w:rsid w:val="00A764E9"/>
    <w:rsid w:val="00A76E3B"/>
    <w:rsid w:val="00A76FEA"/>
    <w:rsid w:val="00A77C3A"/>
    <w:rsid w:val="00A77FD2"/>
    <w:rsid w:val="00A81394"/>
    <w:rsid w:val="00A81D48"/>
    <w:rsid w:val="00A81F28"/>
    <w:rsid w:val="00A84051"/>
    <w:rsid w:val="00A85286"/>
    <w:rsid w:val="00A855A4"/>
    <w:rsid w:val="00A85674"/>
    <w:rsid w:val="00A86A54"/>
    <w:rsid w:val="00A9003C"/>
    <w:rsid w:val="00A906C2"/>
    <w:rsid w:val="00A90C08"/>
    <w:rsid w:val="00A9361C"/>
    <w:rsid w:val="00A940FF"/>
    <w:rsid w:val="00A945A7"/>
    <w:rsid w:val="00A948E5"/>
    <w:rsid w:val="00A94AAD"/>
    <w:rsid w:val="00A94E92"/>
    <w:rsid w:val="00A94FD4"/>
    <w:rsid w:val="00A960CA"/>
    <w:rsid w:val="00A97F37"/>
    <w:rsid w:val="00AA03DE"/>
    <w:rsid w:val="00AA0993"/>
    <w:rsid w:val="00AA15AF"/>
    <w:rsid w:val="00AA3065"/>
    <w:rsid w:val="00AA41D4"/>
    <w:rsid w:val="00AA4AF3"/>
    <w:rsid w:val="00AA6303"/>
    <w:rsid w:val="00AA6A81"/>
    <w:rsid w:val="00AA71EA"/>
    <w:rsid w:val="00AB0A0F"/>
    <w:rsid w:val="00AB0B21"/>
    <w:rsid w:val="00AB1BF5"/>
    <w:rsid w:val="00AB32C4"/>
    <w:rsid w:val="00AB38D8"/>
    <w:rsid w:val="00AB3965"/>
    <w:rsid w:val="00AB4746"/>
    <w:rsid w:val="00AB618E"/>
    <w:rsid w:val="00AB70D5"/>
    <w:rsid w:val="00AB7626"/>
    <w:rsid w:val="00AC02DD"/>
    <w:rsid w:val="00AC03E5"/>
    <w:rsid w:val="00AC0ECC"/>
    <w:rsid w:val="00AC17BA"/>
    <w:rsid w:val="00AC2001"/>
    <w:rsid w:val="00AC2D4B"/>
    <w:rsid w:val="00AC2EF6"/>
    <w:rsid w:val="00AC429B"/>
    <w:rsid w:val="00AC43DF"/>
    <w:rsid w:val="00AC5E22"/>
    <w:rsid w:val="00AC6404"/>
    <w:rsid w:val="00AC65CF"/>
    <w:rsid w:val="00AC6B6C"/>
    <w:rsid w:val="00AC6ED7"/>
    <w:rsid w:val="00AC6F07"/>
    <w:rsid w:val="00AC7344"/>
    <w:rsid w:val="00AD0C7B"/>
    <w:rsid w:val="00AD1255"/>
    <w:rsid w:val="00AD1A70"/>
    <w:rsid w:val="00AD2FF1"/>
    <w:rsid w:val="00AD3822"/>
    <w:rsid w:val="00AD3E6F"/>
    <w:rsid w:val="00AD445B"/>
    <w:rsid w:val="00AD4AB5"/>
    <w:rsid w:val="00AD4BBE"/>
    <w:rsid w:val="00AD5C78"/>
    <w:rsid w:val="00AD67B9"/>
    <w:rsid w:val="00AD6AD3"/>
    <w:rsid w:val="00AD71B0"/>
    <w:rsid w:val="00AD7BE3"/>
    <w:rsid w:val="00AE01DA"/>
    <w:rsid w:val="00AE0278"/>
    <w:rsid w:val="00AE0505"/>
    <w:rsid w:val="00AE14A9"/>
    <w:rsid w:val="00AE397A"/>
    <w:rsid w:val="00AE4803"/>
    <w:rsid w:val="00AE4AC2"/>
    <w:rsid w:val="00AE4E31"/>
    <w:rsid w:val="00AE57BE"/>
    <w:rsid w:val="00AE63A7"/>
    <w:rsid w:val="00AE685A"/>
    <w:rsid w:val="00AE6A97"/>
    <w:rsid w:val="00AE7C58"/>
    <w:rsid w:val="00AE7D07"/>
    <w:rsid w:val="00AE7F2F"/>
    <w:rsid w:val="00AF0929"/>
    <w:rsid w:val="00AF0B84"/>
    <w:rsid w:val="00AF14A8"/>
    <w:rsid w:val="00AF24B8"/>
    <w:rsid w:val="00AF3168"/>
    <w:rsid w:val="00AF35E3"/>
    <w:rsid w:val="00AF4279"/>
    <w:rsid w:val="00AF42EA"/>
    <w:rsid w:val="00AF4A4F"/>
    <w:rsid w:val="00AF665D"/>
    <w:rsid w:val="00AF6D65"/>
    <w:rsid w:val="00AF72E2"/>
    <w:rsid w:val="00B00A7D"/>
    <w:rsid w:val="00B00D6A"/>
    <w:rsid w:val="00B00FB6"/>
    <w:rsid w:val="00B025E5"/>
    <w:rsid w:val="00B02752"/>
    <w:rsid w:val="00B02CBC"/>
    <w:rsid w:val="00B0341D"/>
    <w:rsid w:val="00B03954"/>
    <w:rsid w:val="00B0400C"/>
    <w:rsid w:val="00B0418A"/>
    <w:rsid w:val="00B0447F"/>
    <w:rsid w:val="00B04DF7"/>
    <w:rsid w:val="00B05555"/>
    <w:rsid w:val="00B06990"/>
    <w:rsid w:val="00B06D0D"/>
    <w:rsid w:val="00B07000"/>
    <w:rsid w:val="00B07458"/>
    <w:rsid w:val="00B125FC"/>
    <w:rsid w:val="00B139CF"/>
    <w:rsid w:val="00B148B1"/>
    <w:rsid w:val="00B14AC2"/>
    <w:rsid w:val="00B157D1"/>
    <w:rsid w:val="00B16769"/>
    <w:rsid w:val="00B17279"/>
    <w:rsid w:val="00B17C1D"/>
    <w:rsid w:val="00B20163"/>
    <w:rsid w:val="00B210A5"/>
    <w:rsid w:val="00B21809"/>
    <w:rsid w:val="00B21B8B"/>
    <w:rsid w:val="00B228FB"/>
    <w:rsid w:val="00B229FA"/>
    <w:rsid w:val="00B22FD1"/>
    <w:rsid w:val="00B23407"/>
    <w:rsid w:val="00B239F0"/>
    <w:rsid w:val="00B241CE"/>
    <w:rsid w:val="00B24379"/>
    <w:rsid w:val="00B25175"/>
    <w:rsid w:val="00B2619A"/>
    <w:rsid w:val="00B2673F"/>
    <w:rsid w:val="00B30A06"/>
    <w:rsid w:val="00B3116F"/>
    <w:rsid w:val="00B322C1"/>
    <w:rsid w:val="00B34EB6"/>
    <w:rsid w:val="00B35F23"/>
    <w:rsid w:val="00B36DF8"/>
    <w:rsid w:val="00B400EF"/>
    <w:rsid w:val="00B40A48"/>
    <w:rsid w:val="00B410CE"/>
    <w:rsid w:val="00B42A49"/>
    <w:rsid w:val="00B43470"/>
    <w:rsid w:val="00B4435F"/>
    <w:rsid w:val="00B448E4"/>
    <w:rsid w:val="00B44EBD"/>
    <w:rsid w:val="00B4582C"/>
    <w:rsid w:val="00B466BB"/>
    <w:rsid w:val="00B46B6B"/>
    <w:rsid w:val="00B4722F"/>
    <w:rsid w:val="00B500B5"/>
    <w:rsid w:val="00B50707"/>
    <w:rsid w:val="00B519E1"/>
    <w:rsid w:val="00B51EF2"/>
    <w:rsid w:val="00B52157"/>
    <w:rsid w:val="00B52190"/>
    <w:rsid w:val="00B52FC3"/>
    <w:rsid w:val="00B537D1"/>
    <w:rsid w:val="00B53CD3"/>
    <w:rsid w:val="00B53E68"/>
    <w:rsid w:val="00B541F0"/>
    <w:rsid w:val="00B54750"/>
    <w:rsid w:val="00B54AAE"/>
    <w:rsid w:val="00B551C7"/>
    <w:rsid w:val="00B569B7"/>
    <w:rsid w:val="00B56D4B"/>
    <w:rsid w:val="00B570D6"/>
    <w:rsid w:val="00B57ECD"/>
    <w:rsid w:val="00B60A17"/>
    <w:rsid w:val="00B60AC7"/>
    <w:rsid w:val="00B616F4"/>
    <w:rsid w:val="00B61A41"/>
    <w:rsid w:val="00B62F84"/>
    <w:rsid w:val="00B63BD0"/>
    <w:rsid w:val="00B64449"/>
    <w:rsid w:val="00B64C49"/>
    <w:rsid w:val="00B64E65"/>
    <w:rsid w:val="00B6562D"/>
    <w:rsid w:val="00B65DA3"/>
    <w:rsid w:val="00B6609F"/>
    <w:rsid w:val="00B66DC4"/>
    <w:rsid w:val="00B671BB"/>
    <w:rsid w:val="00B67864"/>
    <w:rsid w:val="00B67DF0"/>
    <w:rsid w:val="00B67F3C"/>
    <w:rsid w:val="00B67F85"/>
    <w:rsid w:val="00B70D1B"/>
    <w:rsid w:val="00B70D7C"/>
    <w:rsid w:val="00B72C56"/>
    <w:rsid w:val="00B7311F"/>
    <w:rsid w:val="00B73499"/>
    <w:rsid w:val="00B73ADF"/>
    <w:rsid w:val="00B73DE7"/>
    <w:rsid w:val="00B743C9"/>
    <w:rsid w:val="00B75718"/>
    <w:rsid w:val="00B757D2"/>
    <w:rsid w:val="00B75B06"/>
    <w:rsid w:val="00B75D61"/>
    <w:rsid w:val="00B7628C"/>
    <w:rsid w:val="00B76F75"/>
    <w:rsid w:val="00B7725E"/>
    <w:rsid w:val="00B7730B"/>
    <w:rsid w:val="00B7737E"/>
    <w:rsid w:val="00B77A7A"/>
    <w:rsid w:val="00B77CC6"/>
    <w:rsid w:val="00B812A3"/>
    <w:rsid w:val="00B81765"/>
    <w:rsid w:val="00B81D71"/>
    <w:rsid w:val="00B8243E"/>
    <w:rsid w:val="00B82CA9"/>
    <w:rsid w:val="00B82ED1"/>
    <w:rsid w:val="00B83F42"/>
    <w:rsid w:val="00B8456E"/>
    <w:rsid w:val="00B8530E"/>
    <w:rsid w:val="00B86608"/>
    <w:rsid w:val="00B86CD7"/>
    <w:rsid w:val="00B8702F"/>
    <w:rsid w:val="00B90E62"/>
    <w:rsid w:val="00B91345"/>
    <w:rsid w:val="00B91FB2"/>
    <w:rsid w:val="00B93181"/>
    <w:rsid w:val="00B93A0B"/>
    <w:rsid w:val="00B9435B"/>
    <w:rsid w:val="00B9490B"/>
    <w:rsid w:val="00B950E9"/>
    <w:rsid w:val="00B963AB"/>
    <w:rsid w:val="00B96AF3"/>
    <w:rsid w:val="00B96EA9"/>
    <w:rsid w:val="00B97737"/>
    <w:rsid w:val="00B9786F"/>
    <w:rsid w:val="00B97B9C"/>
    <w:rsid w:val="00BA086E"/>
    <w:rsid w:val="00BA08A1"/>
    <w:rsid w:val="00BA1318"/>
    <w:rsid w:val="00BA1354"/>
    <w:rsid w:val="00BA14B5"/>
    <w:rsid w:val="00BA1776"/>
    <w:rsid w:val="00BA1A03"/>
    <w:rsid w:val="00BA1E57"/>
    <w:rsid w:val="00BA2CCE"/>
    <w:rsid w:val="00BA4383"/>
    <w:rsid w:val="00BA493A"/>
    <w:rsid w:val="00BB17ED"/>
    <w:rsid w:val="00BB1A63"/>
    <w:rsid w:val="00BB34B0"/>
    <w:rsid w:val="00BB3962"/>
    <w:rsid w:val="00BB3DB3"/>
    <w:rsid w:val="00BB4495"/>
    <w:rsid w:val="00BB44F7"/>
    <w:rsid w:val="00BB455F"/>
    <w:rsid w:val="00BB49BC"/>
    <w:rsid w:val="00BB53C0"/>
    <w:rsid w:val="00BB5C5B"/>
    <w:rsid w:val="00BB650D"/>
    <w:rsid w:val="00BB728D"/>
    <w:rsid w:val="00BB7401"/>
    <w:rsid w:val="00BB784B"/>
    <w:rsid w:val="00BC13AE"/>
    <w:rsid w:val="00BC18AA"/>
    <w:rsid w:val="00BC18C3"/>
    <w:rsid w:val="00BC1A1E"/>
    <w:rsid w:val="00BC20C7"/>
    <w:rsid w:val="00BC381D"/>
    <w:rsid w:val="00BC3C22"/>
    <w:rsid w:val="00BC3DE3"/>
    <w:rsid w:val="00BC5C4B"/>
    <w:rsid w:val="00BC634A"/>
    <w:rsid w:val="00BC7164"/>
    <w:rsid w:val="00BC7E58"/>
    <w:rsid w:val="00BD17E7"/>
    <w:rsid w:val="00BD27B1"/>
    <w:rsid w:val="00BD3F2D"/>
    <w:rsid w:val="00BD46DF"/>
    <w:rsid w:val="00BD5F7D"/>
    <w:rsid w:val="00BD672F"/>
    <w:rsid w:val="00BD6B5F"/>
    <w:rsid w:val="00BD6E18"/>
    <w:rsid w:val="00BD7679"/>
    <w:rsid w:val="00BE0BCB"/>
    <w:rsid w:val="00BE0C2A"/>
    <w:rsid w:val="00BE15EB"/>
    <w:rsid w:val="00BE1B1B"/>
    <w:rsid w:val="00BE22E2"/>
    <w:rsid w:val="00BE2BEF"/>
    <w:rsid w:val="00BE3973"/>
    <w:rsid w:val="00BE4408"/>
    <w:rsid w:val="00BE4F07"/>
    <w:rsid w:val="00BE5105"/>
    <w:rsid w:val="00BE536A"/>
    <w:rsid w:val="00BE5ADB"/>
    <w:rsid w:val="00BE5DDE"/>
    <w:rsid w:val="00BE6C5D"/>
    <w:rsid w:val="00BE753B"/>
    <w:rsid w:val="00BE7F5F"/>
    <w:rsid w:val="00BF04F5"/>
    <w:rsid w:val="00BF05AB"/>
    <w:rsid w:val="00BF102D"/>
    <w:rsid w:val="00BF1FA7"/>
    <w:rsid w:val="00BF24EE"/>
    <w:rsid w:val="00BF2CD6"/>
    <w:rsid w:val="00BF2D37"/>
    <w:rsid w:val="00BF2DDC"/>
    <w:rsid w:val="00BF2FB9"/>
    <w:rsid w:val="00BF34AA"/>
    <w:rsid w:val="00BF4049"/>
    <w:rsid w:val="00BF4301"/>
    <w:rsid w:val="00BF4B91"/>
    <w:rsid w:val="00BF571C"/>
    <w:rsid w:val="00BF598C"/>
    <w:rsid w:val="00BF5BCF"/>
    <w:rsid w:val="00BF6B55"/>
    <w:rsid w:val="00BF6D85"/>
    <w:rsid w:val="00BF7A56"/>
    <w:rsid w:val="00BF7AD5"/>
    <w:rsid w:val="00C007CB"/>
    <w:rsid w:val="00C00A79"/>
    <w:rsid w:val="00C00F91"/>
    <w:rsid w:val="00C01299"/>
    <w:rsid w:val="00C013CD"/>
    <w:rsid w:val="00C018F4"/>
    <w:rsid w:val="00C027EF"/>
    <w:rsid w:val="00C02EF0"/>
    <w:rsid w:val="00C0349C"/>
    <w:rsid w:val="00C0366D"/>
    <w:rsid w:val="00C038BA"/>
    <w:rsid w:val="00C03935"/>
    <w:rsid w:val="00C03C51"/>
    <w:rsid w:val="00C0413A"/>
    <w:rsid w:val="00C0485B"/>
    <w:rsid w:val="00C05CE3"/>
    <w:rsid w:val="00C06135"/>
    <w:rsid w:val="00C0695C"/>
    <w:rsid w:val="00C06BDC"/>
    <w:rsid w:val="00C07E13"/>
    <w:rsid w:val="00C1021E"/>
    <w:rsid w:val="00C10DDD"/>
    <w:rsid w:val="00C13C57"/>
    <w:rsid w:val="00C15A68"/>
    <w:rsid w:val="00C1664C"/>
    <w:rsid w:val="00C16807"/>
    <w:rsid w:val="00C17597"/>
    <w:rsid w:val="00C17A85"/>
    <w:rsid w:val="00C205E0"/>
    <w:rsid w:val="00C214C9"/>
    <w:rsid w:val="00C220B9"/>
    <w:rsid w:val="00C22274"/>
    <w:rsid w:val="00C22887"/>
    <w:rsid w:val="00C22E6F"/>
    <w:rsid w:val="00C231A4"/>
    <w:rsid w:val="00C237E5"/>
    <w:rsid w:val="00C23B0E"/>
    <w:rsid w:val="00C23DDD"/>
    <w:rsid w:val="00C24082"/>
    <w:rsid w:val="00C251CA"/>
    <w:rsid w:val="00C25344"/>
    <w:rsid w:val="00C25489"/>
    <w:rsid w:val="00C25729"/>
    <w:rsid w:val="00C2682F"/>
    <w:rsid w:val="00C30E79"/>
    <w:rsid w:val="00C30FD7"/>
    <w:rsid w:val="00C31060"/>
    <w:rsid w:val="00C31164"/>
    <w:rsid w:val="00C3198B"/>
    <w:rsid w:val="00C32014"/>
    <w:rsid w:val="00C32F5C"/>
    <w:rsid w:val="00C333F2"/>
    <w:rsid w:val="00C346F6"/>
    <w:rsid w:val="00C34A7A"/>
    <w:rsid w:val="00C3503A"/>
    <w:rsid w:val="00C36626"/>
    <w:rsid w:val="00C36895"/>
    <w:rsid w:val="00C405E8"/>
    <w:rsid w:val="00C40916"/>
    <w:rsid w:val="00C445ED"/>
    <w:rsid w:val="00C446BF"/>
    <w:rsid w:val="00C45500"/>
    <w:rsid w:val="00C45AF9"/>
    <w:rsid w:val="00C45E26"/>
    <w:rsid w:val="00C468FF"/>
    <w:rsid w:val="00C4726D"/>
    <w:rsid w:val="00C474DB"/>
    <w:rsid w:val="00C47BD4"/>
    <w:rsid w:val="00C47C49"/>
    <w:rsid w:val="00C51626"/>
    <w:rsid w:val="00C51804"/>
    <w:rsid w:val="00C51C6B"/>
    <w:rsid w:val="00C51E71"/>
    <w:rsid w:val="00C525AC"/>
    <w:rsid w:val="00C53B32"/>
    <w:rsid w:val="00C53FB3"/>
    <w:rsid w:val="00C544D1"/>
    <w:rsid w:val="00C551CE"/>
    <w:rsid w:val="00C5699F"/>
    <w:rsid w:val="00C56E7D"/>
    <w:rsid w:val="00C57959"/>
    <w:rsid w:val="00C62179"/>
    <w:rsid w:val="00C6218E"/>
    <w:rsid w:val="00C62418"/>
    <w:rsid w:val="00C627E7"/>
    <w:rsid w:val="00C62C55"/>
    <w:rsid w:val="00C6393D"/>
    <w:rsid w:val="00C63F08"/>
    <w:rsid w:val="00C6407B"/>
    <w:rsid w:val="00C64A7A"/>
    <w:rsid w:val="00C6554C"/>
    <w:rsid w:val="00C661B6"/>
    <w:rsid w:val="00C66239"/>
    <w:rsid w:val="00C70C78"/>
    <w:rsid w:val="00C70DB9"/>
    <w:rsid w:val="00C7216C"/>
    <w:rsid w:val="00C727F8"/>
    <w:rsid w:val="00C729C0"/>
    <w:rsid w:val="00C73BB2"/>
    <w:rsid w:val="00C73DA0"/>
    <w:rsid w:val="00C74A7C"/>
    <w:rsid w:val="00C75C27"/>
    <w:rsid w:val="00C7606F"/>
    <w:rsid w:val="00C807E2"/>
    <w:rsid w:val="00C8101E"/>
    <w:rsid w:val="00C8189E"/>
    <w:rsid w:val="00C81DB6"/>
    <w:rsid w:val="00C82D0D"/>
    <w:rsid w:val="00C8370A"/>
    <w:rsid w:val="00C8382F"/>
    <w:rsid w:val="00C840EF"/>
    <w:rsid w:val="00C84893"/>
    <w:rsid w:val="00C85111"/>
    <w:rsid w:val="00C85439"/>
    <w:rsid w:val="00C85486"/>
    <w:rsid w:val="00C85631"/>
    <w:rsid w:val="00C86224"/>
    <w:rsid w:val="00C87AC2"/>
    <w:rsid w:val="00C87B93"/>
    <w:rsid w:val="00C90AEC"/>
    <w:rsid w:val="00C9106F"/>
    <w:rsid w:val="00C915AC"/>
    <w:rsid w:val="00C921B8"/>
    <w:rsid w:val="00C924FF"/>
    <w:rsid w:val="00C92D8A"/>
    <w:rsid w:val="00C93491"/>
    <w:rsid w:val="00C935A9"/>
    <w:rsid w:val="00C94449"/>
    <w:rsid w:val="00C94D18"/>
    <w:rsid w:val="00C952B6"/>
    <w:rsid w:val="00C96868"/>
    <w:rsid w:val="00C96EB5"/>
    <w:rsid w:val="00C97523"/>
    <w:rsid w:val="00C97538"/>
    <w:rsid w:val="00C9767B"/>
    <w:rsid w:val="00C979B0"/>
    <w:rsid w:val="00CA0B71"/>
    <w:rsid w:val="00CA1680"/>
    <w:rsid w:val="00CA1893"/>
    <w:rsid w:val="00CA498E"/>
    <w:rsid w:val="00CA4E6A"/>
    <w:rsid w:val="00CA50C2"/>
    <w:rsid w:val="00CA5812"/>
    <w:rsid w:val="00CA5BE2"/>
    <w:rsid w:val="00CA6417"/>
    <w:rsid w:val="00CA6CF2"/>
    <w:rsid w:val="00CA7C5A"/>
    <w:rsid w:val="00CA7DA1"/>
    <w:rsid w:val="00CB03DF"/>
    <w:rsid w:val="00CB255E"/>
    <w:rsid w:val="00CB4543"/>
    <w:rsid w:val="00CB4CFC"/>
    <w:rsid w:val="00CB50BC"/>
    <w:rsid w:val="00CB783C"/>
    <w:rsid w:val="00CB7913"/>
    <w:rsid w:val="00CB7B01"/>
    <w:rsid w:val="00CB7B3C"/>
    <w:rsid w:val="00CC0690"/>
    <w:rsid w:val="00CC0B8C"/>
    <w:rsid w:val="00CC174C"/>
    <w:rsid w:val="00CC234E"/>
    <w:rsid w:val="00CC29EA"/>
    <w:rsid w:val="00CC2CA3"/>
    <w:rsid w:val="00CC2E55"/>
    <w:rsid w:val="00CC35AE"/>
    <w:rsid w:val="00CC3656"/>
    <w:rsid w:val="00CC42B1"/>
    <w:rsid w:val="00CC497E"/>
    <w:rsid w:val="00CC57FA"/>
    <w:rsid w:val="00CC58FD"/>
    <w:rsid w:val="00CC5D5C"/>
    <w:rsid w:val="00CC6253"/>
    <w:rsid w:val="00CC71BC"/>
    <w:rsid w:val="00CC7231"/>
    <w:rsid w:val="00CD0539"/>
    <w:rsid w:val="00CD0D52"/>
    <w:rsid w:val="00CD0FE9"/>
    <w:rsid w:val="00CD1B3E"/>
    <w:rsid w:val="00CD1B6F"/>
    <w:rsid w:val="00CD1D52"/>
    <w:rsid w:val="00CD1F6B"/>
    <w:rsid w:val="00CD28F3"/>
    <w:rsid w:val="00CD2C1D"/>
    <w:rsid w:val="00CD3D8A"/>
    <w:rsid w:val="00CD49AD"/>
    <w:rsid w:val="00CD732B"/>
    <w:rsid w:val="00CD7A05"/>
    <w:rsid w:val="00CE015F"/>
    <w:rsid w:val="00CE01C6"/>
    <w:rsid w:val="00CE11CF"/>
    <w:rsid w:val="00CE2C55"/>
    <w:rsid w:val="00CE3472"/>
    <w:rsid w:val="00CE350E"/>
    <w:rsid w:val="00CE406C"/>
    <w:rsid w:val="00CE4C3C"/>
    <w:rsid w:val="00CE5298"/>
    <w:rsid w:val="00CE5400"/>
    <w:rsid w:val="00CE5669"/>
    <w:rsid w:val="00CE64AB"/>
    <w:rsid w:val="00CE77BA"/>
    <w:rsid w:val="00CF0D44"/>
    <w:rsid w:val="00CF16B3"/>
    <w:rsid w:val="00CF2D8F"/>
    <w:rsid w:val="00CF2F4C"/>
    <w:rsid w:val="00CF2F62"/>
    <w:rsid w:val="00CF4785"/>
    <w:rsid w:val="00CF4DA6"/>
    <w:rsid w:val="00CF5587"/>
    <w:rsid w:val="00CF590A"/>
    <w:rsid w:val="00CF5EB1"/>
    <w:rsid w:val="00CF64EE"/>
    <w:rsid w:val="00CF74A6"/>
    <w:rsid w:val="00CF7B78"/>
    <w:rsid w:val="00CF7CE9"/>
    <w:rsid w:val="00D018C8"/>
    <w:rsid w:val="00D01CFD"/>
    <w:rsid w:val="00D027D5"/>
    <w:rsid w:val="00D0316A"/>
    <w:rsid w:val="00D03979"/>
    <w:rsid w:val="00D03CF8"/>
    <w:rsid w:val="00D040EE"/>
    <w:rsid w:val="00D04462"/>
    <w:rsid w:val="00D06B4D"/>
    <w:rsid w:val="00D075F6"/>
    <w:rsid w:val="00D10349"/>
    <w:rsid w:val="00D10373"/>
    <w:rsid w:val="00D1177D"/>
    <w:rsid w:val="00D127C7"/>
    <w:rsid w:val="00D1308D"/>
    <w:rsid w:val="00D1403D"/>
    <w:rsid w:val="00D14861"/>
    <w:rsid w:val="00D14DAD"/>
    <w:rsid w:val="00D153AA"/>
    <w:rsid w:val="00D16D2F"/>
    <w:rsid w:val="00D17AD3"/>
    <w:rsid w:val="00D17E47"/>
    <w:rsid w:val="00D20A2D"/>
    <w:rsid w:val="00D21F1E"/>
    <w:rsid w:val="00D22AC5"/>
    <w:rsid w:val="00D22C90"/>
    <w:rsid w:val="00D236DD"/>
    <w:rsid w:val="00D241AB"/>
    <w:rsid w:val="00D241DD"/>
    <w:rsid w:val="00D266B0"/>
    <w:rsid w:val="00D26905"/>
    <w:rsid w:val="00D26EB6"/>
    <w:rsid w:val="00D31070"/>
    <w:rsid w:val="00D3179D"/>
    <w:rsid w:val="00D3191A"/>
    <w:rsid w:val="00D3289A"/>
    <w:rsid w:val="00D34138"/>
    <w:rsid w:val="00D3437F"/>
    <w:rsid w:val="00D35FF0"/>
    <w:rsid w:val="00D362DA"/>
    <w:rsid w:val="00D36762"/>
    <w:rsid w:val="00D36A03"/>
    <w:rsid w:val="00D372FC"/>
    <w:rsid w:val="00D3756A"/>
    <w:rsid w:val="00D37A2B"/>
    <w:rsid w:val="00D37B31"/>
    <w:rsid w:val="00D37DD3"/>
    <w:rsid w:val="00D37EF1"/>
    <w:rsid w:val="00D41305"/>
    <w:rsid w:val="00D41A87"/>
    <w:rsid w:val="00D420AA"/>
    <w:rsid w:val="00D427E2"/>
    <w:rsid w:val="00D42B77"/>
    <w:rsid w:val="00D42B86"/>
    <w:rsid w:val="00D43F66"/>
    <w:rsid w:val="00D441D7"/>
    <w:rsid w:val="00D447C1"/>
    <w:rsid w:val="00D44A1E"/>
    <w:rsid w:val="00D44F43"/>
    <w:rsid w:val="00D44F59"/>
    <w:rsid w:val="00D4519E"/>
    <w:rsid w:val="00D45A54"/>
    <w:rsid w:val="00D45A72"/>
    <w:rsid w:val="00D45B6B"/>
    <w:rsid w:val="00D45CA0"/>
    <w:rsid w:val="00D463AE"/>
    <w:rsid w:val="00D46737"/>
    <w:rsid w:val="00D46C12"/>
    <w:rsid w:val="00D5176B"/>
    <w:rsid w:val="00D52054"/>
    <w:rsid w:val="00D52A69"/>
    <w:rsid w:val="00D53224"/>
    <w:rsid w:val="00D542CA"/>
    <w:rsid w:val="00D54CA3"/>
    <w:rsid w:val="00D55DEB"/>
    <w:rsid w:val="00D56F16"/>
    <w:rsid w:val="00D57179"/>
    <w:rsid w:val="00D578B7"/>
    <w:rsid w:val="00D600ED"/>
    <w:rsid w:val="00D60D6A"/>
    <w:rsid w:val="00D60FDC"/>
    <w:rsid w:val="00D61ADC"/>
    <w:rsid w:val="00D62853"/>
    <w:rsid w:val="00D62F71"/>
    <w:rsid w:val="00D6306C"/>
    <w:rsid w:val="00D63DB9"/>
    <w:rsid w:val="00D643E0"/>
    <w:rsid w:val="00D6455E"/>
    <w:rsid w:val="00D65567"/>
    <w:rsid w:val="00D678B4"/>
    <w:rsid w:val="00D703D8"/>
    <w:rsid w:val="00D71290"/>
    <w:rsid w:val="00D712E4"/>
    <w:rsid w:val="00D7136F"/>
    <w:rsid w:val="00D71CAC"/>
    <w:rsid w:val="00D74F66"/>
    <w:rsid w:val="00D756CA"/>
    <w:rsid w:val="00D76116"/>
    <w:rsid w:val="00D7678C"/>
    <w:rsid w:val="00D7698C"/>
    <w:rsid w:val="00D76E5A"/>
    <w:rsid w:val="00D77E7F"/>
    <w:rsid w:val="00D77F0A"/>
    <w:rsid w:val="00D81113"/>
    <w:rsid w:val="00D8129E"/>
    <w:rsid w:val="00D81B8C"/>
    <w:rsid w:val="00D81E99"/>
    <w:rsid w:val="00D81F3E"/>
    <w:rsid w:val="00D82987"/>
    <w:rsid w:val="00D83943"/>
    <w:rsid w:val="00D83AD9"/>
    <w:rsid w:val="00D83E18"/>
    <w:rsid w:val="00D843B7"/>
    <w:rsid w:val="00D847E3"/>
    <w:rsid w:val="00D8530B"/>
    <w:rsid w:val="00D85311"/>
    <w:rsid w:val="00D86486"/>
    <w:rsid w:val="00D867C3"/>
    <w:rsid w:val="00D86802"/>
    <w:rsid w:val="00D86C82"/>
    <w:rsid w:val="00D901B8"/>
    <w:rsid w:val="00D90870"/>
    <w:rsid w:val="00D915DB"/>
    <w:rsid w:val="00D920AF"/>
    <w:rsid w:val="00D926EF"/>
    <w:rsid w:val="00D9291E"/>
    <w:rsid w:val="00D93A6F"/>
    <w:rsid w:val="00D9475F"/>
    <w:rsid w:val="00D96329"/>
    <w:rsid w:val="00D96359"/>
    <w:rsid w:val="00D96806"/>
    <w:rsid w:val="00D96E8F"/>
    <w:rsid w:val="00D97A52"/>
    <w:rsid w:val="00D97CC9"/>
    <w:rsid w:val="00DA2B83"/>
    <w:rsid w:val="00DA6D64"/>
    <w:rsid w:val="00DB007E"/>
    <w:rsid w:val="00DB0E11"/>
    <w:rsid w:val="00DB16DC"/>
    <w:rsid w:val="00DB17FC"/>
    <w:rsid w:val="00DB2979"/>
    <w:rsid w:val="00DB2AFD"/>
    <w:rsid w:val="00DB2F4D"/>
    <w:rsid w:val="00DB2F57"/>
    <w:rsid w:val="00DB3C66"/>
    <w:rsid w:val="00DB3DC6"/>
    <w:rsid w:val="00DB52CE"/>
    <w:rsid w:val="00DB6278"/>
    <w:rsid w:val="00DB68E1"/>
    <w:rsid w:val="00DB69F3"/>
    <w:rsid w:val="00DB6A49"/>
    <w:rsid w:val="00DB7223"/>
    <w:rsid w:val="00DB7668"/>
    <w:rsid w:val="00DC036F"/>
    <w:rsid w:val="00DC0838"/>
    <w:rsid w:val="00DC0AA7"/>
    <w:rsid w:val="00DC0E42"/>
    <w:rsid w:val="00DC1414"/>
    <w:rsid w:val="00DC1B2E"/>
    <w:rsid w:val="00DC22CC"/>
    <w:rsid w:val="00DC2BC6"/>
    <w:rsid w:val="00DC3896"/>
    <w:rsid w:val="00DC3B97"/>
    <w:rsid w:val="00DC42B0"/>
    <w:rsid w:val="00DC5535"/>
    <w:rsid w:val="00DC57B4"/>
    <w:rsid w:val="00DC5C99"/>
    <w:rsid w:val="00DC6506"/>
    <w:rsid w:val="00DC6BCC"/>
    <w:rsid w:val="00DD0333"/>
    <w:rsid w:val="00DD06D4"/>
    <w:rsid w:val="00DD0CD2"/>
    <w:rsid w:val="00DD3001"/>
    <w:rsid w:val="00DD4E2C"/>
    <w:rsid w:val="00DD5145"/>
    <w:rsid w:val="00DD5885"/>
    <w:rsid w:val="00DD5AEB"/>
    <w:rsid w:val="00DD5F0C"/>
    <w:rsid w:val="00DD69B9"/>
    <w:rsid w:val="00DD7B3E"/>
    <w:rsid w:val="00DE0F58"/>
    <w:rsid w:val="00DE11F3"/>
    <w:rsid w:val="00DE1F15"/>
    <w:rsid w:val="00DE20F6"/>
    <w:rsid w:val="00DE231A"/>
    <w:rsid w:val="00DE3051"/>
    <w:rsid w:val="00DE3BB0"/>
    <w:rsid w:val="00DE3CA5"/>
    <w:rsid w:val="00DE3F25"/>
    <w:rsid w:val="00DE40A3"/>
    <w:rsid w:val="00DE44D8"/>
    <w:rsid w:val="00DE4C26"/>
    <w:rsid w:val="00DE5F26"/>
    <w:rsid w:val="00DE686A"/>
    <w:rsid w:val="00DE7415"/>
    <w:rsid w:val="00DE772F"/>
    <w:rsid w:val="00DF0820"/>
    <w:rsid w:val="00DF1C15"/>
    <w:rsid w:val="00DF1D57"/>
    <w:rsid w:val="00DF215E"/>
    <w:rsid w:val="00DF2428"/>
    <w:rsid w:val="00DF38B6"/>
    <w:rsid w:val="00DF396C"/>
    <w:rsid w:val="00DF47BB"/>
    <w:rsid w:val="00DF4BC5"/>
    <w:rsid w:val="00DF6077"/>
    <w:rsid w:val="00DF632F"/>
    <w:rsid w:val="00DF6C7B"/>
    <w:rsid w:val="00DF6FAA"/>
    <w:rsid w:val="00DF7564"/>
    <w:rsid w:val="00E0029F"/>
    <w:rsid w:val="00E007BE"/>
    <w:rsid w:val="00E007FC"/>
    <w:rsid w:val="00E01559"/>
    <w:rsid w:val="00E024F4"/>
    <w:rsid w:val="00E0398A"/>
    <w:rsid w:val="00E04A6D"/>
    <w:rsid w:val="00E04A9B"/>
    <w:rsid w:val="00E06632"/>
    <w:rsid w:val="00E06B40"/>
    <w:rsid w:val="00E1011F"/>
    <w:rsid w:val="00E104E8"/>
    <w:rsid w:val="00E10C6D"/>
    <w:rsid w:val="00E11A59"/>
    <w:rsid w:val="00E11CA1"/>
    <w:rsid w:val="00E13A8C"/>
    <w:rsid w:val="00E1520F"/>
    <w:rsid w:val="00E152D1"/>
    <w:rsid w:val="00E156F2"/>
    <w:rsid w:val="00E15D31"/>
    <w:rsid w:val="00E16770"/>
    <w:rsid w:val="00E171EA"/>
    <w:rsid w:val="00E17AFD"/>
    <w:rsid w:val="00E17DEE"/>
    <w:rsid w:val="00E212E0"/>
    <w:rsid w:val="00E22810"/>
    <w:rsid w:val="00E22B7D"/>
    <w:rsid w:val="00E22C32"/>
    <w:rsid w:val="00E24511"/>
    <w:rsid w:val="00E25B10"/>
    <w:rsid w:val="00E2622E"/>
    <w:rsid w:val="00E26DAA"/>
    <w:rsid w:val="00E318CB"/>
    <w:rsid w:val="00E32300"/>
    <w:rsid w:val="00E32874"/>
    <w:rsid w:val="00E32CCD"/>
    <w:rsid w:val="00E33466"/>
    <w:rsid w:val="00E345E1"/>
    <w:rsid w:val="00E349AD"/>
    <w:rsid w:val="00E34B08"/>
    <w:rsid w:val="00E3500F"/>
    <w:rsid w:val="00E350C0"/>
    <w:rsid w:val="00E351D5"/>
    <w:rsid w:val="00E35F8F"/>
    <w:rsid w:val="00E364E4"/>
    <w:rsid w:val="00E369BF"/>
    <w:rsid w:val="00E373BA"/>
    <w:rsid w:val="00E4079F"/>
    <w:rsid w:val="00E415B7"/>
    <w:rsid w:val="00E4207C"/>
    <w:rsid w:val="00E42CDB"/>
    <w:rsid w:val="00E434FA"/>
    <w:rsid w:val="00E43C4D"/>
    <w:rsid w:val="00E44315"/>
    <w:rsid w:val="00E4439F"/>
    <w:rsid w:val="00E448D1"/>
    <w:rsid w:val="00E44987"/>
    <w:rsid w:val="00E4534F"/>
    <w:rsid w:val="00E461D2"/>
    <w:rsid w:val="00E46BF6"/>
    <w:rsid w:val="00E47745"/>
    <w:rsid w:val="00E47AB1"/>
    <w:rsid w:val="00E47C8F"/>
    <w:rsid w:val="00E5046A"/>
    <w:rsid w:val="00E50900"/>
    <w:rsid w:val="00E5123D"/>
    <w:rsid w:val="00E51A1A"/>
    <w:rsid w:val="00E52F58"/>
    <w:rsid w:val="00E53703"/>
    <w:rsid w:val="00E540C0"/>
    <w:rsid w:val="00E551E3"/>
    <w:rsid w:val="00E56268"/>
    <w:rsid w:val="00E57C0B"/>
    <w:rsid w:val="00E60E3D"/>
    <w:rsid w:val="00E60E63"/>
    <w:rsid w:val="00E61378"/>
    <w:rsid w:val="00E615BC"/>
    <w:rsid w:val="00E61858"/>
    <w:rsid w:val="00E61DF8"/>
    <w:rsid w:val="00E61FFB"/>
    <w:rsid w:val="00E62E91"/>
    <w:rsid w:val="00E63154"/>
    <w:rsid w:val="00E637E8"/>
    <w:rsid w:val="00E645F0"/>
    <w:rsid w:val="00E646DA"/>
    <w:rsid w:val="00E6591C"/>
    <w:rsid w:val="00E65DAA"/>
    <w:rsid w:val="00E665E6"/>
    <w:rsid w:val="00E66870"/>
    <w:rsid w:val="00E674F4"/>
    <w:rsid w:val="00E67B40"/>
    <w:rsid w:val="00E70559"/>
    <w:rsid w:val="00E71B62"/>
    <w:rsid w:val="00E72A60"/>
    <w:rsid w:val="00E731AF"/>
    <w:rsid w:val="00E73301"/>
    <w:rsid w:val="00E736B7"/>
    <w:rsid w:val="00E75045"/>
    <w:rsid w:val="00E752A4"/>
    <w:rsid w:val="00E75511"/>
    <w:rsid w:val="00E756D5"/>
    <w:rsid w:val="00E75CD3"/>
    <w:rsid w:val="00E75D8F"/>
    <w:rsid w:val="00E76E2D"/>
    <w:rsid w:val="00E76F60"/>
    <w:rsid w:val="00E77695"/>
    <w:rsid w:val="00E778B1"/>
    <w:rsid w:val="00E77FF9"/>
    <w:rsid w:val="00E829DC"/>
    <w:rsid w:val="00E83899"/>
    <w:rsid w:val="00E84A54"/>
    <w:rsid w:val="00E8595A"/>
    <w:rsid w:val="00E85A56"/>
    <w:rsid w:val="00E8770C"/>
    <w:rsid w:val="00E87A8E"/>
    <w:rsid w:val="00E900B9"/>
    <w:rsid w:val="00E91B58"/>
    <w:rsid w:val="00E91D51"/>
    <w:rsid w:val="00E91F79"/>
    <w:rsid w:val="00E922D7"/>
    <w:rsid w:val="00E924C1"/>
    <w:rsid w:val="00E9415F"/>
    <w:rsid w:val="00E9428F"/>
    <w:rsid w:val="00E96594"/>
    <w:rsid w:val="00E969C6"/>
    <w:rsid w:val="00E97599"/>
    <w:rsid w:val="00E975D1"/>
    <w:rsid w:val="00E9768D"/>
    <w:rsid w:val="00EA0122"/>
    <w:rsid w:val="00EA047E"/>
    <w:rsid w:val="00EA05B6"/>
    <w:rsid w:val="00EA0984"/>
    <w:rsid w:val="00EA1D4F"/>
    <w:rsid w:val="00EA2BCE"/>
    <w:rsid w:val="00EA337A"/>
    <w:rsid w:val="00EA36F8"/>
    <w:rsid w:val="00EA46F9"/>
    <w:rsid w:val="00EA5FAD"/>
    <w:rsid w:val="00EA6FB6"/>
    <w:rsid w:val="00EA734E"/>
    <w:rsid w:val="00EA7897"/>
    <w:rsid w:val="00EA7AB2"/>
    <w:rsid w:val="00EB063A"/>
    <w:rsid w:val="00EB0E19"/>
    <w:rsid w:val="00EB1C75"/>
    <w:rsid w:val="00EB27E1"/>
    <w:rsid w:val="00EB2827"/>
    <w:rsid w:val="00EB2A6D"/>
    <w:rsid w:val="00EB3204"/>
    <w:rsid w:val="00EB36F2"/>
    <w:rsid w:val="00EB3DFC"/>
    <w:rsid w:val="00EB4FB6"/>
    <w:rsid w:val="00EB632A"/>
    <w:rsid w:val="00EB6CDA"/>
    <w:rsid w:val="00EB6DF9"/>
    <w:rsid w:val="00EB6EBB"/>
    <w:rsid w:val="00EB7599"/>
    <w:rsid w:val="00EB7C4F"/>
    <w:rsid w:val="00EC0412"/>
    <w:rsid w:val="00EC050F"/>
    <w:rsid w:val="00EC10F2"/>
    <w:rsid w:val="00EC28D7"/>
    <w:rsid w:val="00EC4CCC"/>
    <w:rsid w:val="00EC50DF"/>
    <w:rsid w:val="00EC5203"/>
    <w:rsid w:val="00EC615C"/>
    <w:rsid w:val="00EC69C3"/>
    <w:rsid w:val="00EC6A03"/>
    <w:rsid w:val="00EC705F"/>
    <w:rsid w:val="00EC7BBF"/>
    <w:rsid w:val="00EC7BC5"/>
    <w:rsid w:val="00EC7EED"/>
    <w:rsid w:val="00ED00A8"/>
    <w:rsid w:val="00ED05D4"/>
    <w:rsid w:val="00ED07DD"/>
    <w:rsid w:val="00ED1AF8"/>
    <w:rsid w:val="00ED3ED0"/>
    <w:rsid w:val="00ED5419"/>
    <w:rsid w:val="00ED580B"/>
    <w:rsid w:val="00ED68E4"/>
    <w:rsid w:val="00ED6A17"/>
    <w:rsid w:val="00ED7217"/>
    <w:rsid w:val="00ED7D31"/>
    <w:rsid w:val="00EE0AC4"/>
    <w:rsid w:val="00EE166C"/>
    <w:rsid w:val="00EE3569"/>
    <w:rsid w:val="00EE4975"/>
    <w:rsid w:val="00EE657B"/>
    <w:rsid w:val="00EE686B"/>
    <w:rsid w:val="00EE6C09"/>
    <w:rsid w:val="00EE6C27"/>
    <w:rsid w:val="00EE74FB"/>
    <w:rsid w:val="00EE7A8B"/>
    <w:rsid w:val="00EE7C92"/>
    <w:rsid w:val="00EF0778"/>
    <w:rsid w:val="00EF0B4B"/>
    <w:rsid w:val="00EF0DFC"/>
    <w:rsid w:val="00EF0E10"/>
    <w:rsid w:val="00EF0F81"/>
    <w:rsid w:val="00EF1434"/>
    <w:rsid w:val="00EF1647"/>
    <w:rsid w:val="00EF1B11"/>
    <w:rsid w:val="00EF1B1E"/>
    <w:rsid w:val="00EF3829"/>
    <w:rsid w:val="00EF3B4B"/>
    <w:rsid w:val="00EF5B2F"/>
    <w:rsid w:val="00EF5E53"/>
    <w:rsid w:val="00EF7CA6"/>
    <w:rsid w:val="00F00331"/>
    <w:rsid w:val="00F0057D"/>
    <w:rsid w:val="00F00AC8"/>
    <w:rsid w:val="00F01126"/>
    <w:rsid w:val="00F042B6"/>
    <w:rsid w:val="00F048A1"/>
    <w:rsid w:val="00F051D7"/>
    <w:rsid w:val="00F05510"/>
    <w:rsid w:val="00F061E2"/>
    <w:rsid w:val="00F072FD"/>
    <w:rsid w:val="00F1053F"/>
    <w:rsid w:val="00F11625"/>
    <w:rsid w:val="00F120A2"/>
    <w:rsid w:val="00F12D53"/>
    <w:rsid w:val="00F13392"/>
    <w:rsid w:val="00F139FE"/>
    <w:rsid w:val="00F13B01"/>
    <w:rsid w:val="00F142BF"/>
    <w:rsid w:val="00F1535E"/>
    <w:rsid w:val="00F15917"/>
    <w:rsid w:val="00F15D21"/>
    <w:rsid w:val="00F1689B"/>
    <w:rsid w:val="00F169D1"/>
    <w:rsid w:val="00F16CF2"/>
    <w:rsid w:val="00F1757B"/>
    <w:rsid w:val="00F17701"/>
    <w:rsid w:val="00F20340"/>
    <w:rsid w:val="00F20E2A"/>
    <w:rsid w:val="00F21B23"/>
    <w:rsid w:val="00F21CF9"/>
    <w:rsid w:val="00F21D84"/>
    <w:rsid w:val="00F2224F"/>
    <w:rsid w:val="00F2271B"/>
    <w:rsid w:val="00F2298A"/>
    <w:rsid w:val="00F22FA4"/>
    <w:rsid w:val="00F236A9"/>
    <w:rsid w:val="00F2449B"/>
    <w:rsid w:val="00F2461F"/>
    <w:rsid w:val="00F251A8"/>
    <w:rsid w:val="00F25D40"/>
    <w:rsid w:val="00F25F11"/>
    <w:rsid w:val="00F26042"/>
    <w:rsid w:val="00F27E81"/>
    <w:rsid w:val="00F31144"/>
    <w:rsid w:val="00F31508"/>
    <w:rsid w:val="00F31AF3"/>
    <w:rsid w:val="00F3254D"/>
    <w:rsid w:val="00F328CD"/>
    <w:rsid w:val="00F34741"/>
    <w:rsid w:val="00F3501D"/>
    <w:rsid w:val="00F36CD2"/>
    <w:rsid w:val="00F371E7"/>
    <w:rsid w:val="00F3739F"/>
    <w:rsid w:val="00F376C6"/>
    <w:rsid w:val="00F37C64"/>
    <w:rsid w:val="00F40120"/>
    <w:rsid w:val="00F40285"/>
    <w:rsid w:val="00F4063A"/>
    <w:rsid w:val="00F40FBB"/>
    <w:rsid w:val="00F40FDF"/>
    <w:rsid w:val="00F41A13"/>
    <w:rsid w:val="00F44560"/>
    <w:rsid w:val="00F45C4B"/>
    <w:rsid w:val="00F45D68"/>
    <w:rsid w:val="00F463E9"/>
    <w:rsid w:val="00F47B04"/>
    <w:rsid w:val="00F47C88"/>
    <w:rsid w:val="00F506CF"/>
    <w:rsid w:val="00F51CB9"/>
    <w:rsid w:val="00F51EEA"/>
    <w:rsid w:val="00F52ACB"/>
    <w:rsid w:val="00F537C0"/>
    <w:rsid w:val="00F558E8"/>
    <w:rsid w:val="00F55F2D"/>
    <w:rsid w:val="00F57E6A"/>
    <w:rsid w:val="00F6224C"/>
    <w:rsid w:val="00F62A57"/>
    <w:rsid w:val="00F62AB7"/>
    <w:rsid w:val="00F63EB5"/>
    <w:rsid w:val="00F63FAA"/>
    <w:rsid w:val="00F64953"/>
    <w:rsid w:val="00F6506C"/>
    <w:rsid w:val="00F65760"/>
    <w:rsid w:val="00F65F2B"/>
    <w:rsid w:val="00F66DD8"/>
    <w:rsid w:val="00F676EF"/>
    <w:rsid w:val="00F708DF"/>
    <w:rsid w:val="00F7101C"/>
    <w:rsid w:val="00F7176E"/>
    <w:rsid w:val="00F73841"/>
    <w:rsid w:val="00F75519"/>
    <w:rsid w:val="00F76385"/>
    <w:rsid w:val="00F76512"/>
    <w:rsid w:val="00F76CF9"/>
    <w:rsid w:val="00F77B00"/>
    <w:rsid w:val="00F80264"/>
    <w:rsid w:val="00F807C9"/>
    <w:rsid w:val="00F809A7"/>
    <w:rsid w:val="00F80A78"/>
    <w:rsid w:val="00F80C67"/>
    <w:rsid w:val="00F81386"/>
    <w:rsid w:val="00F822F0"/>
    <w:rsid w:val="00F82A0A"/>
    <w:rsid w:val="00F82B03"/>
    <w:rsid w:val="00F82D88"/>
    <w:rsid w:val="00F82DB5"/>
    <w:rsid w:val="00F8333D"/>
    <w:rsid w:val="00F83E61"/>
    <w:rsid w:val="00F84638"/>
    <w:rsid w:val="00F86041"/>
    <w:rsid w:val="00F86051"/>
    <w:rsid w:val="00F867A1"/>
    <w:rsid w:val="00F8706B"/>
    <w:rsid w:val="00F8719F"/>
    <w:rsid w:val="00F87FF8"/>
    <w:rsid w:val="00F9006D"/>
    <w:rsid w:val="00F901D0"/>
    <w:rsid w:val="00F9082D"/>
    <w:rsid w:val="00F909E9"/>
    <w:rsid w:val="00F91102"/>
    <w:rsid w:val="00F91335"/>
    <w:rsid w:val="00F915C7"/>
    <w:rsid w:val="00F91975"/>
    <w:rsid w:val="00F91AC5"/>
    <w:rsid w:val="00F91BA3"/>
    <w:rsid w:val="00F92F19"/>
    <w:rsid w:val="00F93199"/>
    <w:rsid w:val="00F943F8"/>
    <w:rsid w:val="00F94C9A"/>
    <w:rsid w:val="00F951EA"/>
    <w:rsid w:val="00F95380"/>
    <w:rsid w:val="00F970A9"/>
    <w:rsid w:val="00F9711F"/>
    <w:rsid w:val="00F975BB"/>
    <w:rsid w:val="00FA10C1"/>
    <w:rsid w:val="00FA11AD"/>
    <w:rsid w:val="00FA1652"/>
    <w:rsid w:val="00FA167F"/>
    <w:rsid w:val="00FA17EB"/>
    <w:rsid w:val="00FA2F22"/>
    <w:rsid w:val="00FA55C6"/>
    <w:rsid w:val="00FA6A51"/>
    <w:rsid w:val="00FB0A04"/>
    <w:rsid w:val="00FB0DA7"/>
    <w:rsid w:val="00FB2416"/>
    <w:rsid w:val="00FB2E20"/>
    <w:rsid w:val="00FB3A58"/>
    <w:rsid w:val="00FB41A6"/>
    <w:rsid w:val="00FB48EE"/>
    <w:rsid w:val="00FB54DA"/>
    <w:rsid w:val="00FB5FAC"/>
    <w:rsid w:val="00FB67F7"/>
    <w:rsid w:val="00FB711D"/>
    <w:rsid w:val="00FB7686"/>
    <w:rsid w:val="00FC0D49"/>
    <w:rsid w:val="00FC120C"/>
    <w:rsid w:val="00FC1B5E"/>
    <w:rsid w:val="00FC1D44"/>
    <w:rsid w:val="00FC1FFF"/>
    <w:rsid w:val="00FC215A"/>
    <w:rsid w:val="00FC296D"/>
    <w:rsid w:val="00FC2ABB"/>
    <w:rsid w:val="00FC2E0F"/>
    <w:rsid w:val="00FC32D8"/>
    <w:rsid w:val="00FC3604"/>
    <w:rsid w:val="00FC3A85"/>
    <w:rsid w:val="00FC3CDE"/>
    <w:rsid w:val="00FC48E9"/>
    <w:rsid w:val="00FC599E"/>
    <w:rsid w:val="00FC6E39"/>
    <w:rsid w:val="00FC79CD"/>
    <w:rsid w:val="00FC7A92"/>
    <w:rsid w:val="00FC7D41"/>
    <w:rsid w:val="00FC7EC6"/>
    <w:rsid w:val="00FD0243"/>
    <w:rsid w:val="00FD05B0"/>
    <w:rsid w:val="00FD065C"/>
    <w:rsid w:val="00FD0709"/>
    <w:rsid w:val="00FD0D0C"/>
    <w:rsid w:val="00FD0EFB"/>
    <w:rsid w:val="00FD305F"/>
    <w:rsid w:val="00FD38F3"/>
    <w:rsid w:val="00FD3A7A"/>
    <w:rsid w:val="00FD3AE0"/>
    <w:rsid w:val="00FD3CA5"/>
    <w:rsid w:val="00FD42C0"/>
    <w:rsid w:val="00FD494B"/>
    <w:rsid w:val="00FD5E56"/>
    <w:rsid w:val="00FD60EA"/>
    <w:rsid w:val="00FD7013"/>
    <w:rsid w:val="00FD71A0"/>
    <w:rsid w:val="00FD71B8"/>
    <w:rsid w:val="00FD7794"/>
    <w:rsid w:val="00FE00DE"/>
    <w:rsid w:val="00FE0265"/>
    <w:rsid w:val="00FE0E72"/>
    <w:rsid w:val="00FE13D0"/>
    <w:rsid w:val="00FE149D"/>
    <w:rsid w:val="00FE2029"/>
    <w:rsid w:val="00FE2CD7"/>
    <w:rsid w:val="00FE437F"/>
    <w:rsid w:val="00FE4F81"/>
    <w:rsid w:val="00FE69C6"/>
    <w:rsid w:val="00FE7FFD"/>
    <w:rsid w:val="00FF040E"/>
    <w:rsid w:val="00FF0490"/>
    <w:rsid w:val="00FF14BC"/>
    <w:rsid w:val="00FF187B"/>
    <w:rsid w:val="00FF2BE8"/>
    <w:rsid w:val="00FF2D4E"/>
    <w:rsid w:val="00FF3B52"/>
    <w:rsid w:val="00FF6914"/>
    <w:rsid w:val="00FF6DBF"/>
    <w:rsid w:val="00FF74D9"/>
    <w:rsid w:val="00FF7846"/>
    <w:rsid w:val="00FF7FA6"/>
    <w:rsid w:val="01414A5B"/>
    <w:rsid w:val="0B37208E"/>
    <w:rsid w:val="193631F8"/>
    <w:rsid w:val="1A5F1BC2"/>
    <w:rsid w:val="1B6E06CB"/>
    <w:rsid w:val="1C3A7456"/>
    <w:rsid w:val="247D72AE"/>
    <w:rsid w:val="2C6E78D1"/>
    <w:rsid w:val="2CE14BE8"/>
    <w:rsid w:val="345329E9"/>
    <w:rsid w:val="41DD601F"/>
    <w:rsid w:val="430E068F"/>
    <w:rsid w:val="44DC28FE"/>
    <w:rsid w:val="46282157"/>
    <w:rsid w:val="49381819"/>
    <w:rsid w:val="4EFD1D02"/>
    <w:rsid w:val="56702C54"/>
    <w:rsid w:val="5763325C"/>
    <w:rsid w:val="5A012B5D"/>
    <w:rsid w:val="5F955190"/>
    <w:rsid w:val="62AE3587"/>
    <w:rsid w:val="62C615AD"/>
    <w:rsid w:val="651A288A"/>
    <w:rsid w:val="66C118F2"/>
    <w:rsid w:val="6A837F72"/>
    <w:rsid w:val="6D972BA3"/>
    <w:rsid w:val="71915E36"/>
    <w:rsid w:val="78E22854"/>
    <w:rsid w:val="7EDD1B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_GB2312" w:cs="Times New Roman"/>
      <w:kern w:val="2"/>
      <w:sz w:val="28"/>
      <w:szCs w:val="22"/>
      <w:lang w:val="en-US" w:eastAsia="zh-CN" w:bidi="ar-SA"/>
    </w:rPr>
  </w:style>
  <w:style w:type="paragraph" w:styleId="2">
    <w:name w:val="heading 1"/>
    <w:basedOn w:val="1"/>
    <w:next w:val="1"/>
    <w:link w:val="29"/>
    <w:qFormat/>
    <w:uiPriority w:val="9"/>
    <w:pPr>
      <w:keepNext/>
      <w:keepLines/>
      <w:spacing w:after="120" w:line="240" w:lineRule="auto"/>
      <w:outlineLvl w:val="0"/>
    </w:pPr>
    <w:rPr>
      <w:rFonts w:eastAsia="黑体"/>
      <w:bCs/>
      <w:kern w:val="44"/>
      <w:szCs w:val="44"/>
    </w:rPr>
  </w:style>
  <w:style w:type="paragraph" w:styleId="3">
    <w:name w:val="heading 2"/>
    <w:basedOn w:val="1"/>
    <w:next w:val="1"/>
    <w:link w:val="32"/>
    <w:qFormat/>
    <w:uiPriority w:val="9"/>
    <w:pPr>
      <w:keepNext/>
      <w:keepLines/>
      <w:spacing w:before="60" w:after="60" w:line="360" w:lineRule="auto"/>
      <w:outlineLvl w:val="1"/>
    </w:pPr>
    <w:rPr>
      <w:rFonts w:eastAsia="楷体_GB2312"/>
      <w:b/>
      <w:bCs/>
      <w:sz w:val="30"/>
      <w:szCs w:val="30"/>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43"/>
    <w:semiHidden/>
    <w:unhideWhenUsed/>
    <w:qFormat/>
    <w:uiPriority w:val="99"/>
    <w:rPr>
      <w:rFonts w:ascii="宋体"/>
      <w:sz w:val="18"/>
      <w:szCs w:val="18"/>
    </w:rPr>
  </w:style>
  <w:style w:type="paragraph" w:styleId="6">
    <w:name w:val="annotation text"/>
    <w:basedOn w:val="1"/>
    <w:link w:val="46"/>
    <w:semiHidden/>
    <w:unhideWhenUsed/>
    <w:qFormat/>
    <w:uiPriority w:val="99"/>
    <w:pPr>
      <w:jc w:val="left"/>
    </w:pPr>
  </w:style>
  <w:style w:type="paragraph" w:styleId="7">
    <w:name w:val="Body Text"/>
    <w:basedOn w:val="1"/>
    <w:link w:val="26"/>
    <w:qFormat/>
    <w:uiPriority w:val="0"/>
    <w:pPr>
      <w:spacing w:line="700" w:lineRule="exact"/>
      <w:jc w:val="center"/>
    </w:pPr>
    <w:rPr>
      <w:rFonts w:hAnsi="华文中宋" w:eastAsia="华文中宋"/>
      <w:b/>
      <w:sz w:val="44"/>
      <w:szCs w:val="48"/>
    </w:rPr>
  </w:style>
  <w:style w:type="paragraph" w:styleId="8">
    <w:name w:val="toc 3"/>
    <w:basedOn w:val="1"/>
    <w:next w:val="1"/>
    <w:unhideWhenUsed/>
    <w:qFormat/>
    <w:uiPriority w:val="39"/>
    <w:pPr>
      <w:ind w:left="840" w:leftChars="400"/>
    </w:pPr>
  </w:style>
  <w:style w:type="paragraph" w:styleId="9">
    <w:name w:val="Body Text Indent 2"/>
    <w:basedOn w:val="1"/>
    <w:link w:val="41"/>
    <w:semiHidden/>
    <w:unhideWhenUsed/>
    <w:qFormat/>
    <w:uiPriority w:val="99"/>
    <w:pPr>
      <w:spacing w:after="120" w:line="480" w:lineRule="auto"/>
      <w:ind w:left="420" w:leftChars="200"/>
    </w:pPr>
  </w:style>
  <w:style w:type="paragraph" w:styleId="10">
    <w:name w:val="Balloon Text"/>
    <w:basedOn w:val="1"/>
    <w:link w:val="39"/>
    <w:semiHidden/>
    <w:unhideWhenUsed/>
    <w:qFormat/>
    <w:uiPriority w:val="99"/>
    <w:rPr>
      <w:sz w:val="18"/>
      <w:szCs w:val="18"/>
    </w:rPr>
  </w:style>
  <w:style w:type="paragraph" w:styleId="11">
    <w:name w:val="footer"/>
    <w:basedOn w:val="1"/>
    <w:link w:val="34"/>
    <w:unhideWhenUsed/>
    <w:qFormat/>
    <w:uiPriority w:val="99"/>
    <w:pPr>
      <w:tabs>
        <w:tab w:val="center" w:pos="4153"/>
        <w:tab w:val="right" w:pos="8306"/>
      </w:tabs>
      <w:snapToGrid w:val="0"/>
      <w:jc w:val="left"/>
    </w:pPr>
    <w:rPr>
      <w:sz w:val="18"/>
      <w:szCs w:val="18"/>
    </w:rPr>
  </w:style>
  <w:style w:type="paragraph" w:styleId="12">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hyphen" w:pos="8296"/>
      </w:tabs>
    </w:pPr>
    <w:rPr>
      <w:rFonts w:eastAsia="黑体"/>
      <w:szCs w:val="28"/>
    </w:rPr>
  </w:style>
  <w:style w:type="paragraph" w:styleId="14">
    <w:name w:val="footnote text"/>
    <w:basedOn w:val="1"/>
    <w:link w:val="40"/>
    <w:unhideWhenUsed/>
    <w:qFormat/>
    <w:uiPriority w:val="99"/>
    <w:pPr>
      <w:snapToGrid w:val="0"/>
      <w:jc w:val="left"/>
    </w:pPr>
    <w:rPr>
      <w:sz w:val="18"/>
      <w:szCs w:val="18"/>
    </w:rPr>
  </w:style>
  <w:style w:type="paragraph" w:styleId="15">
    <w:name w:val="toc 2"/>
    <w:basedOn w:val="1"/>
    <w:next w:val="1"/>
    <w:unhideWhenUsed/>
    <w:qFormat/>
    <w:uiPriority w:val="39"/>
    <w:pPr>
      <w:tabs>
        <w:tab w:val="right" w:leader="hyphen" w:pos="8296"/>
      </w:tabs>
      <w:spacing w:line="460" w:lineRule="exact"/>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eastAsiaTheme="minorEastAsia"/>
      <w:kern w:val="0"/>
      <w:sz w:val="24"/>
      <w:szCs w:val="24"/>
    </w:rPr>
  </w:style>
  <w:style w:type="paragraph" w:styleId="17">
    <w:name w:val="annotation subject"/>
    <w:basedOn w:val="6"/>
    <w:next w:val="6"/>
    <w:link w:val="47"/>
    <w:semiHidden/>
    <w:unhideWhenUsed/>
    <w:qFormat/>
    <w:uiPriority w:val="99"/>
    <w:rPr>
      <w:b/>
      <w:bCs/>
    </w:rPr>
  </w:style>
  <w:style w:type="table" w:styleId="19">
    <w:name w:val="Table Grid"/>
    <w:basedOn w:val="1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mphasis"/>
    <w:basedOn w:val="20"/>
    <w:qFormat/>
    <w:uiPriority w:val="20"/>
    <w:rPr>
      <w:i/>
      <w:iCs/>
    </w:rPr>
  </w:style>
  <w:style w:type="character" w:styleId="22">
    <w:name w:val="line number"/>
    <w:basedOn w:val="20"/>
    <w:semiHidden/>
    <w:unhideWhenUsed/>
    <w:qFormat/>
    <w:uiPriority w:val="99"/>
  </w:style>
  <w:style w:type="character" w:styleId="23">
    <w:name w:val="Hyperlink"/>
    <w:unhideWhenUsed/>
    <w:qFormat/>
    <w:uiPriority w:val="99"/>
    <w:rPr>
      <w:color w:val="0000FF"/>
      <w:u w:val="single"/>
    </w:rPr>
  </w:style>
  <w:style w:type="character" w:styleId="24">
    <w:name w:val="annotation reference"/>
    <w:basedOn w:val="20"/>
    <w:semiHidden/>
    <w:unhideWhenUsed/>
    <w:qFormat/>
    <w:uiPriority w:val="99"/>
    <w:rPr>
      <w:sz w:val="21"/>
      <w:szCs w:val="21"/>
    </w:rPr>
  </w:style>
  <w:style w:type="character" w:styleId="25">
    <w:name w:val="footnote reference"/>
    <w:basedOn w:val="20"/>
    <w:unhideWhenUsed/>
    <w:qFormat/>
    <w:uiPriority w:val="99"/>
    <w:rPr>
      <w:vertAlign w:val="superscript"/>
    </w:rPr>
  </w:style>
  <w:style w:type="character" w:customStyle="1" w:styleId="26">
    <w:name w:val="正文文本 字符"/>
    <w:basedOn w:val="20"/>
    <w:link w:val="7"/>
    <w:qFormat/>
    <w:uiPriority w:val="0"/>
    <w:rPr>
      <w:rFonts w:ascii="Times New Roman" w:hAnsi="华文中宋" w:eastAsia="华文中宋" w:cs="Times New Roman"/>
      <w:b/>
      <w:sz w:val="44"/>
      <w:szCs w:val="48"/>
    </w:rPr>
  </w:style>
  <w:style w:type="paragraph" w:customStyle="1" w:styleId="27">
    <w:name w:val="ly标题1"/>
    <w:basedOn w:val="2"/>
    <w:qFormat/>
    <w:uiPriority w:val="0"/>
    <w:pPr>
      <w:spacing w:beforeLines="50" w:afterLines="50" w:line="360" w:lineRule="auto"/>
      <w:jc w:val="center"/>
    </w:pPr>
    <w:rPr>
      <w:rFonts w:cs="Arial"/>
      <w:bCs w:val="0"/>
      <w:szCs w:val="32"/>
    </w:rPr>
  </w:style>
  <w:style w:type="paragraph" w:customStyle="1" w:styleId="28">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29">
    <w:name w:val="标题 1 字符"/>
    <w:basedOn w:val="20"/>
    <w:link w:val="2"/>
    <w:qFormat/>
    <w:uiPriority w:val="9"/>
    <w:rPr>
      <w:rFonts w:ascii="Times New Roman" w:hAnsi="Times New Roman" w:eastAsia="黑体" w:cs="Times New Roman"/>
      <w:bCs/>
      <w:kern w:val="44"/>
      <w:sz w:val="28"/>
      <w:szCs w:val="44"/>
    </w:rPr>
  </w:style>
  <w:style w:type="character" w:customStyle="1" w:styleId="30">
    <w:name w:val="标题 2 字符"/>
    <w:basedOn w:val="20"/>
    <w:semiHidden/>
    <w:qFormat/>
    <w:uiPriority w:val="9"/>
    <w:rPr>
      <w:rFonts w:asciiTheme="majorHAnsi" w:hAnsiTheme="majorHAnsi" w:eastAsiaTheme="majorEastAsia" w:cstheme="majorBidi"/>
      <w:b/>
      <w:bCs/>
      <w:sz w:val="32"/>
      <w:szCs w:val="32"/>
    </w:rPr>
  </w:style>
  <w:style w:type="character" w:customStyle="1" w:styleId="31">
    <w:name w:val="标题 1 Char"/>
    <w:qFormat/>
    <w:uiPriority w:val="9"/>
    <w:rPr>
      <w:b/>
      <w:bCs/>
      <w:kern w:val="44"/>
      <w:sz w:val="44"/>
      <w:szCs w:val="44"/>
    </w:rPr>
  </w:style>
  <w:style w:type="character" w:customStyle="1" w:styleId="32">
    <w:name w:val="标题 2 字符1"/>
    <w:link w:val="3"/>
    <w:qFormat/>
    <w:uiPriority w:val="9"/>
    <w:rPr>
      <w:rFonts w:ascii="Times New Roman" w:hAnsi="Times New Roman" w:eastAsia="楷体_GB2312" w:cs="Times New Roman"/>
      <w:b/>
      <w:bCs/>
      <w:sz w:val="30"/>
      <w:szCs w:val="30"/>
    </w:rPr>
  </w:style>
  <w:style w:type="character" w:customStyle="1" w:styleId="33">
    <w:name w:val="页脚 字符"/>
    <w:basedOn w:val="20"/>
    <w:qFormat/>
    <w:uiPriority w:val="99"/>
    <w:rPr>
      <w:rFonts w:ascii="Calibri" w:hAnsi="Calibri" w:eastAsia="宋体" w:cs="Times New Roman"/>
      <w:sz w:val="18"/>
      <w:szCs w:val="18"/>
    </w:rPr>
  </w:style>
  <w:style w:type="character" w:customStyle="1" w:styleId="34">
    <w:name w:val="页脚 字符1"/>
    <w:link w:val="11"/>
    <w:qFormat/>
    <w:uiPriority w:val="99"/>
    <w:rPr>
      <w:rFonts w:ascii="Calibri" w:hAnsi="Calibri" w:eastAsia="宋体" w:cs="Times New Roman"/>
      <w:sz w:val="18"/>
      <w:szCs w:val="18"/>
    </w:rPr>
  </w:style>
  <w:style w:type="character" w:customStyle="1" w:styleId="35">
    <w:name w:val="页眉 字符"/>
    <w:basedOn w:val="20"/>
    <w:link w:val="12"/>
    <w:qFormat/>
    <w:uiPriority w:val="99"/>
    <w:rPr>
      <w:rFonts w:ascii="Calibri" w:hAnsi="Calibri" w:eastAsia="宋体" w:cs="Times New Roman"/>
      <w:sz w:val="18"/>
      <w:szCs w:val="18"/>
    </w:rPr>
  </w:style>
  <w:style w:type="paragraph" w:styleId="36">
    <w:name w:val="List Paragraph"/>
    <w:basedOn w:val="1"/>
    <w:qFormat/>
    <w:uiPriority w:val="34"/>
    <w:pPr>
      <w:ind w:firstLine="420" w:firstLineChars="200"/>
    </w:pPr>
  </w:style>
  <w:style w:type="character" w:customStyle="1" w:styleId="37">
    <w:name w:val="标题 3 字符"/>
    <w:basedOn w:val="20"/>
    <w:link w:val="4"/>
    <w:qFormat/>
    <w:uiPriority w:val="9"/>
    <w:rPr>
      <w:rFonts w:ascii="Calibri" w:hAnsi="Calibri" w:eastAsia="宋体" w:cs="Times New Roman"/>
      <w:b/>
      <w:bCs/>
      <w:sz w:val="32"/>
      <w:szCs w:val="32"/>
    </w:rPr>
  </w:style>
  <w:style w:type="paragraph" w:customStyle="1" w:styleId="38">
    <w:name w:val="Char Char1 Char Char Char Char Char Char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character" w:customStyle="1" w:styleId="39">
    <w:name w:val="批注框文本 字符"/>
    <w:basedOn w:val="20"/>
    <w:link w:val="10"/>
    <w:semiHidden/>
    <w:qFormat/>
    <w:uiPriority w:val="99"/>
    <w:rPr>
      <w:rFonts w:ascii="Calibri" w:hAnsi="Calibri" w:eastAsia="宋体" w:cs="Times New Roman"/>
      <w:sz w:val="18"/>
      <w:szCs w:val="18"/>
    </w:rPr>
  </w:style>
  <w:style w:type="character" w:customStyle="1" w:styleId="40">
    <w:name w:val="脚注文本 字符"/>
    <w:basedOn w:val="20"/>
    <w:link w:val="14"/>
    <w:qFormat/>
    <w:uiPriority w:val="99"/>
    <w:rPr>
      <w:rFonts w:ascii="Calibri" w:hAnsi="Calibri" w:eastAsia="宋体" w:cs="Times New Roman"/>
      <w:sz w:val="18"/>
      <w:szCs w:val="18"/>
    </w:rPr>
  </w:style>
  <w:style w:type="character" w:customStyle="1" w:styleId="41">
    <w:name w:val="正文文本缩进 2 字符"/>
    <w:basedOn w:val="20"/>
    <w:link w:val="9"/>
    <w:semiHidden/>
    <w:qFormat/>
    <w:uiPriority w:val="99"/>
    <w:rPr>
      <w:rFonts w:ascii="Calibri" w:hAnsi="Calibri" w:eastAsia="宋体" w:cs="Times New Roman"/>
    </w:rPr>
  </w:style>
  <w:style w:type="paragraph" w:customStyle="1" w:styleId="42">
    <w:name w:val="修订1"/>
    <w:hidden/>
    <w:semiHidden/>
    <w:qFormat/>
    <w:uiPriority w:val="99"/>
    <w:rPr>
      <w:rFonts w:ascii="Calibri" w:hAnsi="Calibri" w:eastAsia="宋体" w:cs="Times New Roman"/>
      <w:kern w:val="2"/>
      <w:sz w:val="21"/>
      <w:szCs w:val="22"/>
      <w:lang w:val="en-US" w:eastAsia="zh-CN" w:bidi="ar-SA"/>
    </w:rPr>
  </w:style>
  <w:style w:type="character" w:customStyle="1" w:styleId="43">
    <w:name w:val="文档结构图 字符"/>
    <w:basedOn w:val="20"/>
    <w:link w:val="5"/>
    <w:semiHidden/>
    <w:qFormat/>
    <w:uiPriority w:val="99"/>
    <w:rPr>
      <w:rFonts w:ascii="宋体" w:hAnsi="Calibri" w:eastAsia="宋体" w:cs="Times New Roman"/>
      <w:sz w:val="18"/>
      <w:szCs w:val="18"/>
    </w:rPr>
  </w:style>
  <w:style w:type="paragraph" w:customStyle="1" w:styleId="4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5">
    <w:name w:val="未处理的提及1"/>
    <w:basedOn w:val="20"/>
    <w:semiHidden/>
    <w:unhideWhenUsed/>
    <w:qFormat/>
    <w:uiPriority w:val="99"/>
    <w:rPr>
      <w:color w:val="605E5C"/>
      <w:shd w:val="clear" w:color="auto" w:fill="E1DFDD"/>
    </w:rPr>
  </w:style>
  <w:style w:type="character" w:customStyle="1" w:styleId="46">
    <w:name w:val="批注文字 字符"/>
    <w:basedOn w:val="20"/>
    <w:link w:val="6"/>
    <w:semiHidden/>
    <w:qFormat/>
    <w:uiPriority w:val="99"/>
    <w:rPr>
      <w:rFonts w:ascii="Times New Roman" w:hAnsi="Times New Roman" w:eastAsia="仿宋_GB2312" w:cs="Times New Roman"/>
      <w:sz w:val="28"/>
    </w:rPr>
  </w:style>
  <w:style w:type="character" w:customStyle="1" w:styleId="47">
    <w:name w:val="批注主题 字符"/>
    <w:basedOn w:val="46"/>
    <w:link w:val="17"/>
    <w:semiHidden/>
    <w:qFormat/>
    <w:uiPriority w:val="99"/>
    <w:rPr>
      <w:rFonts w:ascii="Times New Roman" w:hAnsi="Times New Roman" w:eastAsia="仿宋_GB2312" w:cs="Times New Roman"/>
      <w:b/>
      <w:bCs/>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emf"/><Relationship Id="rId26" Type="http://schemas.openxmlformats.org/officeDocument/2006/relationships/oleObject" Target="embeddings/oleObject1.bin"/><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chart" Target="charts/chart8.xml"/><Relationship Id="rId18" Type="http://schemas.openxmlformats.org/officeDocument/2006/relationships/chart" Target="charts/chart7.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qinya\Desktop\lichun&#8212;&#8212;intern\0827&#8212;&#8212;&#24196;\Book1Jj&#26223;&#23425;&#21439;&#31354;&#27668;&#36136;&#3732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qinya\Desktop\lichun&#8212;&#8212;intern\0827&#8212;&#8212;&#24196;\Book1Jj&#26223;&#23425;&#21439;&#31354;&#27668;&#36136;&#3732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qinya\Desktop\lichun&#8212;&#8212;intern\0827&#8212;&#8212;&#24196;\Book1Jj&#26223;&#23425;&#21439;&#31354;&#27668;&#36136;&#3732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qinya\Desktop\lichun&#8212;&#8212;intern\0827&#8212;&#8212;&#24196;\Book1Jj&#26223;&#23425;&#21439;&#31354;&#27668;&#36136;&#3732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qinya\Desktop\lichun&#8212;&#8212;intern\0827&#8212;&#8212;&#24196;\Book1Jj&#26223;&#23425;&#21439;&#31354;&#27668;&#36136;&#3732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qinya\Desktop\lichun&#8212;&#8212;intern\0827&#8212;&#8212;&#24196;\Book1Jj&#26223;&#23425;&#21439;&#31354;&#27668;&#36136;&#3732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qinya\Desktop\lichun&#8212;&#8212;intern\0827&#8212;&#8212;&#24196;\Book1Jj&#26223;&#23425;&#21439;&#31354;&#27668;&#36136;&#37327;.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JKJ0628\Documents\WeChat%20Files\sxh178430784\FileStorage\File\2020-11\&#24037;&#19994;&#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31483715319662"/>
          <c:y val="0.112362030905077"/>
          <c:w val="0.740530759951749"/>
          <c:h val="0.730684326710817"/>
        </c:manualLayout>
      </c:layout>
      <c:barChart>
        <c:barDir val="col"/>
        <c:grouping val="clustered"/>
        <c:varyColors val="0"/>
        <c:ser>
          <c:idx val="0"/>
          <c:order val="0"/>
          <c:tx>
            <c:strRef>
              <c:f>空气优良天数</c:f>
              <c:strCache>
                <c:ptCount val="1"/>
                <c:pt idx="0">
                  <c:v>空气优良天数</c:v>
                </c:pt>
              </c:strCache>
            </c:strRef>
          </c:tx>
          <c:invertIfNegative val="0"/>
          <c:dLbls>
            <c:delete val="1"/>
          </c:dLbls>
          <c:cat>
            <c:numRef>
              <c:f>Sheet1!$C$4:$G$4</c:f>
              <c:numCache>
                <c:formatCode>General</c:formatCode>
                <c:ptCount val="5"/>
                <c:pt idx="0">
                  <c:v>2015</c:v>
                </c:pt>
                <c:pt idx="1">
                  <c:v>2016</c:v>
                </c:pt>
                <c:pt idx="2">
                  <c:v>2017</c:v>
                </c:pt>
                <c:pt idx="3">
                  <c:v>2018</c:v>
                </c:pt>
                <c:pt idx="4">
                  <c:v>2019</c:v>
                </c:pt>
              </c:numCache>
            </c:numRef>
          </c:cat>
          <c:val>
            <c:numRef>
              <c:f>Sheet1!$C$8:$G$8</c:f>
              <c:numCache>
                <c:formatCode>General</c:formatCode>
                <c:ptCount val="5"/>
                <c:pt idx="0">
                  <c:v>337</c:v>
                </c:pt>
                <c:pt idx="1">
                  <c:v>336</c:v>
                </c:pt>
                <c:pt idx="2">
                  <c:v>334</c:v>
                </c:pt>
                <c:pt idx="3">
                  <c:v>348</c:v>
                </c:pt>
                <c:pt idx="4">
                  <c:v>362</c:v>
                </c:pt>
              </c:numCache>
            </c:numRef>
          </c:val>
        </c:ser>
        <c:dLbls>
          <c:showLegendKey val="0"/>
          <c:showVal val="0"/>
          <c:showCatName val="0"/>
          <c:showSerName val="0"/>
          <c:showPercent val="0"/>
          <c:showBubbleSize val="0"/>
        </c:dLbls>
        <c:gapWidth val="137"/>
        <c:axId val="79805824"/>
        <c:axId val="167771136"/>
      </c:barChart>
      <c:scatterChart>
        <c:scatterStyle val="smoothMarker"/>
        <c:varyColors val="0"/>
        <c:ser>
          <c:idx val="1"/>
          <c:order val="1"/>
          <c:tx>
            <c:strRef>
              <c:f>AQI优良率</c:f>
              <c:strCache>
                <c:ptCount val="1"/>
                <c:pt idx="0">
                  <c:v>AQI优良率</c:v>
                </c:pt>
              </c:strCache>
            </c:strRef>
          </c:tx>
          <c:spPr>
            <a:ln w="19050" cap="rnd" cmpd="sng" algn="ctr">
              <a:solidFill>
                <a:schemeClr val="accent2"/>
              </a:solidFill>
              <a:prstDash val="solid"/>
              <a:round/>
            </a:ln>
          </c:spPr>
          <c:marker>
            <c:symbol val="circle"/>
            <c:size val="5"/>
            <c:spPr>
              <a:solidFill>
                <a:srgbClr val="FF0000"/>
              </a:solidFill>
            </c:spPr>
          </c:marker>
          <c:dLbls>
            <c:delete val="1"/>
          </c:dLbls>
          <c:xVal>
            <c:numRef>
              <c:f>Sheet1!$C$4:$G$4</c:f>
              <c:numCache>
                <c:formatCode>General</c:formatCode>
                <c:ptCount val="5"/>
                <c:pt idx="0">
                  <c:v>2015</c:v>
                </c:pt>
                <c:pt idx="1">
                  <c:v>2016</c:v>
                </c:pt>
                <c:pt idx="2">
                  <c:v>2017</c:v>
                </c:pt>
                <c:pt idx="3">
                  <c:v>2018</c:v>
                </c:pt>
                <c:pt idx="4">
                  <c:v>2019</c:v>
                </c:pt>
              </c:numCache>
            </c:numRef>
          </c:xVal>
          <c:yVal>
            <c:numRef>
              <c:f>Sheet1!$C$12:$G$12</c:f>
              <c:numCache>
                <c:formatCode>0.00%</c:formatCode>
                <c:ptCount val="5"/>
                <c:pt idx="0">
                  <c:v>0.968</c:v>
                </c:pt>
                <c:pt idx="1">
                  <c:v>0.98</c:v>
                </c:pt>
                <c:pt idx="2">
                  <c:v>0.974</c:v>
                </c:pt>
                <c:pt idx="3">
                  <c:v>0.994</c:v>
                </c:pt>
                <c:pt idx="4">
                  <c:v>1</c:v>
                </c:pt>
              </c:numCache>
            </c:numRef>
          </c:yVal>
          <c:smooth val="1"/>
        </c:ser>
        <c:dLbls>
          <c:showLegendKey val="0"/>
          <c:showVal val="0"/>
          <c:showCatName val="0"/>
          <c:showSerName val="0"/>
          <c:showPercent val="0"/>
          <c:showBubbleSize val="0"/>
        </c:dLbls>
        <c:axId val="120673024"/>
        <c:axId val="79706368"/>
      </c:scatterChart>
      <c:dateAx>
        <c:axId val="79805824"/>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67771136"/>
        <c:crosses val="autoZero"/>
        <c:auto val="0"/>
        <c:lblOffset val="100"/>
        <c:baseTimeUnit val="days"/>
      </c:dateAx>
      <c:valAx>
        <c:axId val="167771136"/>
        <c:scaling>
          <c:orientation val="minMax"/>
        </c:scaling>
        <c:delete val="0"/>
        <c:axPos val="l"/>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9805824"/>
        <c:crosses val="autoZero"/>
        <c:crossBetween val="between"/>
        <c:majorUnit val="5"/>
      </c:valAx>
      <c:valAx>
        <c:axId val="12067302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9706368"/>
        <c:crosses val="autoZero"/>
        <c:crossBetween val="midCat"/>
      </c:valAx>
      <c:valAx>
        <c:axId val="79706368"/>
        <c:scaling>
          <c:orientation val="minMax"/>
          <c:max val="1"/>
          <c:min val="0.84"/>
        </c:scaling>
        <c:delete val="0"/>
        <c:axPos val="r"/>
        <c:numFmt formatCode="0%" sourceLinked="0"/>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20673024"/>
        <c:crosses val="max"/>
        <c:crossBetween val="midCat"/>
      </c:valAx>
      <c:spPr>
        <a:ln>
          <a:solidFill>
            <a:schemeClr val="tx1"/>
          </a:solidFill>
        </a:ln>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145235223160434"/>
          <c:y val="0.104635761589404"/>
          <c:w val="0.421712907117008"/>
          <c:h val="0.11015452538631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年份</a:t>
            </a:r>
            <a:endPara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8"/>
          <c:h val="0.75618731869042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Sheet1!$C$16:$G$16</c:f>
              <c:numCache>
                <c:formatCode>General</c:formatCode>
                <c:ptCount val="5"/>
                <c:pt idx="0">
                  <c:v>6</c:v>
                </c:pt>
                <c:pt idx="1">
                  <c:v>5</c:v>
                </c:pt>
                <c:pt idx="2">
                  <c:v>5</c:v>
                </c:pt>
                <c:pt idx="3">
                  <c:v>5</c:v>
                </c:pt>
                <c:pt idx="4">
                  <c:v>3</c:v>
                </c:pt>
              </c:numCache>
            </c:numRef>
          </c:val>
        </c:ser>
        <c:dLbls>
          <c:showLegendKey val="0"/>
          <c:showVal val="0"/>
          <c:showCatName val="0"/>
          <c:showSerName val="0"/>
          <c:showPercent val="0"/>
          <c:showBubbleSize val="0"/>
        </c:dLbls>
        <c:gapWidth val="150"/>
        <c:axId val="166118528"/>
        <c:axId val="166120064"/>
      </c:barChart>
      <c:scatterChart>
        <c:scatterStyle val="smoothMarker"/>
        <c:varyColors val="0"/>
        <c:ser>
          <c:idx val="1"/>
          <c:order val="1"/>
          <c:tx>
            <c:strRef>
              <c:f>SO2一级标准(20μg/m3）</c:f>
              <c:strCache>
                <c:ptCount val="1"/>
                <c:pt idx="0">
                  <c:v>SO2一级标准(20μg/m3）</c:v>
                </c:pt>
              </c:strCache>
            </c:strRef>
          </c:tx>
          <c:spPr>
            <a:ln w="19050" cap="rnd" cmpd="sng" algn="ctr">
              <a:solidFill>
                <a:srgbClr val="FF0000"/>
              </a:solidFill>
              <a:prstDash val="solid"/>
              <a:round/>
            </a:ln>
          </c:spPr>
          <c:marker>
            <c:symbol val="none"/>
          </c:marker>
          <c:dLbls>
            <c:delete val="1"/>
          </c:dLbls>
          <c:yVal>
            <c:numRef>
              <c:f>Sheet1!$C$20:$G$20</c:f>
              <c:numCache>
                <c:formatCode>General</c:formatCode>
                <c:ptCount val="5"/>
                <c:pt idx="0">
                  <c:v>20</c:v>
                </c:pt>
                <c:pt idx="1">
                  <c:v>20</c:v>
                </c:pt>
                <c:pt idx="2">
                  <c:v>20</c:v>
                </c:pt>
                <c:pt idx="3">
                  <c:v>20</c:v>
                </c:pt>
                <c:pt idx="4">
                  <c:v>20</c:v>
                </c:pt>
              </c:numCache>
            </c:numRef>
          </c:yVal>
          <c:smooth val="1"/>
        </c:ser>
        <c:dLbls>
          <c:showLegendKey val="0"/>
          <c:showVal val="0"/>
          <c:showCatName val="0"/>
          <c:showSerName val="0"/>
          <c:showPercent val="0"/>
          <c:showBubbleSize val="0"/>
        </c:dLbls>
        <c:axId val="166118528"/>
        <c:axId val="166120064"/>
      </c:scatterChart>
      <c:catAx>
        <c:axId val="166118528"/>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66120064"/>
        <c:crosses val="autoZero"/>
        <c:auto val="1"/>
        <c:lblAlgn val="ctr"/>
        <c:lblOffset val="100"/>
        <c:noMultiLvlLbl val="0"/>
      </c:catAx>
      <c:valAx>
        <c:axId val="166120064"/>
        <c:scaling>
          <c:orientation val="minMax"/>
          <c:max val="24"/>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SO</a:t>
                </a:r>
                <a:r>
                  <a:rPr lang="en-US" baseline="-25000">
                    <a:latin typeface="Times New Roman" panose="02020603050405020304" charset="0"/>
                    <a:ea typeface="Times New Roman" panose="02020603050405020304" charset="0"/>
                    <a:cs typeface="Times New Roman" panose="02020603050405020304" charset="0"/>
                    <a:sym typeface="Times New Roman" panose="02020603050405020304" charset="0"/>
                  </a:rPr>
                  <a:t>2</a:t>
                </a:r>
                <a:r>
                  <a:rPr lang="zh-CN">
                    <a:latin typeface="Times New Roman" panose="02020603050405020304" charset="0"/>
                    <a:ea typeface="Times New Roman" panose="02020603050405020304" charset="0"/>
                    <a:cs typeface="Times New Roman" panose="02020603050405020304" charset="0"/>
                    <a:sym typeface="Times New Roman" panose="02020603050405020304" charset="0"/>
                  </a:rPr>
                  <a:t>年均浓度（</a:t>
                </a: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μg/m</a:t>
                </a:r>
                <a:r>
                  <a:rPr lang="en-US" baseline="30000">
                    <a:latin typeface="Times New Roman" panose="02020603050405020304" charset="0"/>
                    <a:ea typeface="Times New Roman" panose="02020603050405020304" charset="0"/>
                    <a:cs typeface="Times New Roman" panose="02020603050405020304" charset="0"/>
                    <a:sym typeface="Times New Roman" panose="02020603050405020304" charset="0"/>
                  </a:rPr>
                  <a:t>3</a:t>
                </a:r>
                <a:r>
                  <a:rPr lang="zh-CN">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lang="zh-CN">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475483304139536"/>
              <c:y val="0.0757141843756017"/>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66118528"/>
        <c:crosses val="autoZero"/>
        <c:crossBetween val="between"/>
        <c:majorUnit val="6"/>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zh-CN" sz="1100"/>
              <a:t>年份</a:t>
            </a:r>
            <a:endParaRPr lang="zh-CN" sz="1100"/>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9"/>
          <c:h val="0.756187318690427"/>
        </c:manualLayout>
      </c:layout>
      <c:barChart>
        <c:barDir val="col"/>
        <c:grouping val="clustered"/>
        <c:varyColors val="0"/>
        <c:ser>
          <c:idx val="0"/>
          <c:order val="0"/>
          <c:tx>
            <c:strRef>
              <c:f>系列1</c:f>
              <c:strCache>
                <c:ptCount val="1"/>
                <c:pt idx="0">
                  <c:v>系列1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Sheet1!$C$15:$G$15</c:f>
              <c:numCache>
                <c:formatCode>General</c:formatCode>
                <c:ptCount val="5"/>
                <c:pt idx="0">
                  <c:v>21</c:v>
                </c:pt>
                <c:pt idx="1">
                  <c:v>17</c:v>
                </c:pt>
                <c:pt idx="2">
                  <c:v>19</c:v>
                </c:pt>
                <c:pt idx="3">
                  <c:v>18</c:v>
                </c:pt>
                <c:pt idx="4">
                  <c:v>16</c:v>
                </c:pt>
              </c:numCache>
            </c:numRef>
          </c:val>
        </c:ser>
        <c:dLbls>
          <c:showLegendKey val="0"/>
          <c:showVal val="0"/>
          <c:showCatName val="0"/>
          <c:showSerName val="0"/>
          <c:showPercent val="0"/>
          <c:showBubbleSize val="0"/>
        </c:dLbls>
        <c:gapWidth val="150"/>
        <c:axId val="201762304"/>
        <c:axId val="201765632"/>
      </c:barChart>
      <c:scatterChart>
        <c:scatterStyle val="smoothMarker"/>
        <c:varyColors val="0"/>
        <c:ser>
          <c:idx val="1"/>
          <c:order val="1"/>
          <c:tx>
            <c:strRef>
              <c:f>NO2一级标准：40μg/m3 </c:f>
              <c:strCache>
                <c:ptCount val="1"/>
                <c:pt idx="0">
                  <c:v>NO2一级标准：40μg/m3 </c:v>
                </c:pt>
              </c:strCache>
            </c:strRef>
          </c:tx>
          <c:spPr>
            <a:ln w="19050" cap="rnd" cmpd="sng" algn="ctr">
              <a:solidFill>
                <a:srgbClr val="FF0000"/>
              </a:solidFill>
              <a:prstDash val="solid"/>
              <a:round/>
            </a:ln>
          </c:spPr>
          <c:marker>
            <c:symbol val="none"/>
          </c:marker>
          <c:dLbls>
            <c:delete val="1"/>
          </c:dLbls>
          <c:yVal>
            <c:numRef>
              <c:f>Sheet1!$C$24:$G$24</c:f>
              <c:numCache>
                <c:formatCode>General</c:formatCode>
                <c:ptCount val="5"/>
                <c:pt idx="0">
                  <c:v>40</c:v>
                </c:pt>
                <c:pt idx="1">
                  <c:v>40</c:v>
                </c:pt>
                <c:pt idx="2">
                  <c:v>40</c:v>
                </c:pt>
                <c:pt idx="3">
                  <c:v>40</c:v>
                </c:pt>
                <c:pt idx="4">
                  <c:v>40</c:v>
                </c:pt>
              </c:numCache>
            </c:numRef>
          </c:yVal>
          <c:smooth val="1"/>
        </c:ser>
        <c:dLbls>
          <c:showLegendKey val="0"/>
          <c:showVal val="0"/>
          <c:showCatName val="0"/>
          <c:showSerName val="0"/>
          <c:showPercent val="0"/>
          <c:showBubbleSize val="0"/>
        </c:dLbls>
        <c:axId val="201762304"/>
        <c:axId val="201765632"/>
      </c:scatterChart>
      <c:catAx>
        <c:axId val="201762304"/>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201765632"/>
        <c:crosses val="autoZero"/>
        <c:auto val="1"/>
        <c:lblAlgn val="ctr"/>
        <c:lblOffset val="100"/>
        <c:noMultiLvlLbl val="0"/>
      </c:catAx>
      <c:valAx>
        <c:axId val="201765632"/>
        <c:scaling>
          <c:orientation val="minMax"/>
          <c:max val="5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en-US"/>
                  <a:t>NO</a:t>
                </a:r>
                <a:r>
                  <a:rPr lang="en-US" baseline="-25000"/>
                  <a:t>2</a:t>
                </a:r>
                <a:r>
                  <a:rPr lang="zh-CN"/>
                  <a:t>年均浓度（</a:t>
                </a:r>
                <a:r>
                  <a:rPr lang="en-US"/>
                  <a:t>μg/m</a:t>
                </a:r>
                <a:r>
                  <a:rPr lang="en-US" baseline="30000"/>
                  <a:t>3</a:t>
                </a:r>
                <a:r>
                  <a:rPr lang="zh-CN"/>
                  <a:t>）</a:t>
                </a:r>
                <a:endParaRPr lang="zh-CN"/>
              </a:p>
            </c:rich>
          </c:tx>
          <c:layout>
            <c:manualLayout>
              <c:xMode val="edge"/>
              <c:yMode val="edge"/>
              <c:x val="0.0355908636420447"/>
              <c:y val="0.0602701180571052"/>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201762304"/>
        <c:crosses val="autoZero"/>
        <c:crossBetween val="between"/>
        <c:majorUnit val="10"/>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仿宋" panose="02010609060101010101" pitchFamily="3" charset="-122"/>
          <a:cs typeface="Times New Roman" panose="02020603050405020304" charset="0"/>
        </a:defRPr>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zh-CN" sz="1100"/>
              <a:t>年份</a:t>
            </a:r>
            <a:endParaRPr lang="zh-CN" sz="1100"/>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8"/>
          <c:h val="0.75618731869042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Sheet1!$C$14:$G$14</c:f>
              <c:numCache>
                <c:formatCode>General</c:formatCode>
                <c:ptCount val="5"/>
                <c:pt idx="0">
                  <c:v>67</c:v>
                </c:pt>
                <c:pt idx="1">
                  <c:v>60</c:v>
                </c:pt>
                <c:pt idx="2">
                  <c:v>56</c:v>
                </c:pt>
                <c:pt idx="3">
                  <c:v>44</c:v>
                </c:pt>
                <c:pt idx="4">
                  <c:v>37</c:v>
                </c:pt>
              </c:numCache>
            </c:numRef>
          </c:val>
        </c:ser>
        <c:dLbls>
          <c:showLegendKey val="0"/>
          <c:showVal val="0"/>
          <c:showCatName val="0"/>
          <c:showSerName val="0"/>
          <c:showPercent val="0"/>
          <c:showBubbleSize val="0"/>
        </c:dLbls>
        <c:gapWidth val="150"/>
        <c:axId val="166118528"/>
        <c:axId val="166120064"/>
      </c:barChart>
      <c:scatterChart>
        <c:scatterStyle val="smoothMarker"/>
        <c:varyColors val="0"/>
        <c:ser>
          <c:idx val="1"/>
          <c:order val="1"/>
          <c:tx>
            <c:strRef>
              <c:f>Sheet1!$B$26</c:f>
              <c:strCache>
                <c:ptCount val="1"/>
                <c:pt idx="0">
                  <c:v>PM10二级标准</c:v>
                </c:pt>
              </c:strCache>
            </c:strRef>
          </c:tx>
          <c:spPr>
            <a:ln w="19050" cap="rnd" cmpd="sng" algn="ctr">
              <a:solidFill>
                <a:srgbClr val="FF0000"/>
              </a:solidFill>
              <a:prstDash val="solid"/>
              <a:round/>
            </a:ln>
          </c:spPr>
          <c:marker>
            <c:symbol val="none"/>
          </c:marker>
          <c:dLbls>
            <c:delete val="1"/>
          </c:dLbls>
          <c:yVal>
            <c:numRef>
              <c:f>Sheet1!$C$26:$G$26</c:f>
              <c:numCache>
                <c:formatCode>General</c:formatCode>
                <c:ptCount val="5"/>
                <c:pt idx="0">
                  <c:v>70</c:v>
                </c:pt>
                <c:pt idx="1">
                  <c:v>70</c:v>
                </c:pt>
                <c:pt idx="2">
                  <c:v>70</c:v>
                </c:pt>
                <c:pt idx="3">
                  <c:v>70</c:v>
                </c:pt>
                <c:pt idx="4">
                  <c:v>70</c:v>
                </c:pt>
              </c:numCache>
            </c:numRef>
          </c:yVal>
          <c:smooth val="1"/>
        </c:ser>
        <c:ser>
          <c:idx val="2"/>
          <c:order val="2"/>
          <c:tx>
            <c:strRef>
              <c:f>Sheet1!$B$25</c:f>
              <c:strCache>
                <c:ptCount val="1"/>
                <c:pt idx="0">
                  <c:v>PM10一级标准</c:v>
                </c:pt>
              </c:strCache>
            </c:strRef>
          </c:tx>
          <c:spPr>
            <a:ln w="19050" cap="rnd" cmpd="sng" algn="ctr">
              <a:solidFill>
                <a:srgbClr val="FF0000"/>
              </a:solidFill>
              <a:prstDash val="solid"/>
              <a:round/>
            </a:ln>
          </c:spPr>
          <c:marker>
            <c:symbol val="none"/>
          </c:marker>
          <c:dLbls>
            <c:delete val="1"/>
          </c:dLbls>
          <c:yVal>
            <c:numRef>
              <c:f>Sheet1!$C$25:$G$25</c:f>
              <c:numCache>
                <c:formatCode>General</c:formatCode>
                <c:ptCount val="5"/>
                <c:pt idx="0">
                  <c:v>40</c:v>
                </c:pt>
                <c:pt idx="1">
                  <c:v>40</c:v>
                </c:pt>
                <c:pt idx="2">
                  <c:v>40</c:v>
                </c:pt>
                <c:pt idx="3">
                  <c:v>40</c:v>
                </c:pt>
                <c:pt idx="4">
                  <c:v>40</c:v>
                </c:pt>
              </c:numCache>
            </c:numRef>
          </c:yVal>
          <c:smooth val="1"/>
        </c:ser>
        <c:dLbls>
          <c:showLegendKey val="0"/>
          <c:showVal val="0"/>
          <c:showCatName val="0"/>
          <c:showSerName val="0"/>
          <c:showPercent val="0"/>
          <c:showBubbleSize val="0"/>
        </c:dLbls>
        <c:axId val="166118528"/>
        <c:axId val="166120064"/>
      </c:scatterChart>
      <c:catAx>
        <c:axId val="166118528"/>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20064"/>
        <c:crosses val="autoZero"/>
        <c:auto val="1"/>
        <c:lblAlgn val="ctr"/>
        <c:lblOffset val="100"/>
        <c:noMultiLvlLbl val="0"/>
      </c:catAx>
      <c:valAx>
        <c:axId val="166120064"/>
        <c:scaling>
          <c:orientation val="minMax"/>
          <c:max val="80"/>
          <c:min val="2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en-US"/>
                  <a:t>PM</a:t>
                </a:r>
                <a:r>
                  <a:rPr lang="en-US" baseline="-25000"/>
                  <a:t>10</a:t>
                </a:r>
                <a:r>
                  <a:rPr lang="zh-CN"/>
                  <a:t>年均浓度（</a:t>
                </a:r>
                <a:r>
                  <a:rPr lang="el-GR"/>
                  <a:t>μ</a:t>
                </a:r>
                <a:r>
                  <a:rPr lang="en-US"/>
                  <a:t>g/m</a:t>
                </a:r>
                <a:r>
                  <a:rPr lang="en-US" baseline="30000"/>
                  <a:t>3</a:t>
                </a:r>
                <a:r>
                  <a:rPr lang="en-US"/>
                  <a:t>）</a:t>
                </a:r>
                <a:endParaRPr lang="en-US"/>
              </a:p>
            </c:rich>
          </c:tx>
          <c:layout>
            <c:manualLayout>
              <c:xMode val="edge"/>
              <c:yMode val="edge"/>
              <c:x val="0.0570677642567406"/>
              <c:y val="0.0602701689315863"/>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18528"/>
        <c:crosses val="autoZero"/>
        <c:crossBetween val="between"/>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仿宋" panose="02010609060101010101" pitchFamily="3" charset="-122"/>
          <a:cs typeface="Times New Roman" panose="02020603050405020304" charset="0"/>
        </a:defRPr>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zh-CN" sz="1100"/>
              <a:t>年份</a:t>
            </a:r>
            <a:endParaRPr lang="zh-CN" sz="1100"/>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8"/>
          <c:h val="0.75618731869042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Sheet1!$C$13:$G$13</c:f>
              <c:numCache>
                <c:formatCode>General</c:formatCode>
                <c:ptCount val="5"/>
                <c:pt idx="0">
                  <c:v>31</c:v>
                </c:pt>
                <c:pt idx="1">
                  <c:v>29</c:v>
                </c:pt>
                <c:pt idx="2">
                  <c:v>30</c:v>
                </c:pt>
                <c:pt idx="3">
                  <c:v>23</c:v>
                </c:pt>
                <c:pt idx="4">
                  <c:v>22</c:v>
                </c:pt>
              </c:numCache>
            </c:numRef>
          </c:val>
        </c:ser>
        <c:dLbls>
          <c:showLegendKey val="0"/>
          <c:showVal val="0"/>
          <c:showCatName val="0"/>
          <c:showSerName val="0"/>
          <c:showPercent val="0"/>
          <c:showBubbleSize val="0"/>
        </c:dLbls>
        <c:gapWidth val="150"/>
        <c:axId val="166118528"/>
        <c:axId val="166120064"/>
      </c:barChart>
      <c:scatterChart>
        <c:scatterStyle val="smoothMarker"/>
        <c:varyColors val="0"/>
        <c:ser>
          <c:idx val="1"/>
          <c:order val="1"/>
          <c:tx>
            <c:strRef>
              <c:f>PM2.5二级标准(40μg/m3）</c:f>
              <c:strCache>
                <c:ptCount val="1"/>
                <c:pt idx="0">
                  <c:v>PM2.5二级标准(40μg/m3）</c:v>
                </c:pt>
              </c:strCache>
            </c:strRef>
          </c:tx>
          <c:spPr>
            <a:ln w="19050" cap="rnd" cmpd="sng" algn="ctr">
              <a:solidFill>
                <a:srgbClr val="FF0000"/>
              </a:solidFill>
              <a:prstDash val="solid"/>
              <a:round/>
            </a:ln>
          </c:spPr>
          <c:marker>
            <c:symbol val="none"/>
          </c:marker>
          <c:dLbls>
            <c:delete val="1"/>
          </c:dLbls>
          <c:yVal>
            <c:numRef>
              <c:f>Sheet1!$C$28:$G$28</c:f>
              <c:numCache>
                <c:formatCode>General</c:formatCode>
                <c:ptCount val="5"/>
                <c:pt idx="0">
                  <c:v>35</c:v>
                </c:pt>
                <c:pt idx="1">
                  <c:v>35</c:v>
                </c:pt>
                <c:pt idx="2">
                  <c:v>35</c:v>
                </c:pt>
                <c:pt idx="3">
                  <c:v>35</c:v>
                </c:pt>
                <c:pt idx="4">
                  <c:v>35</c:v>
                </c:pt>
              </c:numCache>
            </c:numRef>
          </c:yVal>
          <c:smooth val="1"/>
        </c:ser>
        <c:ser>
          <c:idx val="2"/>
          <c:order val="2"/>
          <c:tx>
            <c:strRef>
              <c:f>Sheet1!$B$27</c:f>
              <c:strCache>
                <c:ptCount val="1"/>
                <c:pt idx="0">
                  <c:v>PM2.5一级标准</c:v>
                </c:pt>
              </c:strCache>
            </c:strRef>
          </c:tx>
          <c:spPr>
            <a:ln w="19050" cap="rnd" cmpd="sng" algn="ctr">
              <a:solidFill>
                <a:srgbClr val="C00000"/>
              </a:solidFill>
              <a:prstDash val="solid"/>
              <a:round/>
            </a:ln>
          </c:spPr>
          <c:marker>
            <c:symbol val="none"/>
          </c:marker>
          <c:dLbls>
            <c:delete val="1"/>
          </c:dLbls>
          <c:yVal>
            <c:numRef>
              <c:f>Sheet1!$C$27:$G$27</c:f>
              <c:numCache>
                <c:formatCode>General</c:formatCode>
                <c:ptCount val="5"/>
                <c:pt idx="0">
                  <c:v>15</c:v>
                </c:pt>
                <c:pt idx="1">
                  <c:v>15</c:v>
                </c:pt>
                <c:pt idx="2">
                  <c:v>15</c:v>
                </c:pt>
                <c:pt idx="3">
                  <c:v>15</c:v>
                </c:pt>
                <c:pt idx="4">
                  <c:v>15</c:v>
                </c:pt>
              </c:numCache>
            </c:numRef>
          </c:yVal>
          <c:smooth val="1"/>
        </c:ser>
        <c:dLbls>
          <c:showLegendKey val="0"/>
          <c:showVal val="0"/>
          <c:showCatName val="0"/>
          <c:showSerName val="0"/>
          <c:showPercent val="0"/>
          <c:showBubbleSize val="0"/>
        </c:dLbls>
        <c:axId val="166118528"/>
        <c:axId val="166120064"/>
      </c:scatterChart>
      <c:catAx>
        <c:axId val="166118528"/>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20064"/>
        <c:crosses val="autoZero"/>
        <c:auto val="1"/>
        <c:lblAlgn val="ctr"/>
        <c:lblOffset val="100"/>
        <c:noMultiLvlLbl val="0"/>
      </c:catAx>
      <c:valAx>
        <c:axId val="166120064"/>
        <c:scaling>
          <c:orientation val="minMax"/>
          <c:max val="45"/>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en-US"/>
                  <a:t>PM</a:t>
                </a:r>
                <a:r>
                  <a:rPr lang="en-US" baseline="-25000"/>
                  <a:t>2.5</a:t>
                </a:r>
                <a:r>
                  <a:rPr lang="zh-CN"/>
                  <a:t>年均浓度（</a:t>
                </a:r>
                <a:r>
                  <a:rPr lang="el-GR"/>
                  <a:t>μ</a:t>
                </a:r>
                <a:r>
                  <a:rPr lang="en-US"/>
                  <a:t>g/m</a:t>
                </a:r>
                <a:r>
                  <a:rPr lang="en-US" baseline="30000"/>
                  <a:t>3</a:t>
                </a:r>
                <a:r>
                  <a:rPr lang="en-US"/>
                  <a:t>）</a:t>
                </a:r>
                <a:endParaRPr lang="en-US"/>
              </a:p>
            </c:rich>
          </c:tx>
          <c:layout>
            <c:manualLayout>
              <c:xMode val="edge"/>
              <c:yMode val="edge"/>
              <c:x val="0.049054076179986"/>
              <c:y val="0.0602702174189949"/>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18528"/>
        <c:crosses val="autoZero"/>
        <c:crossBetween val="between"/>
        <c:majorUnit val="10"/>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仿宋" panose="02010609060101010101" pitchFamily="3" charset="-122"/>
          <a:cs typeface="Times New Roman" panose="02020603050405020304" charset="0"/>
        </a:defRPr>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zh-CN" sz="1100"/>
              <a:t>年份</a:t>
            </a:r>
            <a:endParaRPr lang="zh-CN" sz="1100"/>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8"/>
          <c:h val="0.75618731869042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Sheet1!$C$17:$G$17</c:f>
              <c:numCache>
                <c:formatCode>General</c:formatCode>
                <c:ptCount val="5"/>
                <c:pt idx="0">
                  <c:v>0.9</c:v>
                </c:pt>
                <c:pt idx="1">
                  <c:v>1.1</c:v>
                </c:pt>
                <c:pt idx="2">
                  <c:v>1.2</c:v>
                </c:pt>
                <c:pt idx="3">
                  <c:v>1.2</c:v>
                </c:pt>
                <c:pt idx="4">
                  <c:v>0.7</c:v>
                </c:pt>
              </c:numCache>
            </c:numRef>
          </c:val>
        </c:ser>
        <c:dLbls>
          <c:showLegendKey val="0"/>
          <c:showVal val="0"/>
          <c:showCatName val="0"/>
          <c:showSerName val="0"/>
          <c:showPercent val="0"/>
          <c:showBubbleSize val="0"/>
        </c:dLbls>
        <c:gapWidth val="150"/>
        <c:axId val="166118528"/>
        <c:axId val="166120064"/>
      </c:barChart>
      <c:scatterChart>
        <c:scatterStyle val="smoothMarker"/>
        <c:varyColors val="0"/>
        <c:ser>
          <c:idx val="1"/>
          <c:order val="1"/>
          <c:tx>
            <c:strRef>
              <c:f>CO一级标准</c:f>
              <c:strCache>
                <c:ptCount val="1"/>
                <c:pt idx="0">
                  <c:v>CO一级标准</c:v>
                </c:pt>
              </c:strCache>
            </c:strRef>
          </c:tx>
          <c:spPr>
            <a:ln w="19050" cap="rnd" cmpd="sng" algn="ctr">
              <a:solidFill>
                <a:srgbClr val="FF0000"/>
              </a:solidFill>
              <a:prstDash val="solid"/>
              <a:round/>
            </a:ln>
          </c:spPr>
          <c:marker>
            <c:symbol val="none"/>
          </c:marker>
          <c:dLbls>
            <c:delete val="1"/>
          </c:dLbls>
          <c:yVal>
            <c:numRef>
              <c:f>Sheet1!$C$21:$G$21</c:f>
              <c:numCache>
                <c:formatCode>General</c:formatCode>
                <c:ptCount val="5"/>
                <c:pt idx="0">
                  <c:v>4</c:v>
                </c:pt>
                <c:pt idx="1">
                  <c:v>4</c:v>
                </c:pt>
                <c:pt idx="2">
                  <c:v>4</c:v>
                </c:pt>
                <c:pt idx="3">
                  <c:v>4</c:v>
                </c:pt>
                <c:pt idx="4">
                  <c:v>4</c:v>
                </c:pt>
              </c:numCache>
            </c:numRef>
          </c:yVal>
          <c:smooth val="1"/>
        </c:ser>
        <c:dLbls>
          <c:showLegendKey val="0"/>
          <c:showVal val="0"/>
          <c:showCatName val="0"/>
          <c:showSerName val="0"/>
          <c:showPercent val="0"/>
          <c:showBubbleSize val="0"/>
        </c:dLbls>
        <c:axId val="166118528"/>
        <c:axId val="166120064"/>
      </c:scatterChart>
      <c:catAx>
        <c:axId val="166118528"/>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20064"/>
        <c:crosses val="autoZero"/>
        <c:auto val="1"/>
        <c:lblAlgn val="ctr"/>
        <c:lblOffset val="100"/>
        <c:noMultiLvlLbl val="0"/>
      </c:catAx>
      <c:valAx>
        <c:axId val="166120064"/>
        <c:scaling>
          <c:orientation val="minMax"/>
          <c:max val="5"/>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en-US"/>
                  <a:t>CO </a:t>
                </a:r>
                <a:r>
                  <a:rPr lang="zh-CN"/>
                  <a:t>年均浓度（</a:t>
                </a:r>
                <a:r>
                  <a:rPr lang="en-US"/>
                  <a:t>mg/m</a:t>
                </a:r>
                <a:r>
                  <a:rPr lang="en-US" baseline="30000"/>
                  <a:t>3</a:t>
                </a:r>
                <a:r>
                  <a:rPr lang="en-US"/>
                  <a:t>）</a:t>
                </a:r>
                <a:endParaRPr lang="en-US"/>
              </a:p>
            </c:rich>
          </c:tx>
          <c:layout>
            <c:manualLayout>
              <c:xMode val="edge"/>
              <c:yMode val="edge"/>
              <c:x val="0.0465944621620402"/>
              <c:y val="0.0602701250578972"/>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18528"/>
        <c:crosses val="autoZero"/>
        <c:crossBetween val="between"/>
        <c:majorUnit val="1"/>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仿宋" panose="02010609060101010101" pitchFamily="3" charset="-122"/>
          <a:cs typeface="Times New Roman" panose="02020603050405020304" charset="0"/>
        </a:defRPr>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zh-CN" sz="1100"/>
              <a:t>年份</a:t>
            </a:r>
            <a:endParaRPr lang="zh-CN" sz="1100"/>
          </a:p>
        </c:rich>
      </c:tx>
      <c:layout>
        <c:manualLayout>
          <c:xMode val="edge"/>
          <c:yMode val="edge"/>
          <c:x val="0.497332264604649"/>
          <c:y val="0.900397207434091"/>
        </c:manualLayout>
      </c:layout>
      <c:overlay val="0"/>
    </c:title>
    <c:autoTitleDeleted val="0"/>
    <c:plotArea>
      <c:layout>
        <c:manualLayout>
          <c:layoutTarget val="inner"/>
          <c:xMode val="edge"/>
          <c:yMode val="edge"/>
          <c:x val="0.166075093906675"/>
          <c:y val="0.0301042578011082"/>
          <c:w val="0.779932732959278"/>
          <c:h val="0.75618731869042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Sheet1!$C$4:$G$4</c:f>
              <c:numCache>
                <c:formatCode>General</c:formatCode>
                <c:ptCount val="5"/>
                <c:pt idx="0">
                  <c:v>2015</c:v>
                </c:pt>
                <c:pt idx="1">
                  <c:v>2016</c:v>
                </c:pt>
                <c:pt idx="2">
                  <c:v>2017</c:v>
                </c:pt>
                <c:pt idx="3">
                  <c:v>2018</c:v>
                </c:pt>
                <c:pt idx="4">
                  <c:v>2019</c:v>
                </c:pt>
              </c:numCache>
            </c:numRef>
          </c:cat>
          <c:val>
            <c:numRef>
              <c:f>Sheet1!$C$18:$G$18</c:f>
              <c:numCache>
                <c:formatCode>General</c:formatCode>
                <c:ptCount val="5"/>
                <c:pt idx="0">
                  <c:v>39</c:v>
                </c:pt>
                <c:pt idx="1">
                  <c:v>70</c:v>
                </c:pt>
                <c:pt idx="2">
                  <c:v>83</c:v>
                </c:pt>
                <c:pt idx="3">
                  <c:v>102</c:v>
                </c:pt>
                <c:pt idx="4">
                  <c:v>69</c:v>
                </c:pt>
              </c:numCache>
            </c:numRef>
          </c:val>
        </c:ser>
        <c:dLbls>
          <c:showLegendKey val="0"/>
          <c:showVal val="0"/>
          <c:showCatName val="0"/>
          <c:showSerName val="0"/>
          <c:showPercent val="0"/>
          <c:showBubbleSize val="0"/>
        </c:dLbls>
        <c:gapWidth val="150"/>
        <c:axId val="166118528"/>
        <c:axId val="166120064"/>
      </c:barChart>
      <c:scatterChart>
        <c:scatterStyle val="smoothMarker"/>
        <c:varyColors val="0"/>
        <c:ser>
          <c:idx val="1"/>
          <c:order val="1"/>
          <c:tx>
            <c:strRef>
              <c:f>Sheet1!$B$29</c:f>
              <c:strCache>
                <c:ptCount val="1"/>
                <c:pt idx="0">
                  <c:v>O3一级标准</c:v>
                </c:pt>
              </c:strCache>
            </c:strRef>
          </c:tx>
          <c:spPr>
            <a:ln w="19050" cap="rnd" cmpd="sng" algn="ctr">
              <a:solidFill>
                <a:srgbClr val="FF0000"/>
              </a:solidFill>
              <a:prstDash val="solid"/>
              <a:round/>
            </a:ln>
          </c:spPr>
          <c:marker>
            <c:symbol val="none"/>
          </c:marker>
          <c:dLbls>
            <c:delete val="1"/>
          </c:dLbls>
          <c:yVal>
            <c:numRef>
              <c:f>Sheet1!$C$29:$G$29</c:f>
              <c:numCache>
                <c:formatCode>General</c:formatCode>
                <c:ptCount val="5"/>
                <c:pt idx="0">
                  <c:v>100</c:v>
                </c:pt>
                <c:pt idx="1">
                  <c:v>100</c:v>
                </c:pt>
                <c:pt idx="2">
                  <c:v>100</c:v>
                </c:pt>
                <c:pt idx="3">
                  <c:v>100</c:v>
                </c:pt>
                <c:pt idx="4">
                  <c:v>100</c:v>
                </c:pt>
              </c:numCache>
            </c:numRef>
          </c:yVal>
          <c:smooth val="1"/>
        </c:ser>
        <c:dLbls>
          <c:showLegendKey val="0"/>
          <c:showVal val="0"/>
          <c:showCatName val="0"/>
          <c:showSerName val="0"/>
          <c:showPercent val="0"/>
          <c:showBubbleSize val="0"/>
        </c:dLbls>
        <c:axId val="166118528"/>
        <c:axId val="166120064"/>
      </c:scatterChart>
      <c:catAx>
        <c:axId val="166118528"/>
        <c:scaling>
          <c:orientation val="minMax"/>
        </c:scaling>
        <c:delete val="0"/>
        <c:axPos val="b"/>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20064"/>
        <c:crosses val="autoZero"/>
        <c:auto val="1"/>
        <c:lblAlgn val="ctr"/>
        <c:lblOffset val="100"/>
        <c:noMultiLvlLbl val="0"/>
      </c:catAx>
      <c:valAx>
        <c:axId val="166120064"/>
        <c:scaling>
          <c:orientation val="minMax"/>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r>
                  <a:rPr lang="en-US"/>
                  <a:t>O</a:t>
                </a:r>
                <a:r>
                  <a:rPr lang="en-US" altLang="zh-TW" baseline="-25000"/>
                  <a:t>3</a:t>
                </a:r>
                <a:r>
                  <a:rPr lang="en-US"/>
                  <a:t> </a:t>
                </a:r>
                <a:r>
                  <a:rPr lang="zh-CN"/>
                  <a:t>年均浓度（</a:t>
                </a:r>
                <a:r>
                  <a:rPr lang="el-GR" altLang="zh-CN" sz="1000" b="1" i="0" u="none" strike="noStrike" baseline="0">
                    <a:effectLst/>
                  </a:rPr>
                  <a:t>μ</a:t>
                </a:r>
                <a:r>
                  <a:rPr lang="en-US"/>
                  <a:t>g/m</a:t>
                </a:r>
                <a:r>
                  <a:rPr lang="en-US" baseline="30000"/>
                  <a:t>3</a:t>
                </a:r>
                <a:r>
                  <a:rPr lang="en-US"/>
                  <a:t>）</a:t>
                </a:r>
                <a:endParaRPr lang="en-US"/>
              </a:p>
            </c:rich>
          </c:tx>
          <c:layout>
            <c:manualLayout>
              <c:xMode val="edge"/>
              <c:yMode val="edge"/>
              <c:x val="0.00252219969509799"/>
              <c:y val="0.0602701224846894"/>
            </c:manualLayout>
          </c:layout>
          <c:overlay val="0"/>
        </c:title>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pitchFamily="3" charset="-122"/>
                <a:cs typeface="Times New Roman" panose="02020603050405020304" charset="0"/>
              </a:defRPr>
            </a:pPr>
          </a:p>
        </c:txPr>
        <c:crossAx val="166118528"/>
        <c:crosses val="autoZero"/>
        <c:crossBetween val="between"/>
        <c:majorUnit val="20"/>
      </c:valAx>
      <c:spPr>
        <a:noFill/>
        <a:ln>
          <a:solidFill>
            <a:sysClr val="windowText" lastClr="000000"/>
          </a:solidFill>
        </a:ln>
      </c:spPr>
    </c:plotArea>
    <c:plotVisOnly val="1"/>
    <c:dispBlanksAs val="gap"/>
    <c:showDLblsOverMax val="0"/>
  </c:chart>
  <c:spPr>
    <a:ln w="6350" cap="flat" cmpd="sng" algn="ctr">
      <a:noFill/>
      <a:prstDash val="solid"/>
      <a:round/>
    </a:ln>
  </c:spPr>
  <c:txPr>
    <a:bodyPr/>
    <a:lstStyle/>
    <a:p>
      <a:pPr>
        <a:defRPr lang="zh-CN">
          <a:latin typeface="Times New Roman" panose="02020603050405020304" charset="0"/>
          <a:ea typeface="仿宋" panose="02010609060101010101" pitchFamily="3" charset="-122"/>
          <a:cs typeface="Times New Roman" panose="02020603050405020304" charset="0"/>
        </a:defRPr>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37642070759"/>
          <c:y val="0.0198019801980198"/>
          <c:w val="0.83792924074536"/>
          <c:h val="0.828447447529267"/>
        </c:manualLayout>
      </c:layout>
      <c:barChart>
        <c:barDir val="col"/>
        <c:grouping val="clustered"/>
        <c:varyColors val="0"/>
        <c:ser>
          <c:idx val="5"/>
          <c:order val="5"/>
          <c:tx>
            <c:strRef>
              <c:f>"2013"</c:f>
              <c:strCache>
                <c:ptCount val="1"/>
                <c:pt idx="0">
                  <c:v>2013</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[工业表格.xlsx]Sheet2!$B$12:$E$12</c:f>
              <c:numCache>
                <c:formatCode>General</c:formatCode>
                <c:ptCount val="4"/>
                <c:pt idx="0">
                  <c:v>360.64</c:v>
                </c:pt>
                <c:pt idx="1">
                  <c:v>97.1</c:v>
                </c:pt>
                <c:pt idx="2">
                  <c:v>0</c:v>
                </c:pt>
                <c:pt idx="3">
                  <c:v>0</c:v>
                </c:pt>
              </c:numCache>
            </c:numRef>
          </c:val>
        </c:ser>
        <c:ser>
          <c:idx val="7"/>
          <c:order val="6"/>
          <c:tx>
            <c:strRef>
              <c:f>"2015"</c:f>
              <c:strCache>
                <c:ptCount val="1"/>
                <c:pt idx="0">
                  <c:v>2015</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[工业表格.xlsx]Sheet2!$B$14:$E$14</c:f>
              <c:numCache>
                <c:formatCode>General</c:formatCode>
                <c:ptCount val="4"/>
                <c:pt idx="0">
                  <c:v>358.8</c:v>
                </c:pt>
                <c:pt idx="1">
                  <c:v>138.44</c:v>
                </c:pt>
                <c:pt idx="2">
                  <c:v>12.59</c:v>
                </c:pt>
                <c:pt idx="3">
                  <c:v>0</c:v>
                </c:pt>
              </c:numCache>
            </c:numRef>
          </c:val>
        </c:ser>
        <c:ser>
          <c:idx val="8"/>
          <c:order val="7"/>
          <c:tx>
            <c:strRef>
              <c:f>"2016"</c:f>
              <c:strCache>
                <c:ptCount val="1"/>
                <c:pt idx="0">
                  <c:v>2016</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[工业表格.xlsx]Sheet2!$B$15:$E$15</c:f>
              <c:numCache>
                <c:formatCode>General</c:formatCode>
                <c:ptCount val="4"/>
                <c:pt idx="0">
                  <c:v>60.43</c:v>
                </c:pt>
                <c:pt idx="1">
                  <c:v>22.19</c:v>
                </c:pt>
                <c:pt idx="2">
                  <c:v>10.6</c:v>
                </c:pt>
                <c:pt idx="3">
                  <c:v>3.16</c:v>
                </c:pt>
              </c:numCache>
            </c:numRef>
          </c:val>
        </c:ser>
        <c:ser>
          <c:idx val="9"/>
          <c:order val="8"/>
          <c:tx>
            <c:strRef>
              <c:f>"2017"</c:f>
              <c:strCache>
                <c:ptCount val="1"/>
                <c:pt idx="0">
                  <c:v>2017</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[工业表格.xlsx]Sheet2!$B$16:$E$16</c:f>
              <c:numCache>
                <c:formatCode>General</c:formatCode>
                <c:ptCount val="4"/>
                <c:pt idx="0">
                  <c:v>49.5</c:v>
                </c:pt>
                <c:pt idx="1">
                  <c:v>5.39</c:v>
                </c:pt>
                <c:pt idx="2">
                  <c:v>14.74</c:v>
                </c:pt>
                <c:pt idx="3">
                  <c:v>7</c:v>
                </c:pt>
              </c:numCache>
            </c:numRef>
          </c:val>
        </c:ser>
        <c:ser>
          <c:idx val="6"/>
          <c:order val="9"/>
          <c:tx>
            <c:strRef>
              <c:f>"2018"</c:f>
              <c:strCache>
                <c:ptCount val="1"/>
                <c:pt idx="0">
                  <c:v>2018</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[工业表格.xlsx]Sheet2!$B$17:$E$17</c:f>
              <c:numCache>
                <c:formatCode>General</c:formatCode>
                <c:ptCount val="4"/>
                <c:pt idx="0">
                  <c:v>44.55</c:v>
                </c:pt>
                <c:pt idx="1">
                  <c:v>5.36</c:v>
                </c:pt>
                <c:pt idx="2">
                  <c:v>8.72</c:v>
                </c:pt>
                <c:pt idx="3">
                  <c:v>13.45</c:v>
                </c:pt>
              </c:numCache>
            </c:numRef>
          </c:val>
        </c:ser>
        <c:ser>
          <c:idx val="10"/>
          <c:order val="10"/>
          <c:tx>
            <c:strRef>
              <c:f>"2019"</c:f>
              <c:strCache>
                <c:ptCount val="1"/>
                <c:pt idx="0">
                  <c:v>2019</c:v>
                </c:pt>
              </c:strCache>
            </c:strRef>
          </c:tx>
          <c:invertIfNegative val="0"/>
          <c:dLbls>
            <c:delete val="1"/>
          </c:dLbls>
          <c:cat>
            <c:strRef>
              <c:f>[工业表格.xlsx]Sheet2!$B$11:$E$11</c:f>
              <c:strCache>
                <c:ptCount val="4"/>
                <c:pt idx="0">
                  <c:v>二氧化硫</c:v>
                </c:pt>
                <c:pt idx="1">
                  <c:v>氮氧化物</c:v>
                </c:pt>
                <c:pt idx="2">
                  <c:v>烟（粉）尘</c:v>
                </c:pt>
                <c:pt idx="3">
                  <c:v>挥发性有机物</c:v>
                </c:pt>
              </c:strCache>
            </c:strRef>
          </c:cat>
          <c:val>
            <c:numRef>
              <c:f>[工业表格.xlsx]Sheet2!$B$18:$E$18</c:f>
              <c:numCache>
                <c:formatCode>General</c:formatCode>
                <c:ptCount val="4"/>
                <c:pt idx="0">
                  <c:v>44.19</c:v>
                </c:pt>
                <c:pt idx="1">
                  <c:v>18.57</c:v>
                </c:pt>
                <c:pt idx="2">
                  <c:v>7.64</c:v>
                </c:pt>
                <c:pt idx="3">
                  <c:v>4.81</c:v>
                </c:pt>
              </c:numCache>
            </c:numRef>
          </c:val>
        </c:ser>
        <c:dLbls>
          <c:showLegendKey val="0"/>
          <c:showVal val="0"/>
          <c:showCatName val="0"/>
          <c:showSerName val="0"/>
          <c:showPercent val="0"/>
          <c:showBubbleSize val="0"/>
        </c:dLbls>
        <c:gapWidth val="150"/>
        <c:axId val="220990464"/>
        <c:axId val="71283840"/>
        <c:extLst>
          <c:ext xmlns:c15="http://schemas.microsoft.com/office/drawing/2012/chart" uri="{02D57815-91ED-43cb-92C2-25804820EDAC}">
            <c15:filteredBarSeries>
              <c15:ser>
                <c:idx val="0"/>
                <c:order val="0"/>
                <c:tx>
                  <c:strRef>
                    <c:extLst>
                      <c:ext uri="{02D57815-91ED-43cb-92C2-25804820EDAC}">
                        <c15:formulaRef>
                          <c15:sqref>"2013"</c15:sqref>
                        </c15:formulaRef>
                      </c:ext>
                    </c:extLst>
                    <c:strCache>
                      <c:ptCount val="1"/>
                      <c:pt idx="0">
                        <c:v>2013</c:v>
                      </c:pt>
                    </c:strCache>
                  </c:strRef>
                </c:tx>
                <c:invertIfNegative val="0"/>
                <c:dLbls>
                  <c:delete val="1"/>
                </c:dLbls>
                <c:cat>
                  <c:strRef>
                    <c:extLst>
                      <c:ext uri="{02D57815-91ED-43cb-92C2-25804820EDAC}">
                        <c15:fullRef>
                          <c15:sqref/>
                        </c15:fullRef>
                        <c15:formulaRef>
                          <c15:sqref>[工业表格.xlsx]Sheet2!$B$11:$E$11</c15:sqref>
                        </c15:formulaRef>
                      </c:ext>
                    </c:extLst>
                    <c:strCache>
                      <c:ptCount val="4"/>
                      <c:pt idx="0">
                        <c:v>二氧化硫</c:v>
                      </c:pt>
                      <c:pt idx="1">
                        <c:v>氮氧化物</c:v>
                      </c:pt>
                      <c:pt idx="2">
                        <c:v>烟（粉）尘</c:v>
                      </c:pt>
                      <c:pt idx="3">
                        <c:v>挥发性有机物</c:v>
                      </c:pt>
                    </c:strCache>
                  </c:strRef>
                </c:cat>
                <c:val>
                  <c:numRef>
                    <c:extLst>
                      <c:ext uri="{02D57815-91ED-43cb-92C2-25804820EDAC}">
                        <c15:formulaRef>
                          <c15:sqref>{360.64,97.1,0,0}</c15:sqref>
                        </c15:formulaRef>
                      </c:ext>
                    </c:extLst>
                    <c:numCache>
                      <c:formatCode>General</c:formatCode>
                      <c:ptCount val="4"/>
                      <c:pt idx="0">
                        <c:v>360.64</c:v>
                      </c:pt>
                      <c:pt idx="1">
                        <c:v>97.1</c:v>
                      </c:pt>
                      <c:pt idx="2">
                        <c:v>0</c:v>
                      </c:pt>
                      <c:pt idx="3">
                        <c:v>0</c:v>
                      </c:pt>
                    </c:numCache>
                  </c:numRef>
                </c:val>
              </c15:ser>
            </c15:filteredBarSeries>
            <c15:filteredBarSeries>
              <c15:ser>
                <c:idx val="1"/>
                <c:order val="1"/>
                <c:tx>
                  <c:strRef>
                    <c:extLst>
                      <c:ext uri="{02D57815-91ED-43cb-92C2-25804820EDAC}">
                        <c15:formulaRef>
                          <c15:sqref>"2014"</c15:sqref>
                        </c15:formulaRef>
                      </c:ext>
                    </c:extLst>
                    <c:strCache>
                      <c:ptCount val="1"/>
                      <c:pt idx="0">
                        <c:v>2014</c:v>
                      </c:pt>
                    </c:strCache>
                  </c:strRef>
                </c:tx>
                <c:invertIfNegative val="0"/>
                <c:dLbls>
                  <c:delete val="1"/>
                </c:dLbls>
                <c:cat>
                  <c:strRef>
                    <c:extLst>
                      <c:ext uri="{02D57815-91ED-43cb-92C2-25804820EDAC}">
                        <c15:fullRef>
                          <c15:sqref/>
                        </c15:fullRef>
                        <c15:formulaRef>
                          <c15:sqref>[工业表格.xlsx]Sheet2!$B$11:$E$11</c15:sqref>
                        </c15:formulaRef>
                      </c:ext>
                    </c:extLst>
                    <c:strCache>
                      <c:ptCount val="4"/>
                      <c:pt idx="0">
                        <c:v>二氧化硫</c:v>
                      </c:pt>
                      <c:pt idx="1">
                        <c:v>氮氧化物</c:v>
                      </c:pt>
                      <c:pt idx="2">
                        <c:v>烟（粉）尘</c:v>
                      </c:pt>
                      <c:pt idx="3">
                        <c:v>挥发性有机物</c:v>
                      </c:pt>
                    </c:strCache>
                  </c:strRef>
                </c:cat>
                <c:val>
                  <c:numRef>
                    <c:extLst>
                      <c:ext uri="{02D57815-91ED-43cb-92C2-25804820EDAC}">
                        <c15:formulaRef>
                          <c15:sqref>{358.84,117.5,6.09,0}</c15:sqref>
                        </c15:formulaRef>
                      </c:ext>
                    </c:extLst>
                    <c:numCache>
                      <c:formatCode>General</c:formatCode>
                      <c:ptCount val="4"/>
                      <c:pt idx="0">
                        <c:v>358.84</c:v>
                      </c:pt>
                      <c:pt idx="1">
                        <c:v>117.5</c:v>
                      </c:pt>
                      <c:pt idx="2">
                        <c:v>6.09</c:v>
                      </c:pt>
                      <c:pt idx="3">
                        <c:v>0</c:v>
                      </c:pt>
                    </c:numCache>
                  </c:numRef>
                </c:val>
              </c15:ser>
            </c15:filteredBarSeries>
            <c15:filteredBarSeries>
              <c15:ser>
                <c:idx val="2"/>
                <c:order val="2"/>
                <c:tx>
                  <c:strRef>
                    <c:extLst>
                      <c:ext uri="{02D57815-91ED-43cb-92C2-25804820EDAC}">
                        <c15:formulaRef>
                          <c15:sqref>"2015"</c15:sqref>
                        </c15:formulaRef>
                      </c:ext>
                    </c:extLst>
                    <c:strCache>
                      <c:ptCount val="1"/>
                      <c:pt idx="0">
                        <c:v>2015</c:v>
                      </c:pt>
                    </c:strCache>
                  </c:strRef>
                </c:tx>
                <c:invertIfNegative val="0"/>
                <c:dLbls>
                  <c:delete val="1"/>
                </c:dLbls>
                <c:cat>
                  <c:strRef>
                    <c:extLst>
                      <c:ext uri="{02D57815-91ED-43cb-92C2-25804820EDAC}">
                        <c15:fullRef>
                          <c15:sqref/>
                        </c15:fullRef>
                        <c15:formulaRef>
                          <c15:sqref>[工业表格.xlsx]Sheet2!$B$11:$E$11</c15:sqref>
                        </c15:formulaRef>
                      </c:ext>
                    </c:extLst>
                    <c:strCache>
                      <c:ptCount val="4"/>
                      <c:pt idx="0">
                        <c:v>二氧化硫</c:v>
                      </c:pt>
                      <c:pt idx="1">
                        <c:v>氮氧化物</c:v>
                      </c:pt>
                      <c:pt idx="2">
                        <c:v>烟（粉）尘</c:v>
                      </c:pt>
                      <c:pt idx="3">
                        <c:v>挥发性有机物</c:v>
                      </c:pt>
                    </c:strCache>
                  </c:strRef>
                </c:cat>
                <c:val>
                  <c:numRef>
                    <c:extLst>
                      <c:ext uri="{02D57815-91ED-43cb-92C2-25804820EDAC}">
                        <c15:formulaRef>
                          <c15:sqref>{358.8,138.44,12.59,0}</c15:sqref>
                        </c15:formulaRef>
                      </c:ext>
                    </c:extLst>
                    <c:numCache>
                      <c:formatCode>General</c:formatCode>
                      <c:ptCount val="4"/>
                      <c:pt idx="0">
                        <c:v>358.8</c:v>
                      </c:pt>
                      <c:pt idx="1">
                        <c:v>138.44</c:v>
                      </c:pt>
                      <c:pt idx="2">
                        <c:v>12.59</c:v>
                      </c:pt>
                      <c:pt idx="3">
                        <c:v>0</c:v>
                      </c:pt>
                    </c:numCache>
                  </c:numRef>
                </c:val>
              </c15:ser>
            </c15:filteredBarSeries>
            <c15:filteredBarSeries>
              <c15:ser>
                <c:idx val="3"/>
                <c:order val="3"/>
                <c:tx>
                  <c:strRef>
                    <c:extLst>
                      <c:ext uri="{02D57815-91ED-43cb-92C2-25804820EDAC}">
                        <c15:formulaRef>
                          <c15:sqref>"2016"</c15:sqref>
                        </c15:formulaRef>
                      </c:ext>
                    </c:extLst>
                    <c:strCache>
                      <c:ptCount val="1"/>
                      <c:pt idx="0">
                        <c:v>2016</c:v>
                      </c:pt>
                    </c:strCache>
                  </c:strRef>
                </c:tx>
                <c:invertIfNegative val="0"/>
                <c:dLbls>
                  <c:delete val="1"/>
                </c:dLbls>
                <c:cat>
                  <c:strRef>
                    <c:extLst>
                      <c:ext uri="{02D57815-91ED-43cb-92C2-25804820EDAC}">
                        <c15:fullRef>
                          <c15:sqref/>
                        </c15:fullRef>
                        <c15:formulaRef>
                          <c15:sqref>[工业表格.xlsx]Sheet2!$B$11:$E$11</c15:sqref>
                        </c15:formulaRef>
                      </c:ext>
                    </c:extLst>
                    <c:strCache>
                      <c:ptCount val="4"/>
                      <c:pt idx="0">
                        <c:v>二氧化硫</c:v>
                      </c:pt>
                      <c:pt idx="1">
                        <c:v>氮氧化物</c:v>
                      </c:pt>
                      <c:pt idx="2">
                        <c:v>烟（粉）尘</c:v>
                      </c:pt>
                      <c:pt idx="3">
                        <c:v>挥发性有机物</c:v>
                      </c:pt>
                    </c:strCache>
                  </c:strRef>
                </c:cat>
                <c:val>
                  <c:numRef>
                    <c:extLst>
                      <c:ext uri="{02D57815-91ED-43cb-92C2-25804820EDAC}">
                        <c15:formulaRef>
                          <c15:sqref>{60.43,22.19,10.6,3.16}</c15:sqref>
                        </c15:formulaRef>
                      </c:ext>
                    </c:extLst>
                    <c:numCache>
                      <c:formatCode>General</c:formatCode>
                      <c:ptCount val="4"/>
                      <c:pt idx="0">
                        <c:v>60.43</c:v>
                      </c:pt>
                      <c:pt idx="1">
                        <c:v>22.19</c:v>
                      </c:pt>
                      <c:pt idx="2">
                        <c:v>10.6</c:v>
                      </c:pt>
                      <c:pt idx="3">
                        <c:v>3.16</c:v>
                      </c:pt>
                    </c:numCache>
                  </c:numRef>
                </c:val>
              </c15:ser>
            </c15:filteredBarSeries>
            <c15:filteredBarSeries>
              <c15:ser>
                <c:idx val="4"/>
                <c:order val="4"/>
                <c:tx>
                  <c:strRef>
                    <c:extLst>
                      <c:ext uri="{02D57815-91ED-43cb-92C2-25804820EDAC}">
                        <c15:formulaRef>
                          <c15:sqref>"2017"</c15:sqref>
                        </c15:formulaRef>
                      </c:ext>
                    </c:extLst>
                    <c:strCache>
                      <c:ptCount val="1"/>
                      <c:pt idx="0">
                        <c:v>2017</c:v>
                      </c:pt>
                    </c:strCache>
                  </c:strRef>
                </c:tx>
                <c:invertIfNegative val="0"/>
                <c:dLbls>
                  <c:delete val="1"/>
                </c:dLbls>
                <c:cat>
                  <c:strRef>
                    <c:extLst>
                      <c:ext uri="{02D57815-91ED-43cb-92C2-25804820EDAC}">
                        <c15:fullRef>
                          <c15:sqref/>
                        </c15:fullRef>
                        <c15:formulaRef>
                          <c15:sqref>[工业表格.xlsx]Sheet2!$B$11:$E$11</c15:sqref>
                        </c15:formulaRef>
                      </c:ext>
                    </c:extLst>
                    <c:strCache>
                      <c:ptCount val="4"/>
                      <c:pt idx="0">
                        <c:v>二氧化硫</c:v>
                      </c:pt>
                      <c:pt idx="1">
                        <c:v>氮氧化物</c:v>
                      </c:pt>
                      <c:pt idx="2">
                        <c:v>烟（粉）尘</c:v>
                      </c:pt>
                      <c:pt idx="3">
                        <c:v>挥发性有机物</c:v>
                      </c:pt>
                    </c:strCache>
                  </c:strRef>
                </c:cat>
                <c:val>
                  <c:numRef>
                    <c:extLst>
                      <c:ext uri="{02D57815-91ED-43cb-92C2-25804820EDAC}">
                        <c15:formulaRef>
                          <c15:sqref>{49.5,5.39,14.74,7}</c15:sqref>
                        </c15:formulaRef>
                      </c:ext>
                    </c:extLst>
                    <c:numCache>
                      <c:formatCode>General</c:formatCode>
                      <c:ptCount val="4"/>
                      <c:pt idx="0">
                        <c:v>49.5</c:v>
                      </c:pt>
                      <c:pt idx="1">
                        <c:v>5.39</c:v>
                      </c:pt>
                      <c:pt idx="2">
                        <c:v>14.74</c:v>
                      </c:pt>
                      <c:pt idx="3">
                        <c:v>7</c:v>
                      </c:pt>
                    </c:numCache>
                  </c:numRef>
                </c:val>
              </c15:ser>
            </c15:filteredBarSeries>
          </c:ext>
        </c:extLst>
      </c:barChart>
      <c:catAx>
        <c:axId val="220990464"/>
        <c:scaling>
          <c:orientation val="minMax"/>
        </c:scaling>
        <c:delete val="0"/>
        <c:axPos val="b"/>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crossAx val="71283840"/>
        <c:crosses val="autoZero"/>
        <c:auto val="1"/>
        <c:lblAlgn val="ctr"/>
        <c:lblOffset val="100"/>
        <c:noMultiLvlLbl val="0"/>
      </c:catAx>
      <c:valAx>
        <c:axId val="71283840"/>
        <c:scaling>
          <c:orientation val="minMax"/>
        </c:scaling>
        <c:delete val="0"/>
        <c:axPos val="l"/>
        <c:numFmt formatCode="General" sourceLinked="1"/>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220990464"/>
        <c:crosses val="autoZero"/>
        <c:crossBetween val="between"/>
      </c:valAx>
      <c:spPr>
        <a:noFill/>
        <a:ln w="9525">
          <a:solidFill>
            <a:schemeClr val="tx1"/>
          </a:solidFill>
        </a:ln>
      </c:spPr>
    </c:plotArea>
    <c:legend>
      <c:legendPos val="r"/>
      <c:layout>
        <c:manualLayout>
          <c:xMode val="edge"/>
          <c:yMode val="edge"/>
          <c:x val="0.845187232919806"/>
          <c:y val="0.0317394140761306"/>
          <c:w val="0.112048252765289"/>
          <c:h val="0.40247148821699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6350" cap="flat" cmpd="sng" algn="ctr">
      <a:noFill/>
      <a:prstDash val="solid"/>
      <a:round/>
    </a:ln>
  </c:spPr>
  <c:txPr>
    <a:bodyPr/>
    <a:lstStyle/>
    <a:p>
      <a:pPr>
        <a:defRPr lang="zh-CN"/>
      </a:pP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0.44286</cdr:x>
      <cdr:y>0.90625</cdr:y>
    </cdr:from>
    <cdr:to>
      <cdr:x>0.58036</cdr:x>
      <cdr:y>0.99653</cdr:y>
    </cdr:to>
    <cdr:sp>
      <cdr:nvSpPr>
        <cdr:cNvPr id="2" name="矩形 1"/>
        <cdr:cNvSpPr/>
      </cdr:nvSpPr>
      <cdr:spPr xmlns:a="http://schemas.openxmlformats.org/drawingml/2006/main">
        <a:xfrm xmlns:a="http://schemas.openxmlformats.org/drawingml/2006/main">
          <a:off x="2125980" y="2486025"/>
          <a:ext cx="660083" cy="24765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zh-CN" altLang="en-US" sz="1100" b="1">
              <a:latin typeface="仿宋" panose="02010609060101010101" pitchFamily="3" charset="-122"/>
              <a:ea typeface="仿宋" panose="02010609060101010101" pitchFamily="3" charset="-122"/>
            </a:rPr>
            <a:t>年份</a:t>
          </a:r>
          <a:endParaRPr lang="zh-CN" altLang="en-US" sz="1100" b="1">
            <a:latin typeface="仿宋" panose="02010609060101010101" pitchFamily="3" charset="-122"/>
            <a:ea typeface="仿宋" panose="02010609060101010101" pitchFamily="3" charset="-122"/>
          </a:endParaRPr>
        </a:p>
      </cdr:txBody>
    </cdr:sp>
  </cdr:relSizeAnchor>
  <cdr:relSizeAnchor xmlns:cdr="http://schemas.openxmlformats.org/drawingml/2006/chartDrawing">
    <cdr:from>
      <cdr:x>0.00595</cdr:x>
      <cdr:y>0.27431</cdr:y>
    </cdr:from>
    <cdr:to>
      <cdr:x>0.07738</cdr:x>
      <cdr:y>0.69444</cdr:y>
    </cdr:to>
    <cdr:sp>
      <cdr:nvSpPr>
        <cdr:cNvPr id="3" name="矩形 2"/>
        <cdr:cNvSpPr/>
      </cdr:nvSpPr>
      <cdr:spPr xmlns:a="http://schemas.openxmlformats.org/drawingml/2006/main">
        <a:xfrm xmlns:a="http://schemas.openxmlformats.org/drawingml/2006/main">
          <a:off x="28575" y="752474"/>
          <a:ext cx="342900" cy="1152525"/>
        </a:xfrm>
        <a:prstGeom xmlns:a="http://schemas.openxmlformats.org/drawingml/2006/main" prst="rect">
          <a:avLst/>
        </a:prstGeom>
      </cdr:spPr>
      <cdr:txBody xmlns:a="http://schemas.openxmlformats.org/drawingml/2006/main">
        <a:bodyPr vert="eaVert" wrap="square" lIns="45720" tIns="45720" rIns="45720" bIns="45720" rtlCol="0" anchor="t" anchorCtr="0">
          <a:normAutofit/>
        </a:bodyPr>
        <a:lstStyle/>
        <a:p>
          <a:r>
            <a:rPr lang="en-US" altLang="zh-CN" sz="1100" b="1">
              <a:latin typeface="仿宋" panose="02010609060101010101" pitchFamily="3" charset="-122"/>
              <a:ea typeface="仿宋" panose="02010609060101010101" pitchFamily="3" charset="-122"/>
              <a:cs typeface="Times New Roman" panose="02020603050405020304" charset="0"/>
            </a:rPr>
            <a:t>AQI</a:t>
          </a:r>
          <a:r>
            <a:rPr lang="zh-CN" altLang="en-US" sz="1100" b="1">
              <a:latin typeface="仿宋" panose="02010609060101010101" pitchFamily="3" charset="-122"/>
              <a:ea typeface="仿宋" panose="02010609060101010101" pitchFamily="3" charset="-122"/>
              <a:cs typeface="Times New Roman" panose="02020603050405020304" charset="0"/>
            </a:rPr>
            <a:t>优良天数</a:t>
          </a:r>
          <a:endParaRPr lang="zh-CN" altLang="en-US" sz="1100" b="1">
            <a:latin typeface="仿宋" panose="02010609060101010101" pitchFamily="3" charset="-122"/>
            <a:ea typeface="仿宋" panose="02010609060101010101" pitchFamily="3" charset="-122"/>
            <a:cs typeface="Times New Roman" panose="02020603050405020304" charset="0"/>
          </a:endParaRPr>
        </a:p>
      </cdr:txBody>
    </cdr:sp>
  </cdr:relSizeAnchor>
  <cdr:relSizeAnchor xmlns:cdr="http://schemas.openxmlformats.org/drawingml/2006/chartDrawing">
    <cdr:from>
      <cdr:x>0.88958</cdr:x>
      <cdr:y>0.3125</cdr:y>
    </cdr:from>
    <cdr:to>
      <cdr:x>1</cdr:x>
      <cdr:y>0.63889</cdr:y>
    </cdr:to>
    <cdr:sp>
      <cdr:nvSpPr>
        <cdr:cNvPr id="4" name="矩形 3"/>
        <cdr:cNvSpPr/>
      </cdr:nvSpPr>
      <cdr:spPr xmlns:a="http://schemas.openxmlformats.org/drawingml/2006/main">
        <a:xfrm xmlns:a="http://schemas.openxmlformats.org/drawingml/2006/main">
          <a:off x="3790712" y="857250"/>
          <a:ext cx="466963" cy="895350"/>
        </a:xfrm>
        <a:prstGeom xmlns:a="http://schemas.openxmlformats.org/drawingml/2006/main" prst="rect">
          <a:avLst/>
        </a:prstGeom>
      </cdr:spPr>
      <cdr:txBody xmlns:a="http://schemas.openxmlformats.org/drawingml/2006/main">
        <a:bodyPr vert="eaVert"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1100" b="1">
              <a:latin typeface="仿宋" panose="02010609060101010101" pitchFamily="3" charset="-122"/>
              <a:ea typeface="仿宋" panose="02010609060101010101" pitchFamily="3" charset="-122"/>
              <a:cs typeface="Times New Roman" panose="02020603050405020304" charset="0"/>
            </a:rPr>
            <a:t>AQI</a:t>
          </a:r>
          <a:r>
            <a:rPr lang="zh-CN" altLang="en-US" sz="1100" b="1">
              <a:latin typeface="仿宋" panose="02010609060101010101" pitchFamily="3" charset="-122"/>
              <a:ea typeface="仿宋" panose="02010609060101010101" pitchFamily="3" charset="-122"/>
              <a:cs typeface="Times New Roman" panose="02020603050405020304" charset="0"/>
            </a:rPr>
            <a:t>优良率</a:t>
          </a:r>
          <a:endParaRPr lang="zh-CN" altLang="en-US" sz="1100" b="1">
            <a:latin typeface="仿宋" panose="02010609060101010101" pitchFamily="3" charset="-122"/>
            <a:ea typeface="仿宋" panose="02010609060101010101" pitchFamily="3" charset="-122"/>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0.47605</cdr:x>
      <cdr:y>0.0593</cdr:y>
    </cdr:from>
    <cdr:to>
      <cdr:x>0.9521</cdr:x>
      <cdr:y>0.15242</cdr:y>
    </cdr:to>
    <cdr:sp>
      <cdr:nvSpPr>
        <cdr:cNvPr id="2" name="矩形 1"/>
        <cdr:cNvSpPr/>
      </cdr:nvSpPr>
      <cdr:spPr xmlns:a="http://schemas.openxmlformats.org/drawingml/2006/main">
        <a:xfrm xmlns:a="http://schemas.openxmlformats.org/drawingml/2006/main">
          <a:off x="1514470" y="145157"/>
          <a:ext cx="1514482" cy="227951"/>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900">
              <a:solidFill>
                <a:srgbClr val="FF0000"/>
              </a:solidFill>
              <a:latin typeface="Times New Roman" panose="02020603050405020304" charset="0"/>
              <a:cs typeface="Times New Roman" panose="02020603050405020304" charset="0"/>
            </a:rPr>
            <a:t>PM</a:t>
          </a:r>
          <a:r>
            <a:rPr lang="en-US" altLang="zh-CN" sz="700">
              <a:solidFill>
                <a:srgbClr val="FF0000"/>
              </a:solidFill>
              <a:latin typeface="Times New Roman" panose="02020603050405020304" charset="0"/>
              <a:cs typeface="Times New Roman" panose="02020603050405020304" charset="0"/>
            </a:rPr>
            <a:t>10</a:t>
          </a:r>
          <a:r>
            <a:rPr lang="zh-TW" altLang="en-US" sz="700">
              <a:solidFill>
                <a:srgbClr val="FF0000"/>
              </a:solidFill>
              <a:latin typeface="Times New Roman" panose="02020603050405020304" charset="0"/>
              <a:cs typeface="Times New Roman" panose="02020603050405020304" charset="0"/>
            </a:rPr>
            <a:t> </a:t>
          </a:r>
          <a:r>
            <a:rPr lang="zh-TW" altLang="en-US" sz="900">
              <a:solidFill>
                <a:srgbClr val="FF0000"/>
              </a:solidFill>
              <a:latin typeface="Times New Roman" panose="02020603050405020304" charset="0"/>
              <a:cs typeface="Times New Roman" panose="02020603050405020304" charset="0"/>
            </a:rPr>
            <a:t>二</a:t>
          </a:r>
          <a:r>
            <a:rPr lang="zh-CN" altLang="en-US" sz="900">
              <a:solidFill>
                <a:srgbClr val="FF0000"/>
              </a:solidFill>
              <a:latin typeface="Times New Roman" panose="02020603050405020304" charset="0"/>
              <a:cs typeface="Times New Roman" panose="02020603050405020304" charset="0"/>
            </a:rPr>
            <a:t>级标准：</a:t>
          </a:r>
          <a:r>
            <a:rPr lang="en-US" altLang="zh-TW" sz="900">
              <a:solidFill>
                <a:srgbClr val="FF0000"/>
              </a:solidFill>
              <a:latin typeface="Times New Roman" panose="02020603050405020304" charset="0"/>
              <a:cs typeface="Times New Roman" panose="02020603050405020304" charset="0"/>
            </a:rPr>
            <a:t>7</a:t>
          </a:r>
          <a:r>
            <a:rPr lang="en-US" altLang="zh-CN" sz="900">
              <a:solidFill>
                <a:srgbClr val="FF0000"/>
              </a:solidFill>
              <a:latin typeface="Times New Roman" panose="02020603050405020304" charset="0"/>
              <a:cs typeface="Times New Roman" panose="02020603050405020304" charset="0"/>
            </a:rPr>
            <a:t>0</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dr:relSizeAnchor xmlns:cdr="http://schemas.openxmlformats.org/drawingml/2006/chartDrawing">
    <cdr:from>
      <cdr:x>0.47405</cdr:x>
      <cdr:y>0.42931</cdr:y>
    </cdr:from>
    <cdr:to>
      <cdr:x>0.9501</cdr:x>
      <cdr:y>0.52243</cdr:y>
    </cdr:to>
    <cdr:sp>
      <cdr:nvSpPr>
        <cdr:cNvPr id="3" name="矩形 2"/>
        <cdr:cNvSpPr/>
      </cdr:nvSpPr>
      <cdr:spPr xmlns:a="http://schemas.openxmlformats.org/drawingml/2006/main">
        <a:xfrm xmlns:a="http://schemas.openxmlformats.org/drawingml/2006/main">
          <a:off x="1508125" y="1050925"/>
          <a:ext cx="1514482" cy="227951"/>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900">
              <a:solidFill>
                <a:srgbClr val="FF0000"/>
              </a:solidFill>
              <a:latin typeface="Times New Roman" panose="02020603050405020304" charset="0"/>
              <a:cs typeface="Times New Roman" panose="02020603050405020304" charset="0"/>
            </a:rPr>
            <a:t>PM</a:t>
          </a:r>
          <a:r>
            <a:rPr lang="en-US" altLang="zh-CN" sz="700">
              <a:solidFill>
                <a:srgbClr val="FF0000"/>
              </a:solidFill>
              <a:latin typeface="Times New Roman" panose="02020603050405020304" charset="0"/>
              <a:cs typeface="Times New Roman" panose="02020603050405020304" charset="0"/>
            </a:rPr>
            <a:t>10</a:t>
          </a:r>
          <a:r>
            <a:rPr lang="zh-TW" altLang="en-US" sz="700">
              <a:solidFill>
                <a:srgbClr val="FF0000"/>
              </a:solidFill>
              <a:latin typeface="Times New Roman" panose="02020603050405020304" charset="0"/>
              <a:cs typeface="Times New Roman" panose="02020603050405020304" charset="0"/>
            </a:rPr>
            <a:t> </a:t>
          </a:r>
          <a:r>
            <a:rPr lang="zh-TW" altLang="en-US" sz="900">
              <a:solidFill>
                <a:srgbClr val="FF0000"/>
              </a:solidFill>
              <a:latin typeface="Times New Roman" panose="02020603050405020304" charset="0"/>
              <a:cs typeface="Times New Roman" panose="02020603050405020304" charset="0"/>
            </a:rPr>
            <a:t>一</a:t>
          </a:r>
          <a:r>
            <a:rPr lang="zh-CN" altLang="en-US" sz="900">
              <a:solidFill>
                <a:srgbClr val="FF0000"/>
              </a:solidFill>
              <a:latin typeface="Times New Roman" panose="02020603050405020304" charset="0"/>
              <a:cs typeface="Times New Roman" panose="02020603050405020304" charset="0"/>
            </a:rPr>
            <a:t>级标准：</a:t>
          </a:r>
          <a:r>
            <a:rPr lang="en-US" altLang="zh-CN" sz="900">
              <a:solidFill>
                <a:srgbClr val="FF0000"/>
              </a:solidFill>
              <a:latin typeface="Times New Roman" panose="02020603050405020304" charset="0"/>
              <a:cs typeface="Times New Roman" panose="02020603050405020304" charset="0"/>
            </a:rPr>
            <a:t>40</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0.47006</cdr:x>
      <cdr:y>0.08907</cdr:y>
    </cdr:from>
    <cdr:to>
      <cdr:x>0.94611</cdr:x>
      <cdr:y>0.18219</cdr:y>
    </cdr:to>
    <cdr:sp>
      <cdr:nvSpPr>
        <cdr:cNvPr id="2" name="矩形 1"/>
        <cdr:cNvSpPr/>
      </cdr:nvSpPr>
      <cdr:spPr xmlns:a="http://schemas.openxmlformats.org/drawingml/2006/main">
        <a:xfrm xmlns:a="http://schemas.openxmlformats.org/drawingml/2006/main">
          <a:off x="1495433" y="209549"/>
          <a:ext cx="1514481" cy="219081"/>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900">
              <a:solidFill>
                <a:srgbClr val="FF0000"/>
              </a:solidFill>
              <a:latin typeface="Times New Roman" panose="02020603050405020304" charset="0"/>
              <a:cs typeface="Times New Roman" panose="02020603050405020304" charset="0"/>
            </a:rPr>
            <a:t>NO</a:t>
          </a:r>
          <a:r>
            <a:rPr lang="en-US" altLang="zh-CN" sz="900" baseline="-25000">
              <a:solidFill>
                <a:srgbClr val="FF0000"/>
              </a:solidFill>
              <a:latin typeface="Times New Roman" panose="02020603050405020304" charset="0"/>
              <a:cs typeface="Times New Roman" panose="02020603050405020304" charset="0"/>
            </a:rPr>
            <a:t>2</a:t>
          </a:r>
          <a:r>
            <a:rPr lang="zh-TW" altLang="en-US" sz="900" baseline="-25000">
              <a:solidFill>
                <a:srgbClr val="FF0000"/>
              </a:solidFill>
              <a:latin typeface="Times New Roman" panose="02020603050405020304" charset="0"/>
              <a:cs typeface="Times New Roman" panose="02020603050405020304" charset="0"/>
            </a:rPr>
            <a:t> </a:t>
          </a:r>
          <a:r>
            <a:rPr lang="zh-CN" altLang="en-US" sz="900">
              <a:solidFill>
                <a:srgbClr val="FF0000"/>
              </a:solidFill>
              <a:latin typeface="Times New Roman" panose="02020603050405020304" charset="0"/>
              <a:cs typeface="Times New Roman" panose="02020603050405020304" charset="0"/>
            </a:rPr>
            <a:t>一级标准：</a:t>
          </a:r>
          <a:r>
            <a:rPr lang="en-US" altLang="zh-CN" sz="900">
              <a:solidFill>
                <a:srgbClr val="FF0000"/>
              </a:solidFill>
              <a:latin typeface="Times New Roman" panose="02020603050405020304" charset="0"/>
              <a:cs typeface="Times New Roman" panose="02020603050405020304" charset="0"/>
            </a:rPr>
            <a:t>40</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0.47006</cdr:x>
      <cdr:y>0.06172</cdr:y>
    </cdr:from>
    <cdr:to>
      <cdr:x>0.94611</cdr:x>
      <cdr:y>0.15484</cdr:y>
    </cdr:to>
    <cdr:sp>
      <cdr:nvSpPr>
        <cdr:cNvPr id="2" name="矩形 1"/>
        <cdr:cNvSpPr/>
      </cdr:nvSpPr>
      <cdr:spPr xmlns:a="http://schemas.openxmlformats.org/drawingml/2006/main">
        <a:xfrm xmlns:a="http://schemas.openxmlformats.org/drawingml/2006/main">
          <a:off x="1495420" y="151077"/>
          <a:ext cx="1514482" cy="227951"/>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900">
              <a:solidFill>
                <a:srgbClr val="FF0000"/>
              </a:solidFill>
              <a:latin typeface="Times New Roman" panose="02020603050405020304" charset="0"/>
              <a:cs typeface="Times New Roman" panose="02020603050405020304" charset="0"/>
            </a:rPr>
            <a:t>SO</a:t>
          </a:r>
          <a:r>
            <a:rPr lang="en-US" altLang="zh-CN" sz="900" baseline="-25000">
              <a:solidFill>
                <a:srgbClr val="FF0000"/>
              </a:solidFill>
              <a:latin typeface="Times New Roman" panose="02020603050405020304" charset="0"/>
              <a:cs typeface="Times New Roman" panose="02020603050405020304" charset="0"/>
            </a:rPr>
            <a:t>2</a:t>
          </a:r>
          <a:r>
            <a:rPr lang="zh-TW" altLang="en-US" sz="900" baseline="-25000">
              <a:solidFill>
                <a:srgbClr val="FF0000"/>
              </a:solidFill>
              <a:latin typeface="Times New Roman" panose="02020603050405020304" charset="0"/>
              <a:cs typeface="Times New Roman" panose="02020603050405020304" charset="0"/>
            </a:rPr>
            <a:t> </a:t>
          </a:r>
          <a:r>
            <a:rPr lang="zh-CN" altLang="en-US" sz="900">
              <a:solidFill>
                <a:srgbClr val="FF0000"/>
              </a:solidFill>
              <a:latin typeface="Times New Roman" panose="02020603050405020304" charset="0"/>
              <a:cs typeface="Times New Roman" panose="02020603050405020304" charset="0"/>
            </a:rPr>
            <a:t>一级标准：</a:t>
          </a:r>
          <a:r>
            <a:rPr lang="en-US" altLang="zh-CN" sz="900">
              <a:solidFill>
                <a:srgbClr val="FF0000"/>
              </a:solidFill>
              <a:latin typeface="Times New Roman" panose="02020603050405020304" charset="0"/>
              <a:cs typeface="Times New Roman" panose="02020603050405020304" charset="0"/>
            </a:rPr>
            <a:t>20</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0.4491</cdr:x>
      <cdr:y>0.09459</cdr:y>
    </cdr:from>
    <cdr:to>
      <cdr:x>0.92515</cdr:x>
      <cdr:y>0.18771</cdr:y>
    </cdr:to>
    <cdr:sp>
      <cdr:nvSpPr>
        <cdr:cNvPr id="2" name="矩形 1"/>
        <cdr:cNvSpPr/>
      </cdr:nvSpPr>
      <cdr:spPr xmlns:a="http://schemas.openxmlformats.org/drawingml/2006/main">
        <a:xfrm xmlns:a="http://schemas.openxmlformats.org/drawingml/2006/main">
          <a:off x="1428731" y="226149"/>
          <a:ext cx="1514481" cy="222629"/>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900">
              <a:solidFill>
                <a:srgbClr val="FF0000"/>
              </a:solidFill>
              <a:latin typeface="Times New Roman" panose="02020603050405020304" charset="0"/>
              <a:cs typeface="Times New Roman" panose="02020603050405020304" charset="0"/>
            </a:rPr>
            <a:t>PM</a:t>
          </a:r>
          <a:r>
            <a:rPr lang="en-US" altLang="zh-CN" sz="900" baseline="-25000">
              <a:solidFill>
                <a:srgbClr val="FF0000"/>
              </a:solidFill>
              <a:latin typeface="Times New Roman" panose="02020603050405020304" charset="0"/>
              <a:cs typeface="Times New Roman" panose="02020603050405020304" charset="0"/>
            </a:rPr>
            <a:t>2.5 </a:t>
          </a:r>
          <a:r>
            <a:rPr lang="zh-CN" altLang="en-US" sz="900">
              <a:solidFill>
                <a:srgbClr val="FF0000"/>
              </a:solidFill>
              <a:latin typeface="Times New Roman" panose="02020603050405020304" charset="0"/>
              <a:cs typeface="Times New Roman" panose="02020603050405020304" charset="0"/>
            </a:rPr>
            <a:t>二级标准：</a:t>
          </a:r>
          <a:r>
            <a:rPr lang="en-US" altLang="zh-TW" sz="900">
              <a:solidFill>
                <a:srgbClr val="FF0000"/>
              </a:solidFill>
              <a:latin typeface="Times New Roman" panose="02020603050405020304" charset="0"/>
              <a:cs typeface="Times New Roman" panose="02020603050405020304" charset="0"/>
            </a:rPr>
            <a:t>35</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dr:relSizeAnchor xmlns:cdr="http://schemas.openxmlformats.org/drawingml/2006/chartDrawing">
    <cdr:from>
      <cdr:x>0.46208</cdr:x>
      <cdr:y>0.43958</cdr:y>
    </cdr:from>
    <cdr:to>
      <cdr:x>0.93813</cdr:x>
      <cdr:y>0.5327</cdr:y>
    </cdr:to>
    <cdr:sp>
      <cdr:nvSpPr>
        <cdr:cNvPr id="3" name="矩形 2"/>
        <cdr:cNvSpPr/>
      </cdr:nvSpPr>
      <cdr:spPr xmlns:a="http://schemas.openxmlformats.org/drawingml/2006/main">
        <a:xfrm xmlns:a="http://schemas.openxmlformats.org/drawingml/2006/main">
          <a:off x="1470025" y="1050925"/>
          <a:ext cx="1514481" cy="222629"/>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900">
              <a:solidFill>
                <a:srgbClr val="FF0000"/>
              </a:solidFill>
              <a:latin typeface="Times New Roman" panose="02020603050405020304" charset="0"/>
              <a:cs typeface="Times New Roman" panose="02020603050405020304" charset="0"/>
            </a:rPr>
            <a:t>PM</a:t>
          </a:r>
          <a:r>
            <a:rPr lang="en-US" altLang="zh-CN" sz="900" baseline="-25000">
              <a:solidFill>
                <a:srgbClr val="FF0000"/>
              </a:solidFill>
              <a:latin typeface="Times New Roman" panose="02020603050405020304" charset="0"/>
              <a:cs typeface="Times New Roman" panose="02020603050405020304" charset="0"/>
            </a:rPr>
            <a:t>2.5 </a:t>
          </a:r>
          <a:r>
            <a:rPr lang="zh-TW" altLang="en-US" sz="900">
              <a:solidFill>
                <a:srgbClr val="FF0000"/>
              </a:solidFill>
              <a:latin typeface="Times New Roman" panose="02020603050405020304" charset="0"/>
              <a:cs typeface="Times New Roman" panose="02020603050405020304" charset="0"/>
            </a:rPr>
            <a:t>一</a:t>
          </a:r>
          <a:r>
            <a:rPr lang="zh-CN" altLang="en-US" sz="900">
              <a:solidFill>
                <a:srgbClr val="FF0000"/>
              </a:solidFill>
              <a:latin typeface="Times New Roman" panose="02020603050405020304" charset="0"/>
              <a:cs typeface="Times New Roman" panose="02020603050405020304" charset="0"/>
            </a:rPr>
            <a:t>级标准：</a:t>
          </a:r>
          <a:r>
            <a:rPr lang="en-US" altLang="zh-TW" sz="900">
              <a:solidFill>
                <a:srgbClr val="FF0000"/>
              </a:solidFill>
              <a:latin typeface="Times New Roman" panose="02020603050405020304" charset="0"/>
              <a:cs typeface="Times New Roman" panose="02020603050405020304" charset="0"/>
            </a:rPr>
            <a:t>15</a:t>
          </a:r>
          <a:r>
            <a:rPr lang="en-US" sz="900">
              <a:solidFill>
                <a:srgbClr val="FF0000"/>
              </a:solidFill>
              <a:latin typeface="Times New Roman" panose="02020603050405020304" charset="0"/>
              <a:cs typeface="Times New Roman" panose="02020603050405020304" charset="0"/>
            </a:rPr>
            <a:t>μg/m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0.00905</cdr:x>
      <cdr:y>0.15571</cdr:y>
    </cdr:from>
    <cdr:to>
      <cdr:x>0.07919</cdr:x>
      <cdr:y>0.66782</cdr:y>
    </cdr:to>
    <cdr:sp>
      <cdr:nvSpPr>
        <cdr:cNvPr id="2" name="矩形 1"/>
        <cdr:cNvSpPr/>
      </cdr:nvSpPr>
      <cdr:spPr xmlns:a="http://schemas.openxmlformats.org/drawingml/2006/main">
        <a:xfrm xmlns:a="http://schemas.openxmlformats.org/drawingml/2006/main">
          <a:off x="38099" y="428625"/>
          <a:ext cx="295276" cy="1409700"/>
        </a:xfrm>
        <a:prstGeom xmlns:a="http://schemas.openxmlformats.org/drawingml/2006/main" prst="rect">
          <a:avLst/>
        </a:prstGeom>
      </cdr:spPr>
      <cdr:txBody xmlns:a="http://schemas.openxmlformats.org/drawingml/2006/main">
        <a:bodyPr vert="eaVert" wrap="square" lIns="45720" tIns="45720" rIns="45720" bIns="45720" rtlCol="0" anchor="t" anchorCtr="0">
          <a:normAutofit/>
        </a:bodyPr>
        <a:lstStyle>
          <a:lvl1pPr marL="0" indent="0">
            <a:defRPr sz="1100">
              <a:latin typeface="等线" panose="02010600030101010101" charset="-122"/>
            </a:defRPr>
          </a:lvl1pPr>
          <a:lvl2pPr marL="457200" indent="0">
            <a:defRPr sz="1100">
              <a:latin typeface="等线" panose="02010600030101010101" charset="-122"/>
            </a:defRPr>
          </a:lvl2pPr>
          <a:lvl3pPr marL="914400" indent="0">
            <a:defRPr sz="1100">
              <a:latin typeface="等线" panose="02010600030101010101" charset="-122"/>
            </a:defRPr>
          </a:lvl3pPr>
          <a:lvl4pPr marL="1371600" indent="0">
            <a:defRPr sz="1100">
              <a:latin typeface="等线" panose="02010600030101010101" charset="-122"/>
            </a:defRPr>
          </a:lvl4pPr>
          <a:lvl5pPr marL="1828800" indent="0">
            <a:defRPr sz="1100">
              <a:latin typeface="等线" panose="02010600030101010101" charset="-122"/>
            </a:defRPr>
          </a:lvl5pPr>
          <a:lvl6pPr marL="2286000" indent="0">
            <a:defRPr sz="1100">
              <a:latin typeface="等线" panose="02010600030101010101" charset="-122"/>
            </a:defRPr>
          </a:lvl6pPr>
          <a:lvl7pPr marL="2743200" indent="0">
            <a:defRPr sz="1100">
              <a:latin typeface="等线" panose="02010600030101010101" charset="-122"/>
            </a:defRPr>
          </a:lvl7pPr>
          <a:lvl8pPr marL="3200400" indent="0">
            <a:defRPr sz="1100">
              <a:latin typeface="等线" panose="02010600030101010101" charset="-122"/>
            </a:defRPr>
          </a:lvl8pPr>
          <a:lvl9pPr marL="3657600" indent="0">
            <a:defRPr sz="1100">
              <a:latin typeface="等线" panose="02010600030101010101" charset="-122"/>
            </a:defRPr>
          </a:lvl9pPr>
        </a:lstStyle>
        <a:p>
          <a:r>
            <a:rPr lang="zh-CN" altLang="en-US" sz="1100">
              <a:latin typeface="仿宋_GB2312" panose="02010609030101010101" pitchFamily="3" charset="-122"/>
              <a:ea typeface="仿宋_GB2312" panose="02010609030101010101" pitchFamily="3" charset="-122"/>
            </a:rPr>
            <a:t>污染物排放量（吨）</a:t>
          </a:r>
          <a:endParaRPr lang="zh-CN" altLang="en-US" sz="1100">
            <a:latin typeface="仿宋_GB2312" panose="02010609030101010101" pitchFamily="3" charset="-122"/>
            <a:ea typeface="仿宋_GB2312" panose="02010609030101010101" pitchFamily="3" charset="-122"/>
          </a:endParaRPr>
        </a:p>
      </cdr:txBody>
    </cdr:sp>
  </cdr:relSizeAnchor>
  <cdr:relSizeAnchor xmlns:cdr="http://schemas.openxmlformats.org/drawingml/2006/chartDrawing">
    <cdr:from>
      <cdr:x>0.00905</cdr:x>
      <cdr:y>0.15571</cdr:y>
    </cdr:from>
    <cdr:to>
      <cdr:x>0.07919</cdr:x>
      <cdr:y>0.66782</cdr:y>
    </cdr:to>
    <cdr:sp>
      <cdr:nvSpPr>
        <cdr:cNvPr id="3" name="矩形 2"/>
        <cdr:cNvSpPr/>
      </cdr:nvSpPr>
      <cdr:spPr xmlns:a="http://schemas.openxmlformats.org/drawingml/2006/main">
        <a:xfrm xmlns:a="http://schemas.openxmlformats.org/drawingml/2006/main">
          <a:off x="38099" y="428625"/>
          <a:ext cx="295276" cy="1409700"/>
        </a:xfrm>
        <a:prstGeom xmlns:a="http://schemas.openxmlformats.org/drawingml/2006/main" prst="rect">
          <a:avLst/>
        </a:prstGeom>
      </cdr:spPr>
      <cdr:txBody xmlns:a="http://schemas.openxmlformats.org/drawingml/2006/main">
        <a:bodyPr vert="eaVert" wrap="square" lIns="45720" tIns="45720" rIns="45720" bIns="45720" rtlCol="0" anchor="t" anchorCtr="0">
          <a:normAutofit/>
        </a:bodyPr>
        <a:lstStyle>
          <a:lvl1pPr marL="0" indent="0">
            <a:defRPr sz="1100">
              <a:latin typeface="等线" panose="02010600030101010101" charset="-122"/>
            </a:defRPr>
          </a:lvl1pPr>
          <a:lvl2pPr marL="457200" indent="0">
            <a:defRPr sz="1100">
              <a:latin typeface="等线" panose="02010600030101010101" charset="-122"/>
            </a:defRPr>
          </a:lvl2pPr>
          <a:lvl3pPr marL="914400" indent="0">
            <a:defRPr sz="1100">
              <a:latin typeface="等线" panose="02010600030101010101" charset="-122"/>
            </a:defRPr>
          </a:lvl3pPr>
          <a:lvl4pPr marL="1371600" indent="0">
            <a:defRPr sz="1100">
              <a:latin typeface="等线" panose="02010600030101010101" charset="-122"/>
            </a:defRPr>
          </a:lvl4pPr>
          <a:lvl5pPr marL="1828800" indent="0">
            <a:defRPr sz="1100">
              <a:latin typeface="等线" panose="02010600030101010101" charset="-122"/>
            </a:defRPr>
          </a:lvl5pPr>
          <a:lvl6pPr marL="2286000" indent="0">
            <a:defRPr sz="1100">
              <a:latin typeface="等线" panose="02010600030101010101" charset="-122"/>
            </a:defRPr>
          </a:lvl6pPr>
          <a:lvl7pPr marL="2743200" indent="0">
            <a:defRPr sz="1100">
              <a:latin typeface="等线" panose="02010600030101010101" charset="-122"/>
            </a:defRPr>
          </a:lvl7pPr>
          <a:lvl8pPr marL="3200400" indent="0">
            <a:defRPr sz="1100">
              <a:latin typeface="等线" panose="02010600030101010101" charset="-122"/>
            </a:defRPr>
          </a:lvl8pPr>
          <a:lvl9pPr marL="3657600" indent="0">
            <a:defRPr sz="1100">
              <a:latin typeface="等线" panose="02010600030101010101" charset="-122"/>
            </a:defRPr>
          </a:lvl9pPr>
        </a:lstStyle>
        <a:p>
          <a:r>
            <a:rPr lang="zh-CN" altLang="en-US" sz="1100">
              <a:latin typeface="仿宋_GB2312" panose="02010609030101010101" pitchFamily="3" charset="-122"/>
              <a:ea typeface="仿宋_GB2312" panose="02010609030101010101" pitchFamily="3" charset="-122"/>
            </a:rPr>
            <a:t>污染物排放量（吨）</a:t>
          </a:r>
          <a:endParaRPr lang="zh-CN" altLang="en-US" sz="1100">
            <a:latin typeface="仿宋_GB2312" panose="02010609030101010101" pitchFamily="3" charset="-122"/>
            <a:ea typeface="仿宋_GB2312" panose="02010609030101010101" pitchFamily="3" charset="-122"/>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0.46407</cdr:x>
      <cdr:y>0.08295</cdr:y>
    </cdr:from>
    <cdr:to>
      <cdr:x>0.94012</cdr:x>
      <cdr:y>0.17607</cdr:y>
    </cdr:to>
    <cdr:sp>
      <cdr:nvSpPr>
        <cdr:cNvPr id="2" name="矩形 1"/>
        <cdr:cNvSpPr/>
      </cdr:nvSpPr>
      <cdr:spPr xmlns:a="http://schemas.openxmlformats.org/drawingml/2006/main">
        <a:xfrm xmlns:a="http://schemas.openxmlformats.org/drawingml/2006/main">
          <a:off x="1476369" y="199905"/>
          <a:ext cx="1514482" cy="224403"/>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CN" sz="900">
              <a:solidFill>
                <a:srgbClr val="FF0000"/>
              </a:solidFill>
              <a:latin typeface="Times New Roman" panose="02020603050405020304" charset="0"/>
              <a:cs typeface="Times New Roman" panose="02020603050405020304" charset="0"/>
            </a:rPr>
            <a:t>CO</a:t>
          </a:r>
          <a:r>
            <a:rPr lang="zh-TW" altLang="en-US" sz="900">
              <a:solidFill>
                <a:srgbClr val="FF0000"/>
              </a:solidFill>
              <a:latin typeface="Times New Roman" panose="02020603050405020304" charset="0"/>
              <a:cs typeface="Times New Roman" panose="02020603050405020304" charset="0"/>
            </a:rPr>
            <a:t> </a:t>
          </a:r>
          <a:r>
            <a:rPr lang="zh-CN" altLang="en-US" sz="900">
              <a:solidFill>
                <a:srgbClr val="FF0000"/>
              </a:solidFill>
              <a:latin typeface="Times New Roman" panose="02020603050405020304" charset="0"/>
              <a:cs typeface="Times New Roman" panose="02020603050405020304" charset="0"/>
            </a:rPr>
            <a:t>一级标准：</a:t>
          </a:r>
          <a:r>
            <a:rPr lang="en-US" altLang="zh-TW" sz="900">
              <a:solidFill>
                <a:srgbClr val="FF0000"/>
              </a:solidFill>
              <a:latin typeface="Times New Roman" panose="02020603050405020304" charset="0"/>
              <a:cs typeface="Times New Roman" panose="02020603050405020304" charset="0"/>
            </a:rPr>
            <a:t>4m</a:t>
          </a:r>
          <a:r>
            <a:rPr lang="en-US" sz="900">
              <a:solidFill>
                <a:srgbClr val="FF0000"/>
              </a:solidFill>
              <a:latin typeface="Times New Roman" panose="02020603050405020304" charset="0"/>
              <a:cs typeface="Times New Roman" panose="02020603050405020304" charset="0"/>
            </a:rPr>
            <a:t>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0.22156</cdr:x>
      <cdr:y>0.05924</cdr:y>
    </cdr:from>
    <cdr:to>
      <cdr:x>0.69761</cdr:x>
      <cdr:y>0.15236</cdr:y>
    </cdr:to>
    <cdr:sp>
      <cdr:nvSpPr>
        <cdr:cNvPr id="2" name="矩形 1"/>
        <cdr:cNvSpPr/>
      </cdr:nvSpPr>
      <cdr:spPr xmlns:a="http://schemas.openxmlformats.org/drawingml/2006/main">
        <a:xfrm xmlns:a="http://schemas.openxmlformats.org/drawingml/2006/main">
          <a:off x="704844" y="142755"/>
          <a:ext cx="1514482" cy="224403"/>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r>
            <a:rPr lang="en-US" altLang="zh-TW" sz="900">
              <a:solidFill>
                <a:srgbClr val="FF0000"/>
              </a:solidFill>
              <a:latin typeface="Times New Roman" panose="02020603050405020304" charset="0"/>
              <a:cs typeface="Times New Roman" panose="02020603050405020304" charset="0"/>
            </a:rPr>
            <a:t>O</a:t>
          </a:r>
          <a:r>
            <a:rPr lang="en-US" altLang="zh-TW" sz="900" baseline="-25000">
              <a:solidFill>
                <a:srgbClr val="FF0000"/>
              </a:solidFill>
              <a:latin typeface="Times New Roman" panose="02020603050405020304" charset="0"/>
              <a:cs typeface="Times New Roman" panose="02020603050405020304" charset="0"/>
            </a:rPr>
            <a:t>3</a:t>
          </a:r>
          <a:r>
            <a:rPr lang="zh-TW" altLang="en-US" sz="900">
              <a:solidFill>
                <a:srgbClr val="FF0000"/>
              </a:solidFill>
              <a:latin typeface="Times New Roman" panose="02020603050405020304" charset="0"/>
              <a:cs typeface="Times New Roman" panose="02020603050405020304" charset="0"/>
            </a:rPr>
            <a:t> </a:t>
          </a:r>
          <a:r>
            <a:rPr lang="zh-CN" altLang="en-US" sz="900">
              <a:solidFill>
                <a:srgbClr val="FF0000"/>
              </a:solidFill>
              <a:latin typeface="Times New Roman" panose="02020603050405020304" charset="0"/>
              <a:cs typeface="Times New Roman" panose="02020603050405020304" charset="0"/>
            </a:rPr>
            <a:t>一级标准：</a:t>
          </a:r>
          <a:r>
            <a:rPr lang="en-US" altLang="zh-TW" sz="900">
              <a:solidFill>
                <a:srgbClr val="FF0000"/>
              </a:solidFill>
              <a:latin typeface="Times New Roman" panose="02020603050405020304" charset="0"/>
              <a:cs typeface="Times New Roman" panose="02020603050405020304" charset="0"/>
            </a:rPr>
            <a:t>100</a:t>
          </a:r>
          <a:r>
            <a:rPr lang="el-GR" altLang="zh-TW" sz="900">
              <a:solidFill>
                <a:srgbClr val="FF0000"/>
              </a:solidFill>
              <a:latin typeface="Times New Roman" panose="02020603050405020304" charset="0"/>
              <a:cs typeface="Times New Roman" panose="02020603050405020304" charset="0"/>
            </a:rPr>
            <a:t>μ</a:t>
          </a:r>
          <a:r>
            <a:rPr lang="en-US" altLang="zh-TW" sz="900">
              <a:solidFill>
                <a:srgbClr val="FF0000"/>
              </a:solidFill>
              <a:latin typeface="Times New Roman" panose="02020603050405020304" charset="0"/>
              <a:cs typeface="Times New Roman" panose="02020603050405020304" charset="0"/>
            </a:rPr>
            <a:t>g/m</a:t>
          </a:r>
          <a:r>
            <a:rPr lang="en-US" sz="900" baseline="30000">
              <a:solidFill>
                <a:srgbClr val="FF0000"/>
              </a:solidFill>
              <a:latin typeface="Times New Roman" panose="02020603050405020304" charset="0"/>
              <a:cs typeface="Times New Roman" panose="02020603050405020304" charset="0"/>
            </a:rPr>
            <a:t>3</a:t>
          </a:r>
          <a:endParaRPr lang="zh-CN" altLang="en-US" sz="900" baseline="0">
            <a:solidFill>
              <a:srgbClr val="FF0000"/>
            </a:solidFill>
            <a:latin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F80997-EDF9-4AC9-83BC-E74225C96C5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26376</Words>
  <Characters>30003</Characters>
  <Lines>257</Lines>
  <Paragraphs>72</Paragraphs>
  <TotalTime>4</TotalTime>
  <ScaleCrop>false</ScaleCrop>
  <LinksUpToDate>false</LinksUpToDate>
  <CharactersWithSpaces>31757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2020-06-16T12:31:00Z</dcterms:created>
  <dc:creator>YANHUA</dc:creator>
  <cp:lastModifiedBy>Administrator</cp:lastModifiedBy>
  <cp:lastPrinted>2020-07-06T01:15:00Z</cp:lastPrinted>
  <dcterms:modified xsi:type="dcterms:W3CDTF">2020-12-03T03:39:53Z</dcterms:modified>
  <cp:revision>1096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