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温州市人才住房租售并举实施办法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贡献积分指标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根据《温州市人才住房租售并举实施办法》（温委办发〔</w:t>
      </w:r>
      <w:r>
        <w:rPr>
          <w:rFonts w:hint="eastAsia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号）第四条规定要求，现设定中小学（幼儿园）、医疗卫生机构人才贡献积分指标及分值，具体如下：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一、贡献成果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（采取积分制，可叠加计分）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.论文类：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第一作者或通讯作者发表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一区收录论文（或《中国社会科学》《新华文摘》全文转载）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二区收录论文（或</w:t>
      </w:r>
      <w:r>
        <w:rPr>
          <w:rFonts w:hint="eastAsia" w:ascii="Times New Roman" w:eastAsia="仿宋_GB2312" w:cs="仿宋_GB2312"/>
          <w:sz w:val="32"/>
          <w:szCs w:val="32"/>
        </w:rPr>
        <w:t>AHCI</w:t>
      </w:r>
      <w:r>
        <w:rPr>
          <w:rFonts w:hint="eastAsia" w:ascii="仿宋_GB2312" w:hAnsi="仿宋_GB2312" w:eastAsia="仿宋_GB2312" w:cs="仿宋_GB2312"/>
          <w:sz w:val="32"/>
          <w:szCs w:val="32"/>
        </w:rPr>
        <w:t>源期刊、浙大标准人文社科类权威期刊论文）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三区收录论文（或浙大标准人文社科类一级期刊论文）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四区收录论文（或</w:t>
      </w:r>
      <w:r>
        <w:rPr>
          <w:rFonts w:hint="eastAsia" w:ascii="Times New Roman" w:eastAsia="仿宋_GB2312" w:cs="仿宋_GB2312"/>
          <w:sz w:val="32"/>
          <w:szCs w:val="32"/>
        </w:rPr>
        <w:t>CSSC</w:t>
      </w:r>
      <w:r>
        <w:rPr>
          <w:rFonts w:hint="eastAsia" w:ascii="仿宋_GB2312" w:hAnsi="仿宋_GB2312" w:eastAsia="仿宋_GB2312" w:cs="仿宋_GB2312"/>
          <w:sz w:val="32"/>
          <w:szCs w:val="32"/>
        </w:rPr>
        <w:t>Ⅰ来源期刊论文）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.专利类：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授权发明专利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分，授权实用新型专利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分，授权外观设计专利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分，计算机软件著作权登记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.课题类：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主持国家级科研项目计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分、省部级科研项目计 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分、市厅级重大科研项目计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分、市厅级一般项目计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分，参与国家级重大、重点科研项目(排名前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位)计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分，课题类不包括会议资助项目和自筹项目；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.标准类：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为主制修订国际标准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分、国家标准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分、行业标准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分，参与制修订积分减半计算；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.奖项类：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市级及以上科学技术重大贡献奖、技术发明奖、科学技术进步奖一等奖、二等奖、三等奖获得者（前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完成人）计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.考核类：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近五年年度考核等次优秀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次计</w:t>
      </w:r>
      <w:r>
        <w:rPr>
          <w:rFonts w:hint="eastAsia" w:ascii="Times New Roman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7</w:t>
      </w:r>
      <w:r>
        <w:rPr>
          <w:rFonts w:hint="eastAsia" w:ascii="楷体" w:hAnsi="楷体" w:eastAsia="楷体" w:cs="楷体"/>
          <w:sz w:val="32"/>
          <w:szCs w:val="32"/>
        </w:rPr>
        <w:t>.其他类：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技术转让项目技术交易额累计达到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万及以上计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二、荣誉称号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（采取达标制，获得一项即计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.县级及以上“劳动模范”“模范”“五一劳动奖”；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健部门认定的相当层次荣誉称号获得者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三、学历职称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（采取附加分制，选择一个项目计分）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.毕业于国内“双一流”建设高校（学科）计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32" w:firstLineChars="200"/>
        <w:jc w:val="both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Times New Roman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.毕业于泰晤士高等教育世界大学排名前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高校计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.取得全日制硕士研究生学历计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.在医疗卫生机构工作取得副高以上职称计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在中小学（幼儿园）工作，取得中级及以上职称计</w:t>
      </w:r>
      <w:r>
        <w:rPr>
          <w:rFonts w:hint="eastAsia" w:ascii="Times New Roman" w:eastAsia="仿宋_GB2312" w:cs="仿宋_GB2312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6023"/>
    <w:rsid w:val="32B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2022-03-11T04:00:00Z</dcterms:created>
  <dc:creator>明天</dc:creator>
  <cp:lastModifiedBy>明天</cp:lastModifiedBy>
  <dcterms:modified xsi:type="dcterms:W3CDTF">2022-03-11T04:00:29Z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F9924F81CDAE4FC79BCF8E1DF490DBB9</vt:lpwstr>
  </property>
</Properties>
</file>