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left="0" w:firstLine="0" w:firstLineChars="0"/>
        <w:rPr>
          <w:rFonts w:ascii="仿宋_GB2312" w:eastAsia="仿宋_GB2312"/>
          <w:color w:val="000000"/>
          <w:sz w:val="32"/>
          <w:szCs w:val="32"/>
          <w:lang w:val="en-US"/>
        </w:rPr>
      </w:pPr>
      <w:r>
        <w:rPr>
          <w:rFonts w:hint="eastAsia" w:ascii="仿宋_GB2312" w:eastAsia="仿宋_GB2312"/>
          <w:color w:val="000000"/>
          <w:sz w:val="32"/>
          <w:szCs w:val="32"/>
          <w:lang w:val="en-US"/>
        </w:rPr>
        <w:t>附件1</w:t>
      </w:r>
    </w:p>
    <w:p>
      <w:pPr>
        <w:spacing w:line="700" w:lineRule="exact"/>
        <w:jc w:val="center"/>
        <w:rPr>
          <w:rFonts w:ascii="方正小标宋简体" w:hAnsi="仿宋_GB2312" w:eastAsia="方正小标宋简体" w:cs="仿宋_GB2312"/>
          <w:kern w:val="0"/>
          <w:sz w:val="44"/>
          <w:szCs w:val="44"/>
        </w:rPr>
      </w:pPr>
    </w:p>
    <w:p>
      <w:pPr>
        <w:spacing w:line="700" w:lineRule="exact"/>
        <w:jc w:val="center"/>
        <w:rPr>
          <w:rFonts w:ascii="方正小标宋简体" w:hAnsi="黑体" w:eastAsia="方正小标宋简体" w:cs="黑体"/>
          <w:color w:val="000000"/>
          <w:sz w:val="44"/>
          <w:szCs w:val="44"/>
        </w:rPr>
      </w:pPr>
      <w:r>
        <w:rPr>
          <w:rFonts w:hint="eastAsia" w:ascii="方正小标宋简体" w:hAnsi="仿宋_GB2312" w:eastAsia="方正小标宋简体" w:cs="仿宋_GB2312"/>
          <w:kern w:val="0"/>
          <w:sz w:val="44"/>
          <w:szCs w:val="44"/>
        </w:rPr>
        <w:t>温州市市本级第二批人才住房配售房源</w:t>
      </w:r>
    </w:p>
    <w:p>
      <w:pPr>
        <w:widowControl/>
        <w:spacing w:before="468" w:beforeLines="150" w:line="560" w:lineRule="exact"/>
        <w:textAlignment w:val="center"/>
        <w:rPr>
          <w:rFonts w:ascii="黑体" w:hAnsi="黑体" w:eastAsia="黑体" w:cs="仿宋_GB2312"/>
          <w:color w:val="000000"/>
          <w:sz w:val="32"/>
          <w:szCs w:val="32"/>
        </w:rPr>
      </w:pPr>
      <w:r>
        <w:rPr>
          <w:rFonts w:hint="eastAsia" w:ascii="仿宋_GB2312" w:hAnsi="仿宋_GB2312" w:eastAsia="仿宋_GB2312" w:cs="仿宋_GB2312"/>
          <w:color w:val="000000"/>
          <w:sz w:val="32"/>
          <w:szCs w:val="32"/>
        </w:rPr>
        <w:t xml:space="preserve">  </w:t>
      </w:r>
      <w:r>
        <w:rPr>
          <w:rFonts w:ascii="黑体" w:hAnsi="黑体" w:eastAsia="黑体" w:cs="仿宋_GB2312"/>
          <w:color w:val="000000"/>
          <w:sz w:val="32"/>
          <w:szCs w:val="32"/>
        </w:rPr>
        <w:t xml:space="preserve">  </w:t>
      </w:r>
      <w:r>
        <w:rPr>
          <w:rFonts w:hint="eastAsia" w:ascii="黑体" w:hAnsi="黑体" w:eastAsia="黑体" w:cs="仿宋_GB2312"/>
          <w:color w:val="000000"/>
          <w:sz w:val="32"/>
          <w:szCs w:val="32"/>
        </w:rPr>
        <w:t>一、房源分布</w:t>
      </w:r>
    </w:p>
    <w:p>
      <w:pPr>
        <w:widowControl/>
        <w:spacing w:line="560" w:lineRule="exact"/>
        <w:ind w:firstLine="640" w:firstLineChars="20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市本级第二批人才住房配售房源共5个项目，总建筑面积</w:t>
      </w:r>
      <w:r>
        <w:rPr>
          <w:rFonts w:ascii="仿宋_GB2312" w:hAnsi="仿宋_GB2312" w:eastAsia="仿宋_GB2312" w:cs="仿宋_GB2312"/>
          <w:color w:val="000000"/>
          <w:sz w:val="32"/>
          <w:szCs w:val="32"/>
        </w:rPr>
        <w:t>48</w:t>
      </w:r>
      <w:r>
        <w:rPr>
          <w:rFonts w:hint="eastAsia" w:ascii="仿宋_GB2312" w:hAnsi="仿宋_GB2312" w:eastAsia="仿宋_GB2312" w:cs="仿宋_GB2312"/>
          <w:color w:val="000000"/>
          <w:sz w:val="32"/>
          <w:szCs w:val="32"/>
        </w:rPr>
        <w:t>898平方米，总套数477套。分别为：</w:t>
      </w:r>
    </w:p>
    <w:p>
      <w:pPr>
        <w:widowControl/>
        <w:spacing w:line="560" w:lineRule="exact"/>
        <w:ind w:firstLine="643" w:firstLineChars="200"/>
        <w:textAlignment w:val="center"/>
        <w:rPr>
          <w:rFonts w:ascii="仿宋_GB2312" w:hAnsi="仿宋_GB2312" w:eastAsia="仿宋_GB2312" w:cs="仿宋_GB2312"/>
          <w:color w:val="000000"/>
          <w:sz w:val="32"/>
          <w:szCs w:val="32"/>
        </w:rPr>
      </w:pPr>
      <w:r>
        <w:rPr>
          <w:rFonts w:hint="eastAsia" w:ascii="楷体" w:hAnsi="楷体" w:eastAsia="楷体" w:cs="仿宋_GB2312"/>
          <w:b/>
          <w:color w:val="000000"/>
          <w:sz w:val="32"/>
          <w:szCs w:val="32"/>
        </w:rPr>
        <w:t>（一）阳光城·檀境里。</w:t>
      </w:r>
      <w:r>
        <w:rPr>
          <w:rFonts w:hint="eastAsia" w:ascii="仿宋_GB2312" w:hAnsi="仿宋_GB2312" w:eastAsia="仿宋_GB2312" w:cs="仿宋_GB2312"/>
          <w:color w:val="000000"/>
          <w:sz w:val="32"/>
          <w:szCs w:val="32"/>
        </w:rPr>
        <w:t>楼盘</w:t>
      </w:r>
      <w:r>
        <w:rPr>
          <w:rFonts w:hint="eastAsia" w:ascii="仿宋_GB2312" w:eastAsia="仿宋_GB2312" w:cs="仿宋_GB2312"/>
          <w:kern w:val="0"/>
          <w:sz w:val="32"/>
          <w:szCs w:val="32"/>
        </w:rPr>
        <w:t>位于鹿城区小南路与马鞍池西路交汇处，共</w:t>
      </w:r>
      <w:r>
        <w:rPr>
          <w:rFonts w:hint="eastAsia" w:ascii="仿宋_GB2312" w:hAnsi="仿宋_GB2312" w:eastAsia="仿宋_GB2312" w:cs="仿宋_GB2312"/>
          <w:color w:val="000000"/>
          <w:sz w:val="32"/>
          <w:szCs w:val="32"/>
        </w:rPr>
        <w:t>53套，其中户型建筑面积120平方米左右11套，90平方米左右42套。人才住房销售备案均价为38600元/平方米，全装修标准为1000元/平方米，计划交付使用时间为2023年12月30日。</w:t>
      </w:r>
    </w:p>
    <w:p>
      <w:pPr>
        <w:widowControl/>
        <w:spacing w:line="560" w:lineRule="exact"/>
        <w:ind w:firstLine="643" w:firstLineChars="200"/>
        <w:textAlignment w:val="center"/>
        <w:rPr>
          <w:rFonts w:ascii="仿宋_GB2312" w:hAnsi="仿宋_GB2312" w:eastAsia="仿宋_GB2312" w:cs="仿宋_GB2312"/>
          <w:color w:val="000000"/>
          <w:sz w:val="32"/>
          <w:szCs w:val="32"/>
        </w:rPr>
      </w:pPr>
      <w:r>
        <w:rPr>
          <w:rFonts w:hint="eastAsia" w:ascii="楷体" w:hAnsi="楷体" w:eastAsia="楷体" w:cs="仿宋_GB2312"/>
          <w:b/>
          <w:color w:val="000000"/>
          <w:sz w:val="32"/>
          <w:szCs w:val="32"/>
        </w:rPr>
        <w:t>（二）华鸿·翠语麓园。</w:t>
      </w:r>
      <w:r>
        <w:rPr>
          <w:rFonts w:hint="eastAsia" w:ascii="仿宋_GB2312" w:hAnsi="仿宋_GB2312" w:eastAsia="仿宋_GB2312" w:cs="仿宋_GB2312"/>
          <w:color w:val="000000"/>
          <w:sz w:val="32"/>
          <w:szCs w:val="32"/>
        </w:rPr>
        <w:t>楼盘</w:t>
      </w:r>
      <w:r>
        <w:rPr>
          <w:rFonts w:hint="eastAsia" w:ascii="仿宋_GB2312" w:eastAsia="仿宋_GB2312" w:cs="仿宋_GB2312"/>
          <w:kern w:val="0"/>
          <w:sz w:val="32"/>
          <w:szCs w:val="32"/>
        </w:rPr>
        <w:t>位于鹿城区翠微大道与南山路交汇处，共</w:t>
      </w:r>
      <w:r>
        <w:rPr>
          <w:rFonts w:hint="eastAsia" w:ascii="仿宋_GB2312" w:hAnsi="仿宋_GB2312" w:eastAsia="仿宋_GB2312" w:cs="仿宋_GB2312"/>
          <w:color w:val="000000"/>
          <w:sz w:val="32"/>
          <w:szCs w:val="32"/>
        </w:rPr>
        <w:t>75套，其中户型建筑面积为90平方米左右的50套，120平方米左右的25套。人才住房销售备案均价为19453元/平方米，全装修标准为1500元/平方米，计划交付使用时间为2023年11月30日。</w:t>
      </w:r>
    </w:p>
    <w:p>
      <w:pPr>
        <w:widowControl/>
        <w:spacing w:line="560" w:lineRule="exact"/>
        <w:ind w:firstLine="643" w:firstLineChars="200"/>
        <w:textAlignment w:val="center"/>
        <w:rPr>
          <w:rFonts w:ascii="仿宋_GB2312" w:hAnsi="仿宋_GB2312" w:eastAsia="仿宋_GB2312" w:cs="仿宋_GB2312"/>
          <w:color w:val="000000"/>
          <w:sz w:val="32"/>
          <w:szCs w:val="32"/>
        </w:rPr>
      </w:pPr>
      <w:r>
        <w:rPr>
          <w:rFonts w:hint="eastAsia" w:ascii="楷体" w:hAnsi="楷体" w:eastAsia="楷体" w:cs="仿宋_GB2312"/>
          <w:b/>
          <w:color w:val="000000"/>
          <w:sz w:val="32"/>
          <w:szCs w:val="32"/>
        </w:rPr>
        <w:t>（三）宝龙地产·麓台里。</w:t>
      </w:r>
      <w:r>
        <w:rPr>
          <w:rFonts w:hint="eastAsia" w:ascii="仿宋_GB2312" w:hAnsi="仿宋_GB2312" w:eastAsia="仿宋_GB2312" w:cs="仿宋_GB2312"/>
          <w:color w:val="000000"/>
          <w:sz w:val="32"/>
          <w:szCs w:val="32"/>
        </w:rPr>
        <w:t>楼盘</w:t>
      </w:r>
      <w:r>
        <w:rPr>
          <w:rFonts w:hint="eastAsia" w:ascii="仿宋_GB2312" w:eastAsia="仿宋_GB2312" w:cs="仿宋_GB2312"/>
          <w:kern w:val="0"/>
          <w:sz w:val="32"/>
          <w:szCs w:val="32"/>
        </w:rPr>
        <w:t>位于鹿城区广化桥路与过境路交汇处，为黄龙商贸城二期地块</w:t>
      </w:r>
      <w:r>
        <w:rPr>
          <w:rFonts w:hint="eastAsia" w:ascii="仿宋_GB2312" w:eastAsia="仿宋_GB2312" w:cs="仿宋_GB2312"/>
          <w:b/>
          <w:kern w:val="0"/>
          <w:sz w:val="32"/>
          <w:szCs w:val="32"/>
        </w:rPr>
        <w:t>，</w:t>
      </w:r>
      <w:r>
        <w:rPr>
          <w:rFonts w:hint="eastAsia" w:ascii="仿宋_GB2312" w:eastAsia="仿宋_GB2312" w:cs="仿宋_GB2312"/>
          <w:kern w:val="0"/>
          <w:sz w:val="32"/>
          <w:szCs w:val="32"/>
        </w:rPr>
        <w:t>共128套</w:t>
      </w:r>
      <w:r>
        <w:rPr>
          <w:rFonts w:hint="eastAsia" w:ascii="仿宋_GB2312" w:hAnsi="仿宋_GB2312" w:eastAsia="仿宋_GB2312" w:cs="仿宋_GB2312"/>
          <w:color w:val="000000"/>
          <w:sz w:val="32"/>
          <w:szCs w:val="32"/>
        </w:rPr>
        <w:t>，其中户型建筑面积为90平方米左右87套，120平方米左右33套，140平方米左右8套。人才住房销售备案均价为30068元/平方米，全装修标准为2550元/平方米，计划交付使用时间为2024年4月30日。</w:t>
      </w:r>
    </w:p>
    <w:p>
      <w:pPr>
        <w:widowControl/>
        <w:spacing w:line="560" w:lineRule="exact"/>
        <w:ind w:firstLine="643" w:firstLineChars="200"/>
        <w:textAlignment w:val="center"/>
        <w:rPr>
          <w:rFonts w:ascii="仿宋_GB2312" w:hAnsi="仿宋_GB2312" w:eastAsia="仿宋_GB2312" w:cs="仿宋_GB2312"/>
          <w:color w:val="000000"/>
          <w:sz w:val="32"/>
          <w:szCs w:val="32"/>
        </w:rPr>
      </w:pPr>
      <w:r>
        <w:rPr>
          <w:rFonts w:hint="eastAsia" w:ascii="楷体" w:hAnsi="楷体" w:eastAsia="楷体" w:cs="仿宋_GB2312"/>
          <w:b/>
          <w:color w:val="000000"/>
          <w:sz w:val="32"/>
          <w:szCs w:val="32"/>
        </w:rPr>
        <w:t>（四）新城控股·如意里。</w:t>
      </w:r>
      <w:r>
        <w:rPr>
          <w:rFonts w:hint="eastAsia" w:ascii="仿宋_GB2312" w:hAnsi="仿宋_GB2312" w:eastAsia="仿宋_GB2312" w:cs="仿宋_GB2312"/>
          <w:color w:val="000000"/>
          <w:sz w:val="32"/>
          <w:szCs w:val="32"/>
        </w:rPr>
        <w:t>楼盘</w:t>
      </w:r>
      <w:r>
        <w:rPr>
          <w:rFonts w:hint="eastAsia" w:ascii="仿宋_GB2312" w:eastAsia="仿宋_GB2312" w:cs="仿宋_GB2312"/>
          <w:kern w:val="0"/>
          <w:sz w:val="32"/>
          <w:szCs w:val="32"/>
        </w:rPr>
        <w:t>位于龙湾区温州大道与上江路交汇处，共</w:t>
      </w:r>
      <w:r>
        <w:rPr>
          <w:rFonts w:hint="eastAsia" w:ascii="仿宋_GB2312" w:hAnsi="仿宋_GB2312" w:eastAsia="仿宋_GB2312" w:cs="仿宋_GB2312"/>
          <w:color w:val="000000"/>
          <w:sz w:val="32"/>
          <w:szCs w:val="32"/>
        </w:rPr>
        <w:t>49套，其中户型建筑面积为90平方米左右35套，120平方米左右12套，140平方米左右2套。人才住房销售备案均价为27800元/平方米，全装修标准为2500元/平方米，计划交付使用时间为2023年12月25日。</w:t>
      </w:r>
    </w:p>
    <w:p>
      <w:pPr>
        <w:widowControl/>
        <w:spacing w:line="560" w:lineRule="exact"/>
        <w:ind w:firstLine="643" w:firstLineChars="200"/>
        <w:textAlignment w:val="center"/>
        <w:rPr>
          <w:rFonts w:ascii="仿宋_GB2312" w:hAnsi="仿宋_GB2312" w:eastAsia="仿宋_GB2312" w:cs="仿宋_GB2312"/>
          <w:color w:val="000000"/>
          <w:sz w:val="32"/>
          <w:szCs w:val="32"/>
        </w:rPr>
      </w:pPr>
      <w:r>
        <w:rPr>
          <w:rFonts w:hint="eastAsia" w:ascii="楷体" w:hAnsi="楷体" w:eastAsia="楷体" w:cs="仿宋_GB2312"/>
          <w:b/>
          <w:color w:val="000000"/>
          <w:sz w:val="32"/>
          <w:szCs w:val="32"/>
        </w:rPr>
        <w:t>（五）龙湖·龙誉辰园。</w:t>
      </w:r>
      <w:r>
        <w:rPr>
          <w:rFonts w:hint="eastAsia" w:ascii="仿宋_GB2312" w:hAnsi="仿宋_GB2312" w:eastAsia="仿宋_GB2312" w:cs="仿宋_GB2312"/>
          <w:color w:val="000000"/>
          <w:sz w:val="32"/>
          <w:szCs w:val="32"/>
        </w:rPr>
        <w:t>楼盘</w:t>
      </w:r>
      <w:r>
        <w:rPr>
          <w:rFonts w:hint="eastAsia" w:ascii="仿宋_GB2312" w:eastAsia="仿宋_GB2312" w:cs="仿宋_GB2312"/>
          <w:kern w:val="0"/>
          <w:sz w:val="32"/>
          <w:szCs w:val="32"/>
        </w:rPr>
        <w:t>位于瓯海区南湖路与龙霞路交汇口，共</w:t>
      </w:r>
      <w:r>
        <w:rPr>
          <w:rFonts w:hint="eastAsia" w:ascii="仿宋_GB2312" w:hAnsi="仿宋_GB2312" w:eastAsia="仿宋_GB2312" w:cs="仿宋_GB2312"/>
          <w:color w:val="000000"/>
          <w:sz w:val="32"/>
          <w:szCs w:val="32"/>
        </w:rPr>
        <w:t>172套，其中户型建筑面积为90平方米左右135套，120平方米左右37套。人才住房销售备案均价为23755元/平方米，全装修标准为2400、4200元/平方米，</w:t>
      </w:r>
      <w:r>
        <w:rPr>
          <w:rFonts w:hint="eastAsia" w:ascii="仿宋_GB2312" w:eastAsia="仿宋_GB2312" w:cs="仿宋_GB2312"/>
          <w:color w:val="000000"/>
          <w:sz w:val="32"/>
          <w:szCs w:val="32"/>
        </w:rPr>
        <w:t>可选择毛坯交付自行装修，</w:t>
      </w:r>
      <w:r>
        <w:rPr>
          <w:rFonts w:hint="eastAsia" w:ascii="仿宋_GB2312" w:hAnsi="仿宋_GB2312" w:eastAsia="仿宋_GB2312" w:cs="仿宋_GB2312"/>
          <w:color w:val="000000"/>
          <w:sz w:val="32"/>
          <w:szCs w:val="32"/>
        </w:rPr>
        <w:t>计划交付使用时间为2023年6月30日。</w:t>
      </w:r>
    </w:p>
    <w:p>
      <w:pPr>
        <w:widowControl/>
        <w:spacing w:line="560" w:lineRule="exact"/>
        <w:ind w:firstLine="640" w:firstLineChars="200"/>
        <w:textAlignment w:val="center"/>
        <w:rPr>
          <w:rFonts w:ascii="仿宋_GB2312" w:hAnsi="仿宋_GB2312" w:eastAsia="仿宋_GB2312" w:cs="仿宋_GB2312"/>
          <w:b/>
          <w:color w:val="C00000"/>
          <w:szCs w:val="21"/>
        </w:rPr>
      </w:pPr>
      <w:r>
        <w:rPr>
          <w:rFonts w:hint="eastAsia" w:ascii="仿宋_GB2312" w:hAnsi="仿宋_GB2312" w:eastAsia="仿宋_GB2312" w:cs="仿宋_GB2312"/>
          <w:color w:val="000000"/>
          <w:sz w:val="32"/>
          <w:szCs w:val="32"/>
        </w:rPr>
        <w:t>具体房源信息见下表</w:t>
      </w:r>
      <w:r>
        <w:rPr>
          <w:rFonts w:hint="eastAsia" w:ascii="仿宋_GB2312" w:hAnsi="仿宋_GB2312" w:eastAsia="仿宋_GB2312" w:cs="仿宋_GB2312"/>
          <w:b/>
          <w:color w:val="C00000"/>
          <w:sz w:val="32"/>
          <w:szCs w:val="32"/>
        </w:rPr>
        <w:t>（点击楼盘名称可详见项目楼书，包括楼盘</w:t>
      </w:r>
      <w:r>
        <w:rPr>
          <w:rFonts w:ascii="仿宋_GB2312" w:hAnsi="仿宋_GB2312" w:eastAsia="仿宋_GB2312" w:cs="仿宋_GB2312"/>
          <w:b/>
          <w:color w:val="C00000"/>
          <w:sz w:val="32"/>
          <w:szCs w:val="32"/>
        </w:rPr>
        <w:t>总平</w:t>
      </w:r>
      <w:r>
        <w:rPr>
          <w:rFonts w:hint="eastAsia" w:ascii="仿宋_GB2312" w:hAnsi="仿宋_GB2312" w:eastAsia="仿宋_GB2312" w:cs="仿宋_GB2312"/>
          <w:b/>
          <w:color w:val="C00000"/>
          <w:sz w:val="32"/>
          <w:szCs w:val="32"/>
        </w:rPr>
        <w:t>面</w:t>
      </w:r>
      <w:r>
        <w:rPr>
          <w:rFonts w:ascii="仿宋_GB2312" w:hAnsi="仿宋_GB2312" w:eastAsia="仿宋_GB2312" w:cs="仿宋_GB2312"/>
          <w:b/>
          <w:color w:val="C00000"/>
          <w:sz w:val="32"/>
          <w:szCs w:val="32"/>
        </w:rPr>
        <w:t>图</w:t>
      </w:r>
      <w:r>
        <w:rPr>
          <w:rFonts w:hint="eastAsia" w:ascii="仿宋_GB2312" w:hAnsi="仿宋_GB2312" w:eastAsia="仿宋_GB2312" w:cs="仿宋_GB2312"/>
          <w:b/>
          <w:color w:val="C00000"/>
          <w:sz w:val="32"/>
          <w:szCs w:val="32"/>
        </w:rPr>
        <w:t>、楼层平面图、</w:t>
      </w:r>
      <w:r>
        <w:rPr>
          <w:rFonts w:ascii="仿宋_GB2312" w:hAnsi="仿宋_GB2312" w:eastAsia="仿宋_GB2312" w:cs="仿宋_GB2312"/>
          <w:b/>
          <w:color w:val="C00000"/>
          <w:sz w:val="32"/>
          <w:szCs w:val="32"/>
        </w:rPr>
        <w:t>户型图</w:t>
      </w:r>
      <w:r>
        <w:rPr>
          <w:rFonts w:hint="eastAsia" w:ascii="仿宋_GB2312" w:hAnsi="仿宋_GB2312" w:eastAsia="仿宋_GB2312" w:cs="仿宋_GB2312"/>
          <w:b/>
          <w:color w:val="C00000"/>
          <w:sz w:val="32"/>
          <w:szCs w:val="32"/>
        </w:rPr>
        <w:t>、</w:t>
      </w:r>
      <w:r>
        <w:rPr>
          <w:rFonts w:ascii="仿宋_GB2312" w:hAnsi="仿宋_GB2312" w:eastAsia="仿宋_GB2312" w:cs="仿宋_GB2312"/>
          <w:b/>
          <w:color w:val="C00000"/>
          <w:sz w:val="32"/>
          <w:szCs w:val="32"/>
        </w:rPr>
        <w:t>房源明细表</w:t>
      </w:r>
      <w:r>
        <w:rPr>
          <w:rFonts w:hint="eastAsia" w:ascii="仿宋_GB2312" w:hAnsi="仿宋_GB2312" w:eastAsia="仿宋_GB2312" w:cs="仿宋_GB2312"/>
          <w:b/>
          <w:color w:val="C00000"/>
          <w:sz w:val="32"/>
          <w:szCs w:val="32"/>
        </w:rPr>
        <w:t>，备案均价不含全装修价格）</w:t>
      </w:r>
      <w:r>
        <w:rPr>
          <w:rFonts w:hint="eastAsia" w:ascii="仿宋_GB2312" w:hAnsi="仿宋_GB2312" w:eastAsia="仿宋_GB2312" w:cs="仿宋_GB2312"/>
          <w:color w:val="000000"/>
          <w:sz w:val="32"/>
          <w:szCs w:val="32"/>
        </w:rPr>
        <w:t>：</w:t>
      </w:r>
    </w:p>
    <w:tbl>
      <w:tblPr>
        <w:tblStyle w:val="5"/>
        <w:tblW w:w="9312" w:type="dxa"/>
        <w:tblInd w:w="-127" w:type="dxa"/>
        <w:tblLayout w:type="fixed"/>
        <w:tblCellMar>
          <w:top w:w="0" w:type="dxa"/>
          <w:left w:w="0" w:type="dxa"/>
          <w:bottom w:w="0" w:type="dxa"/>
          <w:right w:w="0" w:type="dxa"/>
        </w:tblCellMar>
      </w:tblPr>
      <w:tblGrid>
        <w:gridCol w:w="568"/>
        <w:gridCol w:w="1389"/>
        <w:gridCol w:w="698"/>
        <w:gridCol w:w="1257"/>
        <w:gridCol w:w="559"/>
        <w:gridCol w:w="697"/>
        <w:gridCol w:w="559"/>
        <w:gridCol w:w="559"/>
        <w:gridCol w:w="559"/>
        <w:gridCol w:w="698"/>
        <w:gridCol w:w="698"/>
        <w:gridCol w:w="1071"/>
      </w:tblGrid>
      <w:tr>
        <w:tblPrEx>
          <w:tblCellMar>
            <w:top w:w="0" w:type="dxa"/>
            <w:left w:w="0" w:type="dxa"/>
            <w:bottom w:w="0" w:type="dxa"/>
            <w:right w:w="0" w:type="dxa"/>
          </w:tblCellMar>
        </w:tblPrEx>
        <w:trPr>
          <w:trHeight w:val="914"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楼盘名称</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区域</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地理位置</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总套数</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户型建筑面积</w:t>
            </w:r>
            <w:r>
              <w:rPr>
                <w:rFonts w:ascii="宋体" w:hAnsi="宋体" w:cs="宋体"/>
                <w:b/>
                <w:color w:val="000000"/>
                <w:kern w:val="0"/>
                <w:sz w:val="18"/>
                <w:szCs w:val="18"/>
              </w:rPr>
              <w:t xml:space="preserve">       </w:t>
            </w:r>
            <w:r>
              <w:rPr>
                <w:rFonts w:hint="eastAsia" w:ascii="宋体" w:hAnsi="宋体" w:cs="宋体"/>
                <w:b/>
                <w:color w:val="000000"/>
                <w:kern w:val="0"/>
                <w:sz w:val="18"/>
                <w:szCs w:val="18"/>
              </w:rPr>
              <w:t>约（㎡）</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套数</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幢号</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楼层</w:t>
            </w:r>
            <w:r>
              <w:rPr>
                <w:rFonts w:ascii="宋体" w:hAnsi="宋体" w:cs="宋体"/>
                <w:b/>
                <w:color w:val="000000"/>
                <w:kern w:val="0"/>
                <w:sz w:val="18"/>
                <w:szCs w:val="18"/>
              </w:rPr>
              <w:t xml:space="preserve"> </w:t>
            </w:r>
            <w:r>
              <w:rPr>
                <w:rFonts w:hint="eastAsia" w:ascii="宋体" w:hAnsi="宋体" w:cs="宋体"/>
                <w:b/>
                <w:color w:val="000000"/>
                <w:kern w:val="0"/>
                <w:sz w:val="18"/>
                <w:szCs w:val="18"/>
              </w:rPr>
              <w:t>区间</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备案均价（元</w:t>
            </w:r>
            <w:r>
              <w:rPr>
                <w:rFonts w:ascii="宋体" w:hAnsi="宋体" w:cs="宋体"/>
                <w:b/>
                <w:color w:val="000000"/>
                <w:kern w:val="0"/>
                <w:sz w:val="18"/>
                <w:szCs w:val="18"/>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全装修标准（元</w:t>
            </w:r>
            <w:r>
              <w:rPr>
                <w:rFonts w:ascii="宋体" w:hAnsi="宋体" w:cs="宋体"/>
                <w:b/>
                <w:color w:val="000000"/>
                <w:kern w:val="0"/>
                <w:sz w:val="18"/>
                <w:szCs w:val="18"/>
              </w:rPr>
              <w:t>/㎡）</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交付  时间</w:t>
            </w:r>
          </w:p>
        </w:tc>
      </w:tr>
      <w:tr>
        <w:tblPrEx>
          <w:tblCellMar>
            <w:top w:w="0" w:type="dxa"/>
            <w:left w:w="0" w:type="dxa"/>
            <w:bottom w:w="0" w:type="dxa"/>
            <w:right w:w="0" w:type="dxa"/>
          </w:tblCellMar>
        </w:tblPrEx>
        <w:trPr>
          <w:trHeight w:val="672" w:hRule="atLeast"/>
        </w:trPr>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abs>
                <w:tab w:val="center" w:pos="4153"/>
                <w:tab w:val="right" w:pos="8306"/>
              </w:tabs>
              <w:snapToGrid w:val="0"/>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138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tabs>
                <w:tab w:val="center" w:pos="4153"/>
                <w:tab w:val="right" w:pos="8306"/>
              </w:tabs>
              <w:snapToGrid w:val="0"/>
              <w:jc w:val="left"/>
              <w:textAlignment w:val="center"/>
              <w:rPr>
                <w:rFonts w:ascii="宋体" w:hAnsi="宋体" w:cs="宋体"/>
                <w:color w:val="000000"/>
                <w:sz w:val="18"/>
                <w:szCs w:val="18"/>
              </w:rPr>
            </w:pPr>
            <w:r>
              <w:rPr>
                <w:rFonts w:hint="eastAsia" w:ascii="宋体" w:hAnsi="宋体" w:cs="宋体"/>
                <w:b/>
                <w:color w:val="000000"/>
                <w:kern w:val="0"/>
                <w:sz w:val="18"/>
                <w:szCs w:val="18"/>
              </w:rPr>
              <w:fldChar w:fldCharType="begin"/>
            </w:r>
            <w:r>
              <w:rPr>
                <w:rFonts w:hint="eastAsia" w:ascii="宋体" w:hAnsi="宋体" w:cs="宋体"/>
                <w:b/>
                <w:color w:val="000000"/>
                <w:kern w:val="0"/>
                <w:sz w:val="18"/>
                <w:szCs w:val="18"/>
              </w:rPr>
              <w:instrText xml:space="preserve"> HYPERLINK "http://zjj.wenzhou.gov.cn/art/2021/1/11/art_1229473604_58923203.html" </w:instrText>
            </w:r>
            <w:r>
              <w:rPr>
                <w:rFonts w:hint="eastAsia" w:ascii="宋体" w:hAnsi="宋体" w:cs="宋体"/>
                <w:b/>
                <w:color w:val="000000"/>
                <w:kern w:val="0"/>
                <w:sz w:val="18"/>
                <w:szCs w:val="18"/>
              </w:rPr>
              <w:fldChar w:fldCharType="separate"/>
            </w:r>
            <w:r>
              <w:rPr>
                <w:rStyle w:val="8"/>
                <w:rFonts w:hint="eastAsia" w:ascii="宋体" w:hAnsi="宋体" w:cs="宋体"/>
                <w:b/>
                <w:color w:val="000000"/>
                <w:kern w:val="0"/>
                <w:sz w:val="18"/>
                <w:szCs w:val="18"/>
              </w:rPr>
              <w:t>阳光城·檀境里</w:t>
            </w:r>
            <w:r>
              <w:rPr>
                <w:rFonts w:hint="eastAsia" w:ascii="宋体" w:hAnsi="宋体" w:cs="宋体"/>
                <w:b/>
                <w:color w:val="000000"/>
                <w:kern w:val="0"/>
                <w:sz w:val="18"/>
                <w:szCs w:val="18"/>
              </w:rPr>
              <w:fldChar w:fldCharType="end"/>
            </w:r>
          </w:p>
        </w:tc>
        <w:tc>
          <w:tcPr>
            <w:tcW w:w="69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鹿城区</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温州市鹿城区小南路与马鞍池西路交叉口往西</w:t>
            </w:r>
            <w:r>
              <w:rPr>
                <w:rFonts w:ascii="宋体" w:hAnsi="宋体" w:cs="宋体"/>
                <w:color w:val="000000"/>
                <w:kern w:val="0"/>
                <w:sz w:val="18"/>
                <w:szCs w:val="18"/>
              </w:rPr>
              <w:t>100米</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53</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42</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8-28</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38600</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1000</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2023.12.30</w:t>
            </w:r>
          </w:p>
        </w:tc>
      </w:tr>
      <w:tr>
        <w:tblPrEx>
          <w:tblCellMar>
            <w:top w:w="0" w:type="dxa"/>
            <w:left w:w="0" w:type="dxa"/>
            <w:bottom w:w="0" w:type="dxa"/>
            <w:right w:w="0" w:type="dxa"/>
          </w:tblCellMar>
        </w:tblPrEx>
        <w:trPr>
          <w:trHeight w:val="541"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98"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120</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522" w:hRule="atLeast"/>
        </w:trPr>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38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b/>
                <w:color w:val="000000"/>
                <w:kern w:val="0"/>
                <w:sz w:val="18"/>
                <w:szCs w:val="18"/>
              </w:rPr>
              <w:fldChar w:fldCharType="begin"/>
            </w:r>
            <w:r>
              <w:rPr>
                <w:rFonts w:ascii="宋体" w:hAnsi="宋体" w:cs="宋体"/>
                <w:b/>
                <w:color w:val="000000"/>
                <w:kern w:val="0"/>
                <w:sz w:val="18"/>
                <w:szCs w:val="18"/>
              </w:rPr>
              <w:instrText xml:space="preserve"> HYPERLINK "http://zjj.wenzhou.gov.cn/art/2021/1/11/art_1229473604_58923204.html" </w:instrText>
            </w:r>
            <w:r>
              <w:rPr>
                <w:rFonts w:ascii="宋体" w:hAnsi="宋体" w:cs="宋体"/>
                <w:b/>
                <w:color w:val="000000"/>
                <w:kern w:val="0"/>
                <w:sz w:val="18"/>
                <w:szCs w:val="18"/>
              </w:rPr>
              <w:fldChar w:fldCharType="separate"/>
            </w:r>
            <w:r>
              <w:rPr>
                <w:rStyle w:val="8"/>
                <w:rFonts w:ascii="宋体" w:hAnsi="宋体" w:cs="宋体"/>
                <w:b/>
                <w:color w:val="000000"/>
                <w:kern w:val="0"/>
                <w:sz w:val="18"/>
                <w:szCs w:val="18"/>
              </w:rPr>
              <w:t>华鸿·翠语麓园</w:t>
            </w:r>
            <w:r>
              <w:rPr>
                <w:rFonts w:ascii="宋体" w:hAnsi="宋体" w:cs="宋体"/>
                <w:b/>
                <w:color w:val="000000"/>
                <w:kern w:val="0"/>
                <w:sz w:val="18"/>
                <w:szCs w:val="18"/>
              </w:rPr>
              <w:fldChar w:fldCharType="end"/>
            </w:r>
          </w:p>
        </w:tc>
        <w:tc>
          <w:tcPr>
            <w:tcW w:w="69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鹿城区</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温州市鹿城区翠微大道与南山路交汇处</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75</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bookmarkStart w:id="0" w:name="_GoBack"/>
            <w:bookmarkEnd w:id="0"/>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1-25</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r>
              <w:rPr>
                <w:rFonts w:ascii="宋体" w:hAnsi="宋体" w:cs="宋体"/>
                <w:color w:val="000000"/>
                <w:sz w:val="18"/>
                <w:szCs w:val="18"/>
              </w:rPr>
              <w:t>19453</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1500</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2023.11.30</w:t>
            </w:r>
          </w:p>
        </w:tc>
      </w:tr>
      <w:tr>
        <w:tblPrEx>
          <w:tblCellMar>
            <w:top w:w="0" w:type="dxa"/>
            <w:left w:w="0" w:type="dxa"/>
            <w:bottom w:w="0" w:type="dxa"/>
            <w:right w:w="0" w:type="dxa"/>
          </w:tblCellMar>
        </w:tblPrEx>
        <w:trPr>
          <w:trHeight w:val="742"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98"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120</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65" w:hRule="atLeast"/>
        </w:trPr>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38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b/>
                <w:color w:val="000000"/>
                <w:kern w:val="0"/>
                <w:sz w:val="18"/>
                <w:szCs w:val="18"/>
              </w:rPr>
              <w:fldChar w:fldCharType="begin"/>
            </w:r>
            <w:r>
              <w:rPr>
                <w:rFonts w:hint="eastAsia" w:ascii="宋体" w:hAnsi="宋体" w:cs="宋体"/>
                <w:b/>
                <w:color w:val="000000"/>
                <w:kern w:val="0"/>
                <w:sz w:val="18"/>
                <w:szCs w:val="18"/>
              </w:rPr>
              <w:instrText xml:space="preserve"> HYPERLINK "http://zjj.wenzhou.gov.cn/art/2021/1/11/art_1229473604_58923205.html" </w:instrText>
            </w:r>
            <w:r>
              <w:rPr>
                <w:rFonts w:hint="eastAsia" w:ascii="宋体" w:hAnsi="宋体" w:cs="宋体"/>
                <w:b/>
                <w:color w:val="000000"/>
                <w:kern w:val="0"/>
                <w:sz w:val="18"/>
                <w:szCs w:val="18"/>
              </w:rPr>
              <w:fldChar w:fldCharType="separate"/>
            </w:r>
            <w:r>
              <w:rPr>
                <w:rStyle w:val="8"/>
                <w:rFonts w:hint="eastAsia" w:ascii="宋体" w:hAnsi="宋体" w:cs="宋体"/>
                <w:b/>
                <w:color w:val="000000"/>
                <w:kern w:val="0"/>
                <w:sz w:val="18"/>
                <w:szCs w:val="18"/>
              </w:rPr>
              <w:t>宝龙地产·麓台里</w:t>
            </w:r>
            <w:r>
              <w:rPr>
                <w:rFonts w:hint="eastAsia" w:ascii="宋体" w:hAnsi="宋体" w:cs="宋体"/>
                <w:b/>
                <w:color w:val="000000"/>
                <w:kern w:val="0"/>
                <w:sz w:val="18"/>
                <w:szCs w:val="18"/>
              </w:rPr>
              <w:fldChar w:fldCharType="end"/>
            </w:r>
          </w:p>
        </w:tc>
        <w:tc>
          <w:tcPr>
            <w:tcW w:w="69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鹿城区</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温州市鹿城区广化桥路与过境路交口未来城壹号</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128</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104</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5-6</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r>
              <w:rPr>
                <w:rFonts w:ascii="宋体" w:hAnsi="宋体" w:cs="宋体"/>
                <w:color w:val="000000"/>
                <w:sz w:val="18"/>
                <w:szCs w:val="18"/>
              </w:rPr>
              <w:t>30068</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2550</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2024.4.30</w:t>
            </w:r>
          </w:p>
        </w:tc>
      </w:tr>
      <w:tr>
        <w:tblPrEx>
          <w:tblCellMar>
            <w:top w:w="0" w:type="dxa"/>
            <w:left w:w="0" w:type="dxa"/>
            <w:bottom w:w="0" w:type="dxa"/>
            <w:right w:w="0" w:type="dxa"/>
          </w:tblCellMar>
        </w:tblPrEx>
        <w:trPr>
          <w:trHeight w:val="465"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98" w:type="dxa"/>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abs>
                <w:tab w:val="center" w:pos="4153"/>
                <w:tab w:val="right" w:pos="8306"/>
              </w:tabs>
              <w:snapToGrid w:val="0"/>
              <w:jc w:val="center"/>
              <w:textAlignment w:val="center"/>
              <w:rPr>
                <w:rFonts w:ascii="宋体" w:hAnsi="宋体" w:cs="宋体"/>
                <w:color w:val="000000"/>
                <w:sz w:val="18"/>
                <w:szCs w:val="18"/>
              </w:rPr>
            </w:pPr>
            <w:r>
              <w:rPr>
                <w:rFonts w:ascii="宋体" w:hAnsi="宋体" w:cs="宋体"/>
                <w:color w:val="000000"/>
                <w:kern w:val="0"/>
                <w:sz w:val="18"/>
                <w:szCs w:val="18"/>
              </w:rPr>
              <w:t>83</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abs>
                <w:tab w:val="center" w:pos="4153"/>
                <w:tab w:val="right" w:pos="8306"/>
              </w:tabs>
              <w:snapToGrid w:val="0"/>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abs>
                <w:tab w:val="center" w:pos="4153"/>
                <w:tab w:val="right" w:pos="8306"/>
              </w:tabs>
              <w:snapToGrid w:val="0"/>
              <w:jc w:val="center"/>
              <w:textAlignment w:val="center"/>
              <w:rPr>
                <w:rFonts w:ascii="宋体" w:hAnsi="宋体" w:cs="宋体"/>
                <w:color w:val="000000"/>
                <w:sz w:val="18"/>
                <w:szCs w:val="18"/>
              </w:rPr>
            </w:pPr>
            <w:r>
              <w:rPr>
                <w:rFonts w:ascii="宋体" w:hAnsi="宋体" w:cs="宋体"/>
                <w:color w:val="000000"/>
                <w:kern w:val="0"/>
                <w:sz w:val="18"/>
                <w:szCs w:val="18"/>
              </w:rPr>
              <w:t>2-27</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65"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98" w:type="dxa"/>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120</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33</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65"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98"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140</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65" w:hRule="atLeast"/>
        </w:trPr>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38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b/>
                <w:color w:val="000000"/>
                <w:kern w:val="0"/>
                <w:sz w:val="18"/>
                <w:szCs w:val="18"/>
              </w:rPr>
              <w:fldChar w:fldCharType="begin"/>
            </w:r>
            <w:r>
              <w:rPr>
                <w:rFonts w:hint="eastAsia" w:ascii="宋体" w:hAnsi="宋体" w:cs="宋体"/>
                <w:b/>
                <w:color w:val="000000"/>
                <w:kern w:val="0"/>
                <w:sz w:val="18"/>
                <w:szCs w:val="18"/>
              </w:rPr>
              <w:instrText xml:space="preserve"> HYPERLINK "http://zjj.wenzhou.gov.cn/art/2021/1/11/art_1229473604_58923206.html" </w:instrText>
            </w:r>
            <w:r>
              <w:rPr>
                <w:rFonts w:hint="eastAsia" w:ascii="宋体" w:hAnsi="宋体" w:cs="宋体"/>
                <w:b/>
                <w:color w:val="000000"/>
                <w:kern w:val="0"/>
                <w:sz w:val="18"/>
                <w:szCs w:val="18"/>
              </w:rPr>
              <w:fldChar w:fldCharType="separate"/>
            </w:r>
            <w:r>
              <w:rPr>
                <w:rStyle w:val="8"/>
                <w:rFonts w:hint="eastAsia" w:ascii="宋体" w:hAnsi="宋体" w:cs="宋体"/>
                <w:b/>
                <w:color w:val="000000"/>
                <w:kern w:val="0"/>
                <w:sz w:val="18"/>
                <w:szCs w:val="18"/>
              </w:rPr>
              <w:t>新城控股·未来城壹号如意里</w:t>
            </w:r>
            <w:r>
              <w:rPr>
                <w:rFonts w:hint="eastAsia" w:ascii="宋体" w:hAnsi="宋体" w:cs="宋体"/>
                <w:b/>
                <w:color w:val="000000"/>
                <w:kern w:val="0"/>
                <w:sz w:val="18"/>
                <w:szCs w:val="18"/>
              </w:rPr>
              <w:fldChar w:fldCharType="end"/>
            </w:r>
          </w:p>
        </w:tc>
        <w:tc>
          <w:tcPr>
            <w:tcW w:w="69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龙湾区</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温州市温州大道与上江路交叉口向东</w:t>
            </w:r>
            <w:r>
              <w:rPr>
                <w:rFonts w:ascii="宋体" w:hAnsi="宋体" w:cs="宋体"/>
                <w:color w:val="000000"/>
                <w:kern w:val="0"/>
                <w:sz w:val="18"/>
                <w:szCs w:val="18"/>
              </w:rPr>
              <w:t>200米</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10-1</w:t>
            </w:r>
            <w:r>
              <w:rPr>
                <w:rFonts w:hint="eastAsia" w:ascii="宋体" w:hAnsi="宋体" w:cs="宋体"/>
                <w:color w:val="000000"/>
                <w:kern w:val="0"/>
                <w:sz w:val="18"/>
                <w:szCs w:val="18"/>
              </w:rPr>
              <w:t>6</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r>
              <w:rPr>
                <w:rFonts w:ascii="宋体" w:hAnsi="宋体" w:cs="宋体"/>
                <w:color w:val="000000"/>
                <w:sz w:val="18"/>
                <w:szCs w:val="18"/>
              </w:rPr>
              <w:t>27800</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2500</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2023.12</w:t>
            </w:r>
            <w:r>
              <w:rPr>
                <w:rFonts w:hint="eastAsia" w:ascii="宋体" w:hAnsi="宋体" w:cs="宋体"/>
                <w:color w:val="000000"/>
                <w:kern w:val="0"/>
                <w:sz w:val="18"/>
                <w:szCs w:val="18"/>
              </w:rPr>
              <w:t>．25</w:t>
            </w:r>
          </w:p>
        </w:tc>
      </w:tr>
      <w:tr>
        <w:tblPrEx>
          <w:tblCellMar>
            <w:top w:w="0" w:type="dxa"/>
            <w:left w:w="0" w:type="dxa"/>
            <w:bottom w:w="0" w:type="dxa"/>
            <w:right w:w="0" w:type="dxa"/>
          </w:tblCellMar>
        </w:tblPrEx>
        <w:trPr>
          <w:trHeight w:val="465"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98" w:type="dxa"/>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120</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556"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98"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140</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65" w:hRule="atLeast"/>
        </w:trPr>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38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b/>
                <w:color w:val="000000"/>
                <w:kern w:val="0"/>
                <w:sz w:val="18"/>
                <w:szCs w:val="18"/>
              </w:rPr>
              <w:fldChar w:fldCharType="begin"/>
            </w:r>
            <w:r>
              <w:rPr>
                <w:rFonts w:hint="eastAsia" w:ascii="宋体" w:hAnsi="宋体" w:cs="宋体"/>
                <w:b/>
                <w:color w:val="000000"/>
                <w:kern w:val="0"/>
                <w:sz w:val="18"/>
                <w:szCs w:val="18"/>
              </w:rPr>
              <w:instrText xml:space="preserve"> HYPERLINK "http://zjj.wenzhou.gov.cn/art/2021/1/11/art_1229473604_58923207.html" </w:instrText>
            </w:r>
            <w:r>
              <w:rPr>
                <w:rFonts w:hint="eastAsia" w:ascii="宋体" w:hAnsi="宋体" w:cs="宋体"/>
                <w:b/>
                <w:color w:val="000000"/>
                <w:kern w:val="0"/>
                <w:sz w:val="18"/>
                <w:szCs w:val="18"/>
              </w:rPr>
              <w:fldChar w:fldCharType="separate"/>
            </w:r>
            <w:r>
              <w:rPr>
                <w:rStyle w:val="7"/>
                <w:rFonts w:hint="eastAsia" w:ascii="宋体" w:hAnsi="宋体" w:cs="宋体"/>
                <w:b/>
                <w:color w:val="000000"/>
                <w:kern w:val="0"/>
                <w:sz w:val="18"/>
                <w:szCs w:val="18"/>
              </w:rPr>
              <w:t>龙湖·龙誉辰园</w:t>
            </w:r>
            <w:r>
              <w:rPr>
                <w:rFonts w:hint="eastAsia" w:ascii="宋体" w:hAnsi="宋体" w:cs="宋体"/>
                <w:b/>
                <w:color w:val="000000"/>
                <w:kern w:val="0"/>
                <w:sz w:val="18"/>
                <w:szCs w:val="18"/>
              </w:rPr>
              <w:fldChar w:fldCharType="end"/>
            </w:r>
          </w:p>
        </w:tc>
        <w:tc>
          <w:tcPr>
            <w:tcW w:w="69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瓯海区</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温州市瓯海区南湖路与龙霞路交叉口</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172</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98</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120</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1-27</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23755</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2400/ 4200</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（可选毛坯交付）</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2023.6.30</w:t>
            </w:r>
          </w:p>
        </w:tc>
      </w:tr>
      <w:tr>
        <w:tblPrEx>
          <w:tblCellMar>
            <w:top w:w="0" w:type="dxa"/>
            <w:left w:w="0" w:type="dxa"/>
            <w:bottom w:w="0" w:type="dxa"/>
            <w:right w:w="0" w:type="dxa"/>
          </w:tblCellMar>
        </w:tblPrEx>
        <w:trPr>
          <w:trHeight w:val="465"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98" w:type="dxa"/>
            <w:vMerge w:val="continue"/>
            <w:tcBorders>
              <w:left w:val="single" w:color="000000" w:sz="4" w:space="0"/>
              <w:right w:val="single" w:color="000000" w:sz="4" w:space="0"/>
            </w:tcBorders>
          </w:tcPr>
          <w:p>
            <w:pPr>
              <w:jc w:val="center"/>
              <w:rPr>
                <w:rFonts w:ascii="宋体" w:hAnsi="宋体" w:cs="宋体"/>
                <w:color w:val="000000"/>
                <w:sz w:val="18"/>
                <w:szCs w:val="18"/>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125</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32</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65"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98" w:type="dxa"/>
            <w:vMerge w:val="continue"/>
            <w:tcBorders>
              <w:left w:val="single" w:color="000000" w:sz="4" w:space="0"/>
              <w:right w:val="single" w:color="000000" w:sz="4" w:space="0"/>
            </w:tcBorders>
          </w:tcPr>
          <w:p>
            <w:pPr>
              <w:jc w:val="center"/>
              <w:rPr>
                <w:rFonts w:ascii="宋体" w:hAnsi="宋体" w:cs="宋体"/>
                <w:color w:val="000000"/>
                <w:sz w:val="18"/>
                <w:szCs w:val="18"/>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98</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2-22</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65"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98" w:type="dxa"/>
            <w:vMerge w:val="continue"/>
            <w:tcBorders>
              <w:left w:val="single" w:color="000000" w:sz="4" w:space="0"/>
              <w:right w:val="single" w:color="000000" w:sz="4" w:space="0"/>
            </w:tcBorders>
          </w:tcPr>
          <w:p>
            <w:pPr>
              <w:jc w:val="center"/>
              <w:rPr>
                <w:rFonts w:ascii="宋体" w:hAnsi="宋体" w:cs="宋体"/>
                <w:color w:val="000000"/>
                <w:sz w:val="18"/>
                <w:szCs w:val="18"/>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125</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564" w:hRule="atLeast"/>
        </w:trPr>
        <w:tc>
          <w:tcPr>
            <w:tcW w:w="39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8"/>
                <w:szCs w:val="18"/>
              </w:rPr>
            </w:pPr>
            <w:r>
              <w:rPr>
                <w:rFonts w:hint="eastAsia" w:ascii="宋体" w:hAnsi="宋体" w:cs="宋体"/>
                <w:b/>
                <w:color w:val="000000"/>
                <w:sz w:val="18"/>
                <w:szCs w:val="18"/>
              </w:rPr>
              <w:t>合    计</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000000"/>
                <w:sz w:val="18"/>
                <w:szCs w:val="18"/>
              </w:rPr>
            </w:pPr>
            <w:r>
              <w:rPr>
                <w:rFonts w:hint="eastAsia" w:ascii="宋体" w:hAnsi="宋体" w:cs="宋体"/>
                <w:b/>
                <w:color w:val="000000"/>
                <w:sz w:val="18"/>
                <w:szCs w:val="18"/>
              </w:rPr>
              <w:t>477</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18"/>
                <w:szCs w:val="18"/>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477</w:t>
            </w:r>
          </w:p>
        </w:tc>
        <w:tc>
          <w:tcPr>
            <w:tcW w:w="35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bl>
    <w:p>
      <w:pPr>
        <w:spacing w:line="560" w:lineRule="exact"/>
        <w:ind w:firstLine="640" w:firstLineChars="200"/>
        <w:rPr>
          <w:rFonts w:ascii="黑体" w:hAnsi="黑体" w:eastAsia="黑体" w:cs="黑体"/>
          <w:color w:val="000000"/>
          <w:sz w:val="32"/>
          <w:szCs w:val="32"/>
        </w:rPr>
      </w:pPr>
      <w:r>
        <w:rPr>
          <w:rFonts w:hint="eastAsia" w:ascii="黑体" w:hAnsi="黑体" w:eastAsia="黑体"/>
          <w:color w:val="000000"/>
          <w:sz w:val="32"/>
          <w:szCs w:val="32"/>
        </w:rPr>
        <w:t>二、</w:t>
      </w:r>
      <w:r>
        <w:rPr>
          <w:rFonts w:hint="eastAsia" w:ascii="黑体" w:hAnsi="黑体" w:eastAsia="黑体" w:cs="黑体"/>
          <w:color w:val="000000"/>
          <w:sz w:val="32"/>
          <w:szCs w:val="32"/>
        </w:rPr>
        <w:t>优惠价格</w:t>
      </w:r>
    </w:p>
    <w:p>
      <w:pPr>
        <w:pStyle w:val="4"/>
        <w:widowControl/>
        <w:spacing w:before="0" w:beforeAutospacing="0" w:after="0" w:afterAutospacing="0" w:line="560" w:lineRule="exact"/>
        <w:ind w:firstLine="640" w:firstLineChars="200"/>
        <w:jc w:val="both"/>
        <w:rPr>
          <w:rFonts w:ascii="仿宋_GB2312" w:eastAsia="仿宋_GB2312" w:cs="仿宋_GB2312"/>
          <w:color w:val="000000"/>
          <w:kern w:val="2"/>
          <w:sz w:val="32"/>
          <w:szCs w:val="32"/>
        </w:rPr>
      </w:pPr>
      <w:r>
        <w:rPr>
          <w:rFonts w:hint="eastAsia" w:ascii="仿宋_GB2312" w:eastAsia="仿宋_GB2312" w:cs="仿宋_GB2312"/>
          <w:color w:val="000000"/>
          <w:kern w:val="2"/>
          <w:sz w:val="32"/>
          <w:szCs w:val="32"/>
        </w:rPr>
        <w:t>（一）申购人按人才层次类别享受相应面积和折扣优惠。B类和C类人才配售面积为140平方米，购买价格为备案价的50%；D类和E类人才配售面积为120平方米，购买价格为备案价的60%；全日制本科等其他类人才配售面积为90平方米，购买价格为备案价的70%。</w:t>
      </w:r>
    </w:p>
    <w:p>
      <w:pPr>
        <w:pStyle w:val="4"/>
        <w:widowControl/>
        <w:spacing w:before="0" w:beforeAutospacing="0" w:after="0" w:afterAutospacing="0" w:line="560" w:lineRule="exact"/>
        <w:ind w:firstLine="640" w:firstLineChars="200"/>
        <w:jc w:val="both"/>
        <w:rPr>
          <w:rFonts w:ascii="仿宋_GB2312" w:eastAsia="仿宋_GB2312" w:cs="仿宋_GB2312"/>
          <w:color w:val="000000"/>
          <w:kern w:val="2"/>
          <w:sz w:val="32"/>
          <w:szCs w:val="32"/>
        </w:rPr>
      </w:pPr>
      <w:r>
        <w:rPr>
          <w:rFonts w:hint="eastAsia" w:ascii="仿宋_GB2312" w:eastAsia="仿宋_GB2312" w:cs="仿宋_GB2312"/>
          <w:color w:val="000000"/>
          <w:kern w:val="2"/>
          <w:sz w:val="32"/>
          <w:szCs w:val="32"/>
        </w:rPr>
        <w:t>（二）申购人选购的配售房源户型面积少于申购人所属层次类别配售面积标准时，不再给予任何形式的补差。申购人选购的配售预售商品房房源面积超过申购人所属层次类别配售面积标准的，超出面积部分按照预售方案计收购房款。</w:t>
      </w:r>
    </w:p>
    <w:p>
      <w:pPr>
        <w:pStyle w:val="4"/>
        <w:widowControl/>
        <w:spacing w:before="0" w:beforeAutospacing="0" w:after="0" w:afterAutospacing="0" w:line="560" w:lineRule="exact"/>
        <w:ind w:firstLine="640" w:firstLineChars="200"/>
        <w:jc w:val="both"/>
        <w:rPr>
          <w:rFonts w:ascii="仿宋_GB2312" w:eastAsia="仿宋_GB2312" w:cs="仿宋_GB2312"/>
          <w:color w:val="000000"/>
          <w:kern w:val="2"/>
          <w:sz w:val="32"/>
          <w:szCs w:val="32"/>
        </w:rPr>
      </w:pPr>
      <w:r>
        <w:rPr>
          <w:rFonts w:hint="eastAsia" w:ascii="仿宋_GB2312" w:eastAsia="仿宋_GB2312" w:cs="仿宋_GB2312"/>
          <w:color w:val="000000"/>
          <w:kern w:val="2"/>
          <w:sz w:val="32"/>
          <w:szCs w:val="32"/>
        </w:rPr>
        <w:t>（三）</w:t>
      </w:r>
      <w:r>
        <w:rPr>
          <w:rFonts w:hint="eastAsia" w:ascii="仿宋_GB2312" w:hAnsi="仿宋_GB2312" w:eastAsia="仿宋_GB2312" w:cs="仿宋_GB2312"/>
          <w:color w:val="000000"/>
          <w:sz w:val="32"/>
          <w:szCs w:val="32"/>
        </w:rPr>
        <w:t>阳光城·檀境里、华鸿·翠语麓园、宝龙地产·麓台里、新城控股·如意里项目：</w:t>
      </w:r>
      <w:r>
        <w:rPr>
          <w:rFonts w:hint="eastAsia" w:ascii="仿宋_GB2312" w:eastAsia="仿宋_GB2312" w:cs="仿宋_GB2312"/>
          <w:color w:val="000000"/>
          <w:kern w:val="2"/>
          <w:sz w:val="32"/>
          <w:szCs w:val="32"/>
        </w:rPr>
        <w:t>（1）申购人选购的配售预售商品房房源面积超过申购人所属层次类别配售面积标准的，超出面积部分按照</w:t>
      </w:r>
      <w:r>
        <w:rPr>
          <w:rFonts w:hint="eastAsia" w:ascii="仿宋_GB2312" w:hAnsi="华文仿宋" w:eastAsia="仿宋_GB2312" w:cs="仿宋_GB2312"/>
          <w:color w:val="000000"/>
          <w:sz w:val="32"/>
          <w:szCs w:val="32"/>
        </w:rPr>
        <w:t>备案价</w:t>
      </w:r>
      <w:r>
        <w:rPr>
          <w:rFonts w:hint="eastAsia" w:ascii="仿宋_GB2312" w:eastAsia="仿宋_GB2312" w:cs="仿宋_GB2312"/>
          <w:color w:val="000000"/>
          <w:kern w:val="2"/>
          <w:sz w:val="32"/>
          <w:szCs w:val="32"/>
        </w:rPr>
        <w:t>计收购房款。</w:t>
      </w:r>
      <w:r>
        <w:rPr>
          <w:rFonts w:hint="eastAsia" w:ascii="仿宋_GB2312" w:hAnsi="华文仿宋" w:eastAsia="仿宋_GB2312" w:cs="仿宋_GB2312"/>
          <w:color w:val="000000"/>
          <w:sz w:val="32"/>
          <w:szCs w:val="32"/>
        </w:rPr>
        <w:t>（2）夫妻双方均符合配售条件的，主申购人选购的房源面积超过申购人所属层次类别配售面积标准的按以下方式计算购房款：配售房源面积未超出主申购人上一层次类别配售面积标准的，超出面积部分按夫妻较低的层次类别折扣标准计收购房款；超出上一层次人才类别配售面积标准的，超出上一层次配售标准面积部分按照备案价计收购房款。</w:t>
      </w:r>
      <w:r>
        <w:rPr>
          <w:rFonts w:hint="eastAsia" w:ascii="仿宋_GB2312" w:eastAsia="仿宋_GB2312" w:cs="仿宋_GB2312"/>
          <w:color w:val="000000"/>
          <w:kern w:val="2"/>
          <w:sz w:val="32"/>
          <w:szCs w:val="32"/>
        </w:rPr>
        <w:t>（3）根据《浙江省人民政府办公厅关于推进绿色建筑和建筑工业化发展的实施意见》和《浙江省人民政府办公厅关于加快推进住宅全装修工作的指导意见》等</w:t>
      </w:r>
      <w:r>
        <w:rPr>
          <w:rFonts w:ascii="仿宋_GB2312" w:eastAsia="仿宋_GB2312" w:cs="仿宋_GB2312"/>
          <w:color w:val="000000"/>
          <w:kern w:val="2"/>
          <w:sz w:val="32"/>
          <w:szCs w:val="32"/>
        </w:rPr>
        <w:t>相关文件</w:t>
      </w:r>
      <w:r>
        <w:rPr>
          <w:rFonts w:hint="eastAsia" w:ascii="仿宋_GB2312" w:eastAsia="仿宋_GB2312" w:cs="仿宋_GB2312"/>
          <w:color w:val="000000"/>
          <w:kern w:val="2"/>
          <w:sz w:val="32"/>
          <w:szCs w:val="32"/>
        </w:rPr>
        <w:t>的</w:t>
      </w:r>
      <w:r>
        <w:rPr>
          <w:rFonts w:ascii="仿宋_GB2312" w:eastAsia="仿宋_GB2312" w:cs="仿宋_GB2312"/>
          <w:color w:val="000000"/>
          <w:kern w:val="2"/>
          <w:sz w:val="32"/>
          <w:szCs w:val="32"/>
        </w:rPr>
        <w:t>规定，</w:t>
      </w:r>
      <w:r>
        <w:rPr>
          <w:rFonts w:hint="eastAsia" w:ascii="仿宋_GB2312" w:eastAsia="仿宋_GB2312" w:cs="仿宋_GB2312"/>
          <w:color w:val="000000"/>
          <w:kern w:val="2"/>
          <w:sz w:val="32"/>
          <w:szCs w:val="32"/>
        </w:rPr>
        <w:t>此4个项目为全装修住房，装修标准由配售人才按照预售方案明确的装修标准自行选择确定，装修费用由配售人才个人承担。</w:t>
      </w:r>
    </w:p>
    <w:p>
      <w:pPr>
        <w:pStyle w:val="4"/>
        <w:widowControl/>
        <w:spacing w:before="0" w:beforeAutospacing="0" w:after="0" w:afterAutospacing="0" w:line="560" w:lineRule="exact"/>
        <w:ind w:firstLine="800" w:firstLineChars="250"/>
        <w:jc w:val="both"/>
        <w:rPr>
          <w:rFonts w:ascii="仿宋_GB2312" w:eastAsia="仿宋_GB2312" w:cs="仿宋_GB2312"/>
          <w:color w:val="000000"/>
          <w:kern w:val="2"/>
          <w:sz w:val="32"/>
          <w:szCs w:val="32"/>
        </w:rPr>
      </w:pPr>
      <w:r>
        <w:rPr>
          <w:rFonts w:hint="eastAsia" w:ascii="仿宋_GB2312" w:eastAsia="仿宋_GB2312" w:cs="仿宋_GB2312"/>
          <w:color w:val="000000"/>
          <w:kern w:val="2"/>
          <w:sz w:val="32"/>
          <w:szCs w:val="32"/>
        </w:rPr>
        <w:t>（四）龙湖·</w:t>
      </w:r>
      <w:r>
        <w:rPr>
          <w:rFonts w:ascii="仿宋_GB2312" w:eastAsia="仿宋_GB2312" w:cs="仿宋_GB2312"/>
          <w:color w:val="000000"/>
          <w:kern w:val="2"/>
          <w:sz w:val="32"/>
          <w:szCs w:val="32"/>
        </w:rPr>
        <w:t>龙誉辰园项目</w:t>
      </w:r>
      <w:r>
        <w:rPr>
          <w:rFonts w:hint="eastAsia" w:ascii="仿宋_GB2312" w:eastAsia="仿宋_GB2312" w:cs="仿宋_GB2312"/>
          <w:color w:val="000000"/>
          <w:kern w:val="2"/>
          <w:sz w:val="32"/>
          <w:szCs w:val="32"/>
        </w:rPr>
        <w:t>：（1）申购人选购的配售预售商品房房源面积超过申购人所属层次类别配售面积标准，申购人以办理按揭贷款支付购房款的，超出面积部分享受9.5折优惠；申购人一次性全额支付购房款的，超出面积部分享受9折优惠。（2）夫妻双方均符合配售条件的，主申购人选购的配售预售商品房房源面积超过申购人所属层次类别配售面积标准的按以下方式计算购房款：配售房源面积未超出主申购人上一层次类别配售面积标准的，超出面积部分按夫妻较低的层次类别折扣标准计收购房款；超出上一层次人才类别配售面积标准的，超出上一层次配售标准面积部分按照预售方案确定的优惠折扣计收购房款。（3）此项目人才住房为全装修住房，可选择毛坯交付自行装修。装修标准由配售人才按照预售方案明确的装修标准自行选择确定，装修费用由配售人才个人承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简小标宋">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0785C"/>
    <w:rsid w:val="04084E0B"/>
    <w:rsid w:val="205C0235"/>
    <w:rsid w:val="4150785C"/>
    <w:rsid w:val="66043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Calibri" w:hAnsi="Calibri" w:eastAsia="文星简小标宋"/>
      <w:sz w:val="44"/>
      <w:szCs w:val="20"/>
    </w:rPr>
  </w:style>
  <w:style w:type="paragraph" w:styleId="3">
    <w:name w:val="Body Text"/>
    <w:basedOn w:val="1"/>
    <w:next w:val="2"/>
    <w:qFormat/>
    <w:uiPriority w:val="99"/>
    <w:pPr>
      <w:ind w:left="111"/>
    </w:pPr>
    <w:rPr>
      <w:rFonts w:ascii="仿宋_GB2312" w:hAnsi="仿宋_GB2312" w:eastAsia="仿宋_GB2312" w:cs="仿宋_GB2312"/>
      <w:sz w:val="31"/>
      <w:szCs w:val="31"/>
      <w:lang w:val="zh-CN" w:bidi="zh-CN"/>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FollowedHyperlink"/>
    <w:basedOn w:val="6"/>
    <w:uiPriority w:val="0"/>
    <w:rPr>
      <w:color w:val="800080"/>
      <w:u w:val="single"/>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2021-03-24T08:28:00Z</dcterms:created>
  <dc:creator>明天</dc:creator>
  <cp:lastModifiedBy>明天</cp:lastModifiedBy>
  <dcterms:modified xsi:type="dcterms:W3CDTF">2021-03-25T00:27:14Z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