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/>
        </w:rPr>
        <w:t>5</w:t>
      </w:r>
    </w:p>
    <w:p>
      <w:pPr>
        <w:adjustRightInd w:val="0"/>
        <w:snapToGrid w:val="0"/>
        <w:spacing w:line="570" w:lineRule="exact"/>
        <w:jc w:val="center"/>
        <w:outlineLvl w:val="0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温州市人才住房租售并举实施办法</w:t>
      </w:r>
    </w:p>
    <w:p>
      <w:pPr>
        <w:adjustRightInd w:val="0"/>
        <w:snapToGrid w:val="0"/>
        <w:spacing w:line="570" w:lineRule="exact"/>
        <w:jc w:val="center"/>
        <w:outlineLvl w:val="0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贡献积分指标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根据《温州市人才住房租售并举实施办法》（温委办发〔</w:t>
      </w:r>
      <w:r>
        <w:rPr>
          <w:rFonts w:hint="eastAsia" w:eastAsia="仿宋_GB2312" w:cs="仿宋_GB2312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仿宋_GB2312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号）第四条规定要求，现设定中小学（幼儿园）、医疗卫生机构人才贡献积分指标及分值，具体如下：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一、贡献成果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（采取积分制，可叠加计分）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.论文类：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第一作者或通讯作者发表</w:t>
      </w:r>
      <w:r>
        <w:rPr>
          <w:rFonts w:hint="eastAsia" w:ascii="Times New Roman" w:eastAsia="仿宋_GB2312" w:cs="仿宋_GB2312"/>
          <w:sz w:val="32"/>
          <w:szCs w:val="32"/>
        </w:rPr>
        <w:t>SCI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、</w:t>
      </w:r>
      <w:r>
        <w:rPr>
          <w:rFonts w:hint="eastAsia" w:ascii="Times New Roman" w:eastAsia="仿宋_GB2312" w:cs="仿宋_GB2312"/>
          <w:sz w:val="32"/>
          <w:szCs w:val="32"/>
        </w:rPr>
        <w:t>SSCI</w:t>
      </w:r>
      <w:r>
        <w:rPr>
          <w:rFonts w:hint="eastAsia" w:ascii="仿宋_GB2312" w:hAnsi="仿宋_GB2312" w:eastAsia="仿宋_GB2312" w:cs="仿宋_GB2312"/>
          <w:sz w:val="32"/>
          <w:szCs w:val="32"/>
        </w:rPr>
        <w:t>一区收录论文（或《中国社会科学》《新华文摘》全文转载）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篇计</w:t>
      </w:r>
      <w:r>
        <w:rPr>
          <w:rFonts w:hint="eastAsia" w:ascii="Times New Roman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Times New Roman" w:eastAsia="仿宋_GB2312" w:cs="仿宋_GB2312"/>
          <w:sz w:val="32"/>
          <w:szCs w:val="32"/>
        </w:rPr>
        <w:t>SCI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Times New Roman" w:eastAsia="仿宋_GB2312" w:cs="仿宋_GB2312"/>
          <w:sz w:val="32"/>
          <w:szCs w:val="32"/>
        </w:rPr>
        <w:t>SSCI</w:t>
      </w:r>
      <w:r>
        <w:rPr>
          <w:rFonts w:hint="eastAsia" w:ascii="仿宋_GB2312" w:hAnsi="仿宋_GB2312" w:eastAsia="仿宋_GB2312" w:cs="仿宋_GB2312"/>
          <w:sz w:val="32"/>
          <w:szCs w:val="32"/>
        </w:rPr>
        <w:t>二区收录论文（或</w:t>
      </w:r>
      <w:r>
        <w:rPr>
          <w:rFonts w:hint="eastAsia" w:ascii="Times New Roman" w:eastAsia="仿宋_GB2312" w:cs="仿宋_GB2312"/>
          <w:sz w:val="32"/>
          <w:szCs w:val="32"/>
        </w:rPr>
        <w:t>AHCI</w:t>
      </w:r>
      <w:r>
        <w:rPr>
          <w:rFonts w:hint="eastAsia" w:ascii="仿宋_GB2312" w:hAnsi="仿宋_GB2312" w:eastAsia="仿宋_GB2312" w:cs="仿宋_GB2312"/>
          <w:sz w:val="32"/>
          <w:szCs w:val="32"/>
        </w:rPr>
        <w:t>源期刊、浙大标准人文社科类权威期刊论文）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篇计</w:t>
      </w:r>
      <w:r>
        <w:rPr>
          <w:rFonts w:hint="eastAsia" w:ascii="Times New Roman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Times New Roman" w:eastAsia="仿宋_GB2312" w:cs="仿宋_GB2312"/>
          <w:sz w:val="32"/>
          <w:szCs w:val="32"/>
        </w:rPr>
        <w:t>SCI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Times New Roman" w:eastAsia="仿宋_GB2312" w:cs="仿宋_GB2312"/>
          <w:sz w:val="32"/>
          <w:szCs w:val="32"/>
        </w:rPr>
        <w:t>SSCI</w:t>
      </w:r>
      <w:r>
        <w:rPr>
          <w:rFonts w:hint="eastAsia" w:ascii="仿宋_GB2312" w:hAnsi="仿宋_GB2312" w:eastAsia="仿宋_GB2312" w:cs="仿宋_GB2312"/>
          <w:sz w:val="32"/>
          <w:szCs w:val="32"/>
        </w:rPr>
        <w:t>三区收录论文（或浙大标准人文社科类一级期刊论文）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篇计</w:t>
      </w:r>
      <w:r>
        <w:rPr>
          <w:rFonts w:hint="eastAsia" w:ascii="Times New Roman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hint="eastAsia" w:ascii="Times New Roman" w:eastAsia="仿宋_GB2312" w:cs="仿宋_GB2312"/>
          <w:sz w:val="32"/>
          <w:szCs w:val="32"/>
        </w:rPr>
        <w:t>SCI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Times New Roman" w:eastAsia="仿宋_GB2312" w:cs="仿宋_GB2312"/>
          <w:sz w:val="32"/>
          <w:szCs w:val="32"/>
        </w:rPr>
        <w:t>SSCI</w:t>
      </w:r>
      <w:r>
        <w:rPr>
          <w:rFonts w:hint="eastAsia" w:ascii="仿宋_GB2312" w:hAnsi="仿宋_GB2312" w:eastAsia="仿宋_GB2312" w:cs="仿宋_GB2312"/>
          <w:sz w:val="32"/>
          <w:szCs w:val="32"/>
        </w:rPr>
        <w:t>四区收录论文（或</w:t>
      </w:r>
      <w:r>
        <w:rPr>
          <w:rFonts w:hint="eastAsia" w:ascii="Times New Roman" w:eastAsia="仿宋_GB2312" w:cs="仿宋_GB2312"/>
          <w:sz w:val="32"/>
          <w:szCs w:val="32"/>
        </w:rPr>
        <w:t>CSSC</w:t>
      </w:r>
      <w:r>
        <w:rPr>
          <w:rFonts w:hint="eastAsia" w:ascii="仿宋_GB2312" w:hAnsi="仿宋_GB2312" w:eastAsia="仿宋_GB2312" w:cs="仿宋_GB2312"/>
          <w:sz w:val="32"/>
          <w:szCs w:val="32"/>
        </w:rPr>
        <w:t>Ⅰ来源期刊论文）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篇计</w:t>
      </w:r>
      <w:r>
        <w:rPr>
          <w:rFonts w:hint="eastAsia" w:asci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.专利类：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授权发明专利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项计</w:t>
      </w:r>
      <w:r>
        <w:rPr>
          <w:rFonts w:hint="eastAsia" w:ascii="Times New Roman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分，授权实用新型专利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项计</w:t>
      </w:r>
      <w:r>
        <w:rPr>
          <w:rFonts w:hint="eastAsia" w:ascii="Times New Roman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分，授权外观设计专利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项计</w:t>
      </w:r>
      <w:r>
        <w:rPr>
          <w:rFonts w:hint="eastAsia" w:asci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分，计算机软件著作权登记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项计</w:t>
      </w:r>
      <w:r>
        <w:rPr>
          <w:rFonts w:hint="eastAsia" w:asci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楷体" w:cs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.课题类：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主持国家级科研项目计</w:t>
      </w:r>
      <w:r>
        <w:rPr>
          <w:rFonts w:hint="eastAsia" w:ascii="Times New Roman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分、省部级科研项目计 </w:t>
      </w:r>
      <w:r>
        <w:rPr>
          <w:rFonts w:hint="eastAsia" w:ascii="Times New Roman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分、市厅级重大科研项目计</w:t>
      </w:r>
      <w:r>
        <w:rPr>
          <w:rFonts w:hint="eastAsia" w:ascii="Times New Roman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分、市厅级一般项目计</w:t>
      </w:r>
      <w:r>
        <w:rPr>
          <w:rFonts w:hint="eastAsia" w:asci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分，参与国家级重大、重点科研项目(排名前</w:t>
      </w:r>
      <w:r>
        <w:rPr>
          <w:rFonts w:hint="eastAsia" w:asci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位)计</w:t>
      </w:r>
      <w:r>
        <w:rPr>
          <w:rFonts w:hint="eastAsia" w:ascii="Times New Roman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分，课题类不包括会议资助项目和自筹项目；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楷体" w:cs="楷体"/>
          <w:sz w:val="32"/>
          <w:szCs w:val="32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.标准类：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为主制修订国际标准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项计</w:t>
      </w:r>
      <w:r>
        <w:rPr>
          <w:rFonts w:hint="eastAsia" w:ascii="Times New Roman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分、国家标准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项计</w:t>
      </w:r>
      <w:r>
        <w:rPr>
          <w:rFonts w:hint="eastAsia" w:ascii="Times New Roman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分、行业标准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项计</w:t>
      </w:r>
      <w:r>
        <w:rPr>
          <w:rFonts w:hint="eastAsia" w:asci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分，参与制修订积分减半计算；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.奖项类：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市级及以上科学技术重大贡献奖、技术发明奖、科学技术进步奖一等奖、二等奖、三等奖获得者（前</w:t>
      </w:r>
      <w:r>
        <w:rPr>
          <w:rFonts w:hint="eastAsia" w:asci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完成人）计</w:t>
      </w:r>
      <w:r>
        <w:rPr>
          <w:rFonts w:hint="eastAsia" w:ascii="Times New Roman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楷体" w:cs="楷体"/>
          <w:sz w:val="32"/>
          <w:szCs w:val="32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.考核类：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近五年年度考核等次优秀</w:t>
      </w: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次计</w:t>
      </w:r>
      <w:r>
        <w:rPr>
          <w:rFonts w:hint="eastAsia" w:ascii="Times New Roman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楷体" w:cs="楷体"/>
          <w:sz w:val="32"/>
          <w:szCs w:val="32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.其他类：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技术转让项目技术交易额累计达到</w:t>
      </w:r>
      <w:r>
        <w:rPr>
          <w:rFonts w:hint="eastAsia" w:asci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万及以上计</w:t>
      </w:r>
      <w:r>
        <w:rPr>
          <w:rFonts w:hint="eastAsia" w:ascii="Times New Roman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二、荣誉称号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（采取达标制，获得一项即计</w:t>
      </w:r>
      <w:r>
        <w:rPr>
          <w:rFonts w:hint="eastAsia" w:ascii="Times New Roman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分）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.县级及以上“劳动模范”“模范”“五一劳动奖”；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全国、省奥林匹克竞赛金牌获得者指导教师，省级“优秀教师”“优秀班主任”“优秀教育工作者”，市级及以上“师德楷模”“春蚕奖”“农村教师突出贡献奖”“学科骨干教师”，市“尊重教育、尊重人才突出贡献个人”，县级及以上“名师”“名班主任”“名校长”“教坛新秀”“教坛中坚”“教坛宿将”，以及经县级及以上教育部门认定的相当层次荣誉称号获得者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“国医大师”“国家卫生计生突出贡献中青年专家”，温州市“瓯越名医”，县级及以上“名院长”“名医师”“名中医”“医坛新秀”“医德模范”“先进护理工作者”“优秀家庭医生”“最美温州人·最美医生护士”“十佳医生护士”，以及经县级及以上卫健部门认定的相当层次荣誉称号获得者。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三、学历职称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（采取附加分制，选择一个项目计分）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.毕业于国内“双一流”建设高校（学科）计</w:t>
      </w:r>
      <w:r>
        <w:rPr>
          <w:rFonts w:hint="eastAsia" w:ascii="Times New Roman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4"/>
        <w:spacing w:before="0" w:beforeAutospacing="0" w:after="0" w:afterAutospacing="0" w:line="570" w:lineRule="exact"/>
        <w:ind w:firstLine="632" w:firstLineChars="200"/>
        <w:jc w:val="both"/>
        <w:rPr>
          <w:rFonts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Times New Roman" w:eastAsia="仿宋_GB2312" w:cs="仿宋_GB2312"/>
          <w:spacing w:val="-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.毕业于泰晤士高等教育世界大学排名前</w:t>
      </w:r>
      <w:r>
        <w:rPr>
          <w:rFonts w:hint="eastAsia" w:ascii="Times New Roman" w:eastAsia="仿宋_GB2312" w:cs="仿宋_GB2312"/>
          <w:spacing w:val="-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高校计</w:t>
      </w:r>
      <w:r>
        <w:rPr>
          <w:rFonts w:hint="eastAsia" w:ascii="Times New Roman" w:eastAsia="仿宋_GB2312" w:cs="仿宋_GB2312"/>
          <w:spacing w:val="-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分；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.取得全日制硕士研究生学历计</w:t>
      </w:r>
      <w:r>
        <w:rPr>
          <w:rFonts w:hint="eastAsia" w:ascii="Times New Roman" w:eastAsia="仿宋_GB2312" w:cs="仿宋_GB2312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.在医疗卫生机构工作取得副高以上职称计</w:t>
      </w:r>
      <w:r>
        <w:rPr>
          <w:rFonts w:hint="eastAsia" w:ascii="Times New Roman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4"/>
        <w:spacing w:before="0" w:beforeAutospacing="0" w:after="0" w:afterAutospacing="0" w:line="570" w:lineRule="exact"/>
        <w:ind w:firstLine="640" w:firstLineChars="200"/>
        <w:jc w:val="both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在中小学（幼儿园）工作，取得中级及以上职称计</w:t>
      </w:r>
      <w:r>
        <w:rPr>
          <w:rFonts w:hint="eastAsia" w:ascii="Times New Roman" w:eastAsia="仿宋_GB2312" w:cs="仿宋_GB2312"/>
          <w:spacing w:val="-4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分。</w:t>
      </w: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72F8"/>
    <w:rsid w:val="03D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3">
    <w:name w:val="Body Text"/>
    <w:basedOn w:val="1"/>
    <w:next w:val="2"/>
    <w:qFormat/>
    <w:uiPriority w:val="99"/>
    <w:pPr>
      <w:ind w:left="111"/>
    </w:pPr>
    <w:rPr>
      <w:rFonts w:ascii="仿宋_GB2312" w:hAnsi="仿宋_GB2312" w:eastAsia="仿宋_GB2312" w:cs="仿宋_GB2312"/>
      <w:sz w:val="31"/>
      <w:szCs w:val="31"/>
      <w:lang w:val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2021-03-24T08:35:00Z</dcterms:created>
  <dc:creator>明天</dc:creator>
  <cp:lastModifiedBy>明天</cp:lastModifiedBy>
  <dcterms:modified xsi:type="dcterms:W3CDTF">2021-03-24T08:35:30Z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