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50" w:afterLines="50"/>
        <w:ind w:left="280" w:leftChars="100" w:right="280" w:rightChars="100"/>
        <w:jc w:val="center"/>
        <w:rPr>
          <w:rFonts w:eastAsia="方正小标宋简体"/>
          <w:spacing w:val="-4"/>
          <w:kern w:val="0"/>
          <w:sz w:val="44"/>
          <w:szCs w:val="44"/>
          <w:lang w:val="zh-CN"/>
        </w:rPr>
      </w:pPr>
      <w:r>
        <w:rPr>
          <w:rFonts w:hint="eastAsia" w:eastAsia="方正小标宋简体" w:cs="方正小标宋简体"/>
          <w:spacing w:val="-4"/>
          <w:kern w:val="0"/>
          <w:sz w:val="44"/>
          <w:szCs w:val="44"/>
          <w:lang w:val="zh-CN"/>
        </w:rPr>
        <w:t>岱山县“无废城市”建设工作实施方案</w:t>
      </w:r>
    </w:p>
    <w:p>
      <w:pPr>
        <w:autoSpaceDE w:val="0"/>
        <w:autoSpaceDN w:val="0"/>
        <w:adjustRightInd w:val="0"/>
        <w:spacing w:afterLines="100"/>
        <w:ind w:left="280" w:leftChars="100" w:right="280" w:rightChars="100"/>
        <w:jc w:val="center"/>
        <w:rPr>
          <w:rFonts w:eastAsia="方正小标宋简体"/>
          <w:spacing w:val="-4"/>
          <w:kern w:val="0"/>
          <w:sz w:val="44"/>
          <w:szCs w:val="44"/>
          <w:lang w:val="zh-CN"/>
        </w:rPr>
      </w:pPr>
      <w:r>
        <w:rPr>
          <w:rFonts w:hint="eastAsia" w:eastAsia="方正小标宋简体" w:cs="方正小标宋简体"/>
          <w:spacing w:val="-4"/>
          <w:kern w:val="0"/>
          <w:sz w:val="44"/>
          <w:szCs w:val="44"/>
          <w:lang w:val="zh-CN"/>
        </w:rPr>
        <w:t>（意见征求稿）</w:t>
      </w:r>
    </w:p>
    <w:p>
      <w:pPr>
        <w:spacing w:beforeLines="50"/>
        <w:ind w:firstLine="640" w:firstLineChars="200"/>
        <w:rPr>
          <w:rFonts w:ascii="仿宋"/>
          <w:sz w:val="32"/>
          <w:szCs w:val="32"/>
        </w:rPr>
      </w:pPr>
      <w:r>
        <w:rPr>
          <w:rFonts w:hint="eastAsia" w:eastAsia="仿宋_GB2312" w:cs="仿宋_GB2312"/>
          <w:sz w:val="32"/>
          <w:szCs w:val="32"/>
        </w:rPr>
        <w:t>为深入贯彻《国务院办公厅关于印发“无废城市”建设试点工作方案的通知》</w:t>
      </w:r>
      <w:r>
        <w:rPr>
          <w:rFonts w:hint="eastAsia" w:ascii="仿宋" w:hAnsi="仿宋" w:cs="仿宋"/>
          <w:sz w:val="32"/>
          <w:szCs w:val="32"/>
        </w:rPr>
        <w:t>（国办发〔</w:t>
      </w:r>
      <w:r>
        <w:rPr>
          <w:rFonts w:ascii="仿宋" w:hAnsi="仿宋" w:cs="仿宋"/>
          <w:sz w:val="32"/>
          <w:szCs w:val="32"/>
        </w:rPr>
        <w:t>2018</w:t>
      </w:r>
      <w:r>
        <w:rPr>
          <w:rFonts w:hint="eastAsia" w:ascii="仿宋" w:hAnsi="仿宋" w:cs="仿宋"/>
          <w:sz w:val="32"/>
          <w:szCs w:val="32"/>
        </w:rPr>
        <w:t>〕</w:t>
      </w:r>
      <w:r>
        <w:rPr>
          <w:rFonts w:ascii="仿宋" w:hAnsi="仿宋" w:cs="仿宋"/>
          <w:sz w:val="32"/>
          <w:szCs w:val="32"/>
        </w:rPr>
        <w:t>128</w:t>
      </w:r>
      <w:r>
        <w:rPr>
          <w:rFonts w:hint="eastAsia" w:ascii="仿宋" w:hAnsi="仿宋" w:cs="仿宋"/>
          <w:sz w:val="32"/>
          <w:szCs w:val="32"/>
        </w:rPr>
        <w:t>号）、《浙江省人民政府关于印发浙江省全域</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建设工作方案的通知》（浙政办发〔</w:t>
      </w:r>
      <w:r>
        <w:rPr>
          <w:rFonts w:ascii="仿宋" w:hAnsi="仿宋" w:cs="仿宋"/>
          <w:sz w:val="32"/>
          <w:szCs w:val="32"/>
        </w:rPr>
        <w:t>2020</w:t>
      </w:r>
      <w:r>
        <w:rPr>
          <w:rFonts w:hint="eastAsia" w:ascii="仿宋" w:hAnsi="仿宋" w:cs="仿宋"/>
          <w:sz w:val="32"/>
          <w:szCs w:val="32"/>
        </w:rPr>
        <w:t>〕</w:t>
      </w:r>
      <w:r>
        <w:rPr>
          <w:rFonts w:ascii="仿宋" w:hAnsi="仿宋" w:cs="仿宋"/>
          <w:sz w:val="32"/>
          <w:szCs w:val="32"/>
        </w:rPr>
        <w:t>2</w:t>
      </w:r>
      <w:r>
        <w:rPr>
          <w:rFonts w:hint="eastAsia" w:ascii="仿宋" w:hAnsi="仿宋" w:cs="仿宋"/>
          <w:sz w:val="32"/>
          <w:szCs w:val="32"/>
        </w:rPr>
        <w:t>号）、《浙江省全域“无废城市”建设管理规程》（浙土壤办〔</w:t>
      </w:r>
      <w:r>
        <w:rPr>
          <w:rFonts w:ascii="仿宋" w:hAnsi="仿宋" w:cs="仿宋"/>
          <w:sz w:val="32"/>
          <w:szCs w:val="32"/>
        </w:rPr>
        <w:t>2020</w:t>
      </w:r>
      <w:r>
        <w:rPr>
          <w:rFonts w:hint="eastAsia" w:ascii="仿宋" w:hAnsi="仿宋" w:cs="仿宋"/>
          <w:sz w:val="32"/>
          <w:szCs w:val="32"/>
        </w:rPr>
        <w:t>〕</w:t>
      </w:r>
      <w:r>
        <w:rPr>
          <w:rFonts w:ascii="仿宋" w:hAnsi="仿宋" w:cs="仿宋"/>
          <w:sz w:val="32"/>
          <w:szCs w:val="32"/>
        </w:rPr>
        <w:t>1</w:t>
      </w:r>
      <w:r>
        <w:rPr>
          <w:rFonts w:hint="eastAsia" w:ascii="仿宋" w:hAnsi="仿宋" w:cs="仿宋"/>
          <w:sz w:val="32"/>
          <w:szCs w:val="32"/>
        </w:rPr>
        <w:t>号）及《舟山市</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建设工作实施方案》等文件精神，推动全县开展全域“无废城市”建设，特制定本方案。</w:t>
      </w:r>
    </w:p>
    <w:p>
      <w:pPr>
        <w:pStyle w:val="2"/>
        <w:numPr>
          <w:ilvl w:val="0"/>
          <w:numId w:val="1"/>
        </w:numPr>
        <w:ind w:left="641" w:firstLine="0" w:firstLineChars="0"/>
        <w:rPr>
          <w:rFonts w:ascii="仿宋" w:hAnsi="仿宋" w:eastAsia="仿宋"/>
          <w:b/>
          <w:bCs/>
          <w:sz w:val="36"/>
          <w:szCs w:val="36"/>
        </w:rPr>
      </w:pPr>
      <w:r>
        <w:rPr>
          <w:rFonts w:hint="eastAsia" w:ascii="仿宋" w:hAnsi="仿宋" w:eastAsia="仿宋" w:cs="仿宋"/>
          <w:b/>
          <w:bCs/>
          <w:sz w:val="36"/>
          <w:szCs w:val="36"/>
        </w:rPr>
        <w:t>总体要求</w:t>
      </w:r>
    </w:p>
    <w:p>
      <w:pPr>
        <w:ind w:firstLine="640" w:firstLineChars="200"/>
        <w:rPr>
          <w:rFonts w:ascii="仿宋"/>
          <w:sz w:val="32"/>
          <w:szCs w:val="32"/>
        </w:rPr>
      </w:pPr>
      <w:r>
        <w:rPr>
          <w:rFonts w:hint="eastAsia" w:ascii="仿宋" w:hAnsi="仿宋" w:cs="仿宋"/>
          <w:sz w:val="32"/>
          <w:szCs w:val="32"/>
        </w:rPr>
        <w:t>（一）工作目标。以创新、协调、绿色、开放、共享五大发展理念为指导，以“精细管理、联防联治、创新驱动”为方向，以全域“无废城市”建设为契机，全面践行绿色生产和生活方式，精心绘就“重要窗口”最美海岛风景的生态底色，助力推进舟山海岛大花园建设，积极开创美丽中国“海岛样板”的新局面。力争</w:t>
      </w:r>
      <w:r>
        <w:rPr>
          <w:rFonts w:ascii="仿宋" w:hAnsi="仿宋" w:cs="仿宋"/>
          <w:sz w:val="32"/>
          <w:szCs w:val="32"/>
        </w:rPr>
        <w:t>2021</w:t>
      </w:r>
      <w:r>
        <w:rPr>
          <w:rFonts w:hint="eastAsia" w:ascii="仿宋" w:hAnsi="仿宋" w:cs="仿宋"/>
          <w:sz w:val="32"/>
          <w:szCs w:val="32"/>
        </w:rPr>
        <w:t>年完成“无废城市”建设，基本实现产废无增长、资源无浪费、设施无缺口、监管无盲区、保障无缺位、固废无倾倒、废水无直排、废气无臭味的总体目标。</w:t>
      </w:r>
    </w:p>
    <w:p>
      <w:pPr>
        <w:ind w:firstLine="640" w:firstLineChars="200"/>
        <w:jc w:val="left"/>
        <w:rPr>
          <w:rFonts w:ascii="仿宋"/>
          <w:sz w:val="32"/>
          <w:szCs w:val="32"/>
        </w:rPr>
      </w:pPr>
      <w:r>
        <w:rPr>
          <w:rFonts w:hint="eastAsia" w:ascii="仿宋" w:hAnsi="仿宋" w:cs="仿宋"/>
          <w:sz w:val="32"/>
          <w:szCs w:val="32"/>
        </w:rPr>
        <w:t>（二）工作内容。注重制度创新，努力构建政府引领、企业主体、公众参与的共建共享机制，形成权责明晰、分工协作、齐抓共管的管理格局。加快能力建设，发展污染物从产生到处理全过程、全方位的产业链，促进污染防治产业做大做强。培育“无废”理念，努力形成资源节约、环境友好的生产方式和简约适度、绿色低碳的生活方式。</w:t>
      </w:r>
    </w:p>
    <w:p>
      <w:pPr>
        <w:pStyle w:val="2"/>
        <w:ind w:firstLine="31680"/>
        <w:rPr>
          <w:rFonts w:ascii="仿宋" w:hAnsi="仿宋" w:eastAsia="仿宋"/>
          <w:b/>
          <w:bCs/>
          <w:sz w:val="36"/>
          <w:szCs w:val="36"/>
        </w:rPr>
      </w:pPr>
      <w:r>
        <w:rPr>
          <w:rFonts w:hint="eastAsia" w:ascii="仿宋" w:hAnsi="仿宋" w:eastAsia="仿宋" w:cs="仿宋"/>
          <w:b/>
          <w:bCs/>
          <w:sz w:val="36"/>
          <w:szCs w:val="36"/>
        </w:rPr>
        <w:t>二、工作任务</w:t>
      </w:r>
    </w:p>
    <w:p>
      <w:pPr>
        <w:pStyle w:val="3"/>
        <w:spacing w:before="0"/>
        <w:ind w:firstLine="31680"/>
        <w:rPr>
          <w:rFonts w:ascii="仿宋" w:hAnsi="仿宋" w:eastAsia="仿宋"/>
          <w:b/>
          <w:bCs/>
          <w:sz w:val="32"/>
          <w:szCs w:val="32"/>
        </w:rPr>
      </w:pPr>
      <w:r>
        <w:rPr>
          <w:rFonts w:hint="eastAsia" w:ascii="仿宋" w:hAnsi="仿宋" w:eastAsia="仿宋" w:cs="仿宋"/>
          <w:b/>
          <w:bCs/>
          <w:sz w:val="32"/>
          <w:szCs w:val="32"/>
        </w:rPr>
        <w:t>（一）强化顶层设计引领，发挥政府宏观指导作用</w:t>
      </w:r>
    </w:p>
    <w:p>
      <w:pPr>
        <w:ind w:firstLine="640" w:firstLineChars="200"/>
        <w:rPr>
          <w:rFonts w:ascii="仿宋"/>
          <w:sz w:val="32"/>
          <w:szCs w:val="32"/>
        </w:rPr>
      </w:pPr>
      <w:r>
        <w:rPr>
          <w:rFonts w:hint="eastAsia" w:ascii="仿宋" w:hAnsi="仿宋" w:cs="仿宋"/>
          <w:sz w:val="32"/>
          <w:szCs w:val="32"/>
        </w:rPr>
        <w:t>部门协同推进，深化管理措施。通过高位推动带领城市建设，组建由县主要领导、各局办、各乡镇主要负责人组成的</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建设工作领导小组，明确县政府作为创建工作的责任主体，形成日常管理、定期会议、重点巡视等监督机制。制定考核办法，将</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建设成效纳入年度目标责任制考核。（</w:t>
      </w:r>
      <w:r>
        <w:rPr>
          <w:rFonts w:hint="eastAsia" w:ascii="仿宋" w:hAnsi="仿宋" w:cs="仿宋"/>
          <w:b/>
          <w:bCs/>
          <w:sz w:val="32"/>
          <w:szCs w:val="32"/>
        </w:rPr>
        <w:t>责任单位：县政府办公室；配合单位：县“无废城市”建设工作领导小组及其成员单位</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明确责任分工，制订政策性文件。明确全县各类固体废物在产生、收集、转移、利用、处置等环节，以及在资金投入、技术推广、标准制订、监管执法等领域的部门职责边界，形成分工明确、权责明晰、协同增效的综合管理体制机制。各相关部门根据自身职责、制订相关政策性文件。（</w:t>
      </w:r>
      <w:r>
        <w:rPr>
          <w:rFonts w:hint="eastAsia" w:ascii="仿宋" w:hAnsi="仿宋" w:cs="仿宋"/>
          <w:b/>
          <w:bCs/>
          <w:sz w:val="32"/>
          <w:szCs w:val="32"/>
        </w:rPr>
        <w:t>责任单位：县政府办公室；配合单位：县“无废城市”建设工作领导小组及其成员单位</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依托已有规划，多方协调推进。试行将</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纳入网格化服务管理，把</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建设责任落到实处。围绕我县</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建设工作目标，制定</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建设实施方案。协同各项规划建设内容，有效提高</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建设效率。（</w:t>
      </w:r>
      <w:r>
        <w:rPr>
          <w:rFonts w:hint="eastAsia" w:ascii="仿宋" w:hAnsi="仿宋" w:cs="仿宋"/>
          <w:b/>
          <w:bCs/>
          <w:sz w:val="32"/>
          <w:szCs w:val="32"/>
        </w:rPr>
        <w:t>责任单位：县政府办公室；配合单位：县“无废城市”建设工作领导小组及其成员单位</w:t>
      </w:r>
      <w:r>
        <w:rPr>
          <w:rFonts w:hint="eastAsia" w:ascii="仿宋" w:hAnsi="仿宋" w:cs="仿宋"/>
          <w:sz w:val="32"/>
          <w:szCs w:val="32"/>
        </w:rPr>
        <w:t>）</w:t>
      </w:r>
    </w:p>
    <w:p>
      <w:pPr>
        <w:pStyle w:val="3"/>
        <w:spacing w:before="0"/>
        <w:ind w:firstLine="31680"/>
        <w:rPr>
          <w:rFonts w:ascii="仿宋" w:hAnsi="仿宋" w:eastAsia="仿宋"/>
          <w:b/>
          <w:bCs/>
          <w:sz w:val="32"/>
          <w:szCs w:val="32"/>
        </w:rPr>
      </w:pPr>
      <w:r>
        <w:rPr>
          <w:rFonts w:hint="eastAsia" w:ascii="仿宋" w:hAnsi="仿宋" w:eastAsia="仿宋" w:cs="仿宋"/>
          <w:b/>
          <w:bCs/>
          <w:sz w:val="32"/>
          <w:szCs w:val="32"/>
        </w:rPr>
        <w:t>（二）践行绿色发展理念，推动工业固体废物全过程管控</w:t>
      </w:r>
    </w:p>
    <w:p>
      <w:pPr>
        <w:ind w:firstLine="640" w:firstLineChars="200"/>
        <w:rPr>
          <w:rFonts w:ascii="仿宋"/>
          <w:sz w:val="32"/>
          <w:szCs w:val="32"/>
        </w:rPr>
      </w:pPr>
      <w:r>
        <w:rPr>
          <w:rFonts w:hint="eastAsia" w:ascii="仿宋" w:hAnsi="仿宋" w:cs="仿宋"/>
          <w:sz w:val="32"/>
          <w:szCs w:val="32"/>
        </w:rPr>
        <w:t>抓好工业固体废物源头减量管理。鼓励工业固体废物产生量大的企业在场内开展综合利用处置；提高废水回用比例，强化废水分质分流处理，从源头减少污泥产生。（</w:t>
      </w:r>
      <w:r>
        <w:rPr>
          <w:rFonts w:hint="eastAsia" w:ascii="仿宋" w:hAnsi="仿宋" w:cs="仿宋"/>
          <w:b/>
          <w:bCs/>
          <w:sz w:val="32"/>
          <w:szCs w:val="32"/>
        </w:rPr>
        <w:t>责任单位：县发改局；配合单位：市生态环境局岱山分局、</w:t>
      </w:r>
      <w:r>
        <w:rPr>
          <w:rFonts w:hint="eastAsia" w:cs="仿宋"/>
          <w:b/>
          <w:bCs/>
          <w:sz w:val="32"/>
          <w:szCs w:val="32"/>
        </w:rPr>
        <w:t>岱山经济开发区管委会</w:t>
      </w:r>
      <w:r>
        <w:rPr>
          <w:rFonts w:hint="eastAsia" w:ascii="仿宋" w:hAnsi="仿宋" w:cs="仿宋"/>
          <w:sz w:val="32"/>
          <w:szCs w:val="32"/>
        </w:rPr>
        <w:t>）大力推进企业清洁生产，推动经济开发区循环化改造。（</w:t>
      </w:r>
      <w:r>
        <w:rPr>
          <w:rFonts w:hint="eastAsia" w:ascii="仿宋" w:hAnsi="仿宋" w:cs="仿宋"/>
          <w:b/>
          <w:bCs/>
          <w:sz w:val="32"/>
          <w:szCs w:val="32"/>
        </w:rPr>
        <w:t>责任单位：县经信局、市生态环境局岱山分局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加快形成绿色生产方式。推动循环型工业、生态农业、现代服务业发展，构建循环经济产业链。（</w:t>
      </w:r>
      <w:r>
        <w:rPr>
          <w:rFonts w:hint="eastAsia" w:ascii="仿宋" w:hAnsi="仿宋" w:cs="仿宋"/>
          <w:b/>
          <w:bCs/>
          <w:sz w:val="32"/>
          <w:szCs w:val="32"/>
        </w:rPr>
        <w:t>责任单位：县发改局、市生态环境局岱山分局、县农业农村局；配合单位：县经信局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提高工业固体废物规范化分类贮存。落实一般工业固体废物源头管理和强制分类制度，严禁固体废物纳入生活垃圾收运体系，督促企业做好固体废物产生种类、属性、数量、去向等信息填报。增强工业危险废物分类贮存规范化管理水平，全面提升危险废物规范化管理达标率。（</w:t>
      </w:r>
      <w:r>
        <w:rPr>
          <w:rFonts w:hint="eastAsia" w:ascii="仿宋" w:hAnsi="仿宋" w:cs="仿宋"/>
          <w:b/>
          <w:bCs/>
          <w:sz w:val="32"/>
          <w:szCs w:val="32"/>
        </w:rPr>
        <w:t>责任单位：市生态环境局岱山分局牵头；配合单位：县经信局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建立完善的工业固体废物收治体系。建立健全精准化源头分类、专业化二次分拣、智能化高效清运、最大化资源利用、集中化统一处置的工业固体废物收治体系。（</w:t>
      </w:r>
      <w:r>
        <w:rPr>
          <w:rFonts w:hint="eastAsia" w:ascii="仿宋" w:hAnsi="仿宋" w:cs="仿宋"/>
          <w:b/>
          <w:bCs/>
          <w:sz w:val="32"/>
          <w:szCs w:val="32"/>
        </w:rPr>
        <w:t>责任单位：县经信局、市生态环境局岱山分局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加大危险废物转运环节管控力度。加强运输车辆和从业人员管理，严格执行危险废物转移交接记录制度。对特定危险废物，鼓励探索危险废物运输管理新模式，允许在城市建成区内采用满足防扬散、防遗撒、防渗漏要求的运输方式。（</w:t>
      </w:r>
      <w:r>
        <w:rPr>
          <w:rFonts w:hint="eastAsia" w:ascii="仿宋" w:hAnsi="仿宋" w:cs="仿宋"/>
          <w:b/>
          <w:bCs/>
          <w:sz w:val="32"/>
          <w:szCs w:val="32"/>
        </w:rPr>
        <w:t>责任单位：县交通运输局（港航分局）、公安分局；配合单位：市生态环境局岱山分局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加强对危险废物转运处置的疏堵结合，保障省市内危险废物合法转移。原则上废油漆桶、废矿物油和含矿物油类危险废物等省市内处置能力富余量较大的不出省，填埋类以及经利用处置后新产生须填埋的危险废物不入县。（</w:t>
      </w:r>
      <w:r>
        <w:rPr>
          <w:rFonts w:hint="eastAsia" w:ascii="仿宋" w:hAnsi="仿宋" w:cs="仿宋"/>
          <w:b/>
          <w:bCs/>
          <w:sz w:val="32"/>
          <w:szCs w:val="32"/>
        </w:rPr>
        <w:t>责任单位：市生态环境局岱山分局；配合单位：县交通运输局（港航分局）</w:t>
      </w:r>
      <w:r>
        <w:rPr>
          <w:rFonts w:hint="eastAsia" w:ascii="仿宋" w:hAnsi="仿宋" w:cs="仿宋"/>
          <w:sz w:val="32"/>
          <w:szCs w:val="32"/>
        </w:rPr>
        <w:t>）</w:t>
      </w:r>
    </w:p>
    <w:p>
      <w:pPr>
        <w:ind w:firstLine="643"/>
        <w:rPr>
          <w:rFonts w:ascii="仿宋"/>
          <w:sz w:val="32"/>
          <w:szCs w:val="32"/>
        </w:rPr>
      </w:pPr>
      <w:r>
        <w:rPr>
          <w:rFonts w:hint="eastAsia" w:ascii="仿宋" w:hAnsi="仿宋" w:cs="仿宋"/>
          <w:sz w:val="32"/>
          <w:szCs w:val="32"/>
        </w:rPr>
        <w:t>大力拓宽工业固体废物综合利用渠道。大力发展循环经济，促进固体废物资源利用园区化、规模化和产业化。（</w:t>
      </w:r>
      <w:r>
        <w:rPr>
          <w:rFonts w:hint="eastAsia" w:ascii="仿宋" w:hAnsi="仿宋" w:cs="仿宋"/>
          <w:b/>
          <w:bCs/>
          <w:sz w:val="32"/>
          <w:szCs w:val="32"/>
        </w:rPr>
        <w:t>责任单位：县发改局；配合单位：</w:t>
      </w:r>
      <w:r>
        <w:rPr>
          <w:rFonts w:hint="eastAsia" w:cs="仿宋"/>
          <w:b/>
          <w:bCs/>
          <w:sz w:val="32"/>
          <w:szCs w:val="32"/>
        </w:rPr>
        <w:t>县经信局、市生态环境局岱山分局、岱山经济开发区管委会</w:t>
      </w:r>
      <w:r>
        <w:rPr>
          <w:rFonts w:hint="eastAsia" w:ascii="仿宋" w:hAnsi="仿宋" w:cs="仿宋"/>
          <w:sz w:val="32"/>
          <w:szCs w:val="32"/>
        </w:rPr>
        <w:t>）深入推进船舶修造等行业大宗工业固体废物综合利用及固体废物处理技术产业化推广。（</w:t>
      </w:r>
      <w:r>
        <w:rPr>
          <w:rFonts w:hint="eastAsia" w:ascii="仿宋" w:hAnsi="仿宋" w:cs="仿宋"/>
          <w:b/>
          <w:bCs/>
          <w:sz w:val="32"/>
          <w:szCs w:val="32"/>
        </w:rPr>
        <w:t>责任单位：县经信局；配合单位：市生态环境局岱山分局</w:t>
      </w:r>
      <w:r>
        <w:rPr>
          <w:rFonts w:hint="eastAsia" w:ascii="仿宋" w:hAnsi="仿宋" w:cs="仿宋"/>
          <w:sz w:val="32"/>
          <w:szCs w:val="32"/>
        </w:rPr>
        <w:t>）</w:t>
      </w:r>
    </w:p>
    <w:p>
      <w:pPr>
        <w:pStyle w:val="3"/>
        <w:spacing w:before="0"/>
        <w:ind w:firstLine="31680"/>
        <w:rPr>
          <w:rFonts w:ascii="仿宋" w:hAnsi="仿宋" w:eastAsia="仿宋"/>
          <w:b/>
          <w:bCs/>
          <w:sz w:val="32"/>
          <w:szCs w:val="32"/>
        </w:rPr>
      </w:pPr>
      <w:r>
        <w:rPr>
          <w:rFonts w:hint="eastAsia" w:ascii="仿宋" w:hAnsi="仿宋" w:eastAsia="仿宋" w:cs="仿宋"/>
          <w:b/>
          <w:bCs/>
          <w:sz w:val="32"/>
          <w:szCs w:val="32"/>
        </w:rPr>
        <w:t>（三）普及绿色生活方式，实现生活垃圾全方位分类处置</w:t>
      </w:r>
    </w:p>
    <w:p>
      <w:pPr>
        <w:ind w:firstLine="640" w:firstLineChars="200"/>
        <w:rPr>
          <w:rFonts w:ascii="仿宋"/>
          <w:sz w:val="32"/>
          <w:szCs w:val="32"/>
        </w:rPr>
      </w:pPr>
      <w:r>
        <w:rPr>
          <w:rFonts w:hint="eastAsia" w:ascii="仿宋" w:hAnsi="仿宋" w:cs="仿宋"/>
          <w:sz w:val="32"/>
          <w:szCs w:val="32"/>
        </w:rPr>
        <w:t>抓好生活垃圾源头减量管理。逐步推行生活垃圾处理收费制度，建立生活垃圾处理费用与产生量直接挂钩的差别化收费机制。（</w:t>
      </w:r>
      <w:r>
        <w:rPr>
          <w:rFonts w:hint="eastAsia" w:ascii="仿宋" w:hAnsi="仿宋" w:cs="仿宋"/>
          <w:b/>
          <w:bCs/>
          <w:sz w:val="32"/>
          <w:szCs w:val="32"/>
        </w:rPr>
        <w:t>责任单位：县发改局；配合单位：县综合行政执法局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加快形成绿色生活方式。推进快递包装绿色治理，提高符合标准的绿色包装材料应用比例。（</w:t>
      </w:r>
      <w:r>
        <w:rPr>
          <w:rFonts w:hint="eastAsia" w:ascii="仿宋" w:hAnsi="仿宋" w:cs="仿宋"/>
          <w:b/>
          <w:bCs/>
          <w:sz w:val="32"/>
          <w:szCs w:val="32"/>
        </w:rPr>
        <w:t>责任单位：市邮政管理局统一牵头</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全面实施生活垃圾强制分类。到</w:t>
      </w:r>
      <w:r>
        <w:rPr>
          <w:rFonts w:ascii="仿宋" w:hAnsi="仿宋" w:cs="仿宋"/>
          <w:sz w:val="32"/>
          <w:szCs w:val="32"/>
        </w:rPr>
        <w:t>2021</w:t>
      </w:r>
      <w:r>
        <w:rPr>
          <w:rFonts w:hint="eastAsia" w:ascii="仿宋" w:hAnsi="仿宋" w:cs="仿宋"/>
          <w:sz w:val="32"/>
          <w:szCs w:val="32"/>
        </w:rPr>
        <w:t>年，全县城乡生活垃圾分类基本实现全覆盖，累计建成省、县级高标准生活垃圾分类示范小区</w:t>
      </w:r>
      <w:r>
        <w:rPr>
          <w:rFonts w:ascii="仿宋" w:hAnsi="仿宋" w:cs="仿宋"/>
          <w:sz w:val="32"/>
          <w:szCs w:val="32"/>
        </w:rPr>
        <w:t>13</w:t>
      </w:r>
      <w:r>
        <w:rPr>
          <w:rFonts w:hint="eastAsia" w:ascii="仿宋" w:hAnsi="仿宋" w:cs="仿宋"/>
          <w:sz w:val="32"/>
          <w:szCs w:val="32"/>
        </w:rPr>
        <w:t>个以上。（</w:t>
      </w:r>
      <w:r>
        <w:rPr>
          <w:rFonts w:hint="eastAsia" w:ascii="仿宋" w:hAnsi="仿宋" w:cs="仿宋"/>
          <w:b/>
          <w:bCs/>
          <w:sz w:val="32"/>
          <w:szCs w:val="32"/>
        </w:rPr>
        <w:t>责任单位：县综合行政执法局、县农业农村局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加快推动生活垃圾资源化利用。推广城乡生活垃圾可回收物利用、生物处理等资源化利用方式。到</w:t>
      </w:r>
      <w:r>
        <w:rPr>
          <w:rFonts w:ascii="仿宋" w:hAnsi="仿宋" w:cs="仿宋"/>
          <w:sz w:val="32"/>
          <w:szCs w:val="32"/>
        </w:rPr>
        <w:t>2020</w:t>
      </w:r>
      <w:r>
        <w:rPr>
          <w:rFonts w:hint="eastAsia" w:ascii="仿宋" w:hAnsi="仿宋" w:cs="仿宋"/>
          <w:sz w:val="32"/>
          <w:szCs w:val="32"/>
        </w:rPr>
        <w:t>年底，全县力争培育</w:t>
      </w:r>
      <w:r>
        <w:rPr>
          <w:rFonts w:ascii="仿宋" w:hAnsi="仿宋" w:cs="仿宋"/>
          <w:sz w:val="32"/>
          <w:szCs w:val="32"/>
        </w:rPr>
        <w:t>1</w:t>
      </w:r>
      <w:r>
        <w:rPr>
          <w:rFonts w:hint="eastAsia" w:ascii="仿宋" w:hAnsi="仿宋" w:cs="仿宋"/>
          <w:sz w:val="32"/>
          <w:szCs w:val="32"/>
        </w:rPr>
        <w:t>家以上有实力的再生资源回收企业。（</w:t>
      </w:r>
      <w:r>
        <w:rPr>
          <w:rFonts w:hint="eastAsia" w:ascii="仿宋" w:hAnsi="仿宋" w:cs="仿宋"/>
          <w:b/>
          <w:bCs/>
          <w:sz w:val="32"/>
          <w:szCs w:val="32"/>
        </w:rPr>
        <w:t>责任单位：县经信局、县农业农村局、县综合行政执法局</w:t>
      </w:r>
      <w:r>
        <w:rPr>
          <w:rFonts w:hint="eastAsia" w:ascii="仿宋" w:hAnsi="仿宋" w:cs="仿宋"/>
          <w:sz w:val="32"/>
          <w:szCs w:val="32"/>
        </w:rPr>
        <w:t>）</w:t>
      </w:r>
    </w:p>
    <w:p>
      <w:pPr>
        <w:pStyle w:val="3"/>
        <w:numPr>
          <w:ilvl w:val="0"/>
          <w:numId w:val="2"/>
        </w:numPr>
        <w:spacing w:before="0"/>
        <w:ind w:firstLine="31680"/>
        <w:rPr>
          <w:rFonts w:ascii="仿宋" w:hAnsi="仿宋" w:eastAsia="仿宋"/>
          <w:b/>
          <w:bCs/>
          <w:sz w:val="32"/>
          <w:szCs w:val="32"/>
        </w:rPr>
      </w:pPr>
      <w:r>
        <w:rPr>
          <w:rFonts w:hint="eastAsia" w:ascii="仿宋" w:hAnsi="仿宋" w:eastAsia="仿宋" w:cs="仿宋"/>
          <w:b/>
          <w:bCs/>
          <w:sz w:val="32"/>
          <w:szCs w:val="32"/>
        </w:rPr>
        <w:t>建设宜居绿色城市，抓好建筑垃圾综合性资源化利用</w:t>
      </w:r>
    </w:p>
    <w:p>
      <w:pPr>
        <w:pStyle w:val="3"/>
        <w:numPr>
          <w:ilvl w:val="255"/>
          <w:numId w:val="0"/>
        </w:numPr>
        <w:spacing w:before="0"/>
        <w:ind w:firstLine="643"/>
        <w:rPr>
          <w:rFonts w:ascii="仿宋" w:hAnsi="仿宋" w:eastAsia="仿宋"/>
          <w:sz w:val="32"/>
          <w:szCs w:val="32"/>
        </w:rPr>
      </w:pPr>
      <w:r>
        <w:rPr>
          <w:rFonts w:hint="eastAsia" w:ascii="仿宋" w:hAnsi="仿宋" w:eastAsia="仿宋" w:cs="仿宋"/>
          <w:sz w:val="32"/>
          <w:szCs w:val="32"/>
        </w:rPr>
        <w:t>大力推广绿色建筑。推行绿色建造方式，提倡绿色构造、绿色施工、绿色室内装修。（</w:t>
      </w:r>
      <w:r>
        <w:rPr>
          <w:rFonts w:hint="eastAsia" w:ascii="仿宋" w:hAnsi="仿宋" w:eastAsia="仿宋" w:cs="仿宋"/>
          <w:b/>
          <w:bCs/>
          <w:sz w:val="32"/>
          <w:szCs w:val="32"/>
        </w:rPr>
        <w:t>责任单位：县住建局</w:t>
      </w:r>
      <w:r>
        <w:rPr>
          <w:rFonts w:hint="eastAsia" w:ascii="仿宋" w:hAnsi="仿宋" w:eastAsia="仿宋" w:cs="仿宋"/>
          <w:sz w:val="32"/>
          <w:szCs w:val="32"/>
        </w:rPr>
        <w:t>）</w:t>
      </w:r>
    </w:p>
    <w:p>
      <w:pPr>
        <w:ind w:firstLine="640" w:firstLineChars="200"/>
        <w:rPr>
          <w:rFonts w:ascii="仿宋"/>
          <w:sz w:val="32"/>
          <w:szCs w:val="32"/>
        </w:rPr>
      </w:pPr>
      <w:r>
        <w:rPr>
          <w:rFonts w:hint="eastAsia" w:ascii="仿宋" w:hAnsi="仿宋" w:cs="仿宋"/>
          <w:sz w:val="32"/>
          <w:szCs w:val="32"/>
        </w:rPr>
        <w:t>统筹推进建筑垃圾资源化利用。积极推动建筑垃圾精细化分类分质利用，完善收集、清运、分拣和再利用的一体化回收处置体系。健全建筑垃圾资源化利用产品标准体系，明确适用场景、应用领域等，提高建筑垃圾资源化再生产品质量。（</w:t>
      </w:r>
      <w:r>
        <w:rPr>
          <w:rFonts w:hint="eastAsia" w:ascii="仿宋" w:hAnsi="仿宋" w:cs="仿宋"/>
          <w:b/>
          <w:bCs/>
          <w:sz w:val="32"/>
          <w:szCs w:val="32"/>
        </w:rPr>
        <w:t>责任单位：县住建局、县综合行政执法局；配合单位：县经信局、县市场监管局</w:t>
      </w:r>
      <w:r>
        <w:rPr>
          <w:rFonts w:hint="eastAsia" w:ascii="仿宋" w:hAnsi="仿宋" w:cs="仿宋"/>
          <w:sz w:val="32"/>
          <w:szCs w:val="32"/>
        </w:rPr>
        <w:t>）</w:t>
      </w:r>
    </w:p>
    <w:p>
      <w:pPr>
        <w:pStyle w:val="3"/>
        <w:spacing w:before="0"/>
        <w:ind w:firstLine="31680"/>
        <w:rPr>
          <w:rFonts w:ascii="仿宋" w:hAnsi="仿宋" w:eastAsia="仿宋"/>
          <w:b/>
          <w:bCs/>
          <w:sz w:val="32"/>
          <w:szCs w:val="32"/>
        </w:rPr>
      </w:pPr>
      <w:r>
        <w:rPr>
          <w:rFonts w:hint="eastAsia" w:ascii="仿宋" w:hAnsi="仿宋" w:eastAsia="仿宋" w:cs="仿宋"/>
          <w:b/>
          <w:bCs/>
          <w:sz w:val="32"/>
          <w:szCs w:val="32"/>
        </w:rPr>
        <w:t>（五）加快农业循环发展，提高农业废弃物回收利用效率</w:t>
      </w:r>
    </w:p>
    <w:p>
      <w:pPr>
        <w:ind w:firstLine="640" w:firstLineChars="200"/>
        <w:rPr>
          <w:rFonts w:ascii="仿宋"/>
          <w:sz w:val="32"/>
          <w:szCs w:val="32"/>
        </w:rPr>
      </w:pPr>
      <w:r>
        <w:rPr>
          <w:rFonts w:hint="eastAsia" w:ascii="仿宋" w:hAnsi="仿宋" w:cs="仿宋"/>
          <w:sz w:val="32"/>
          <w:szCs w:val="32"/>
        </w:rPr>
        <w:t>抓好农业废弃物源头减量管理。深入推进</w:t>
      </w:r>
      <w:r>
        <w:rPr>
          <w:rFonts w:hint="eastAsia" w:ascii="仿宋" w:cs="仿宋"/>
          <w:sz w:val="32"/>
          <w:szCs w:val="32"/>
        </w:rPr>
        <w:t>“</w:t>
      </w:r>
      <w:r>
        <w:rPr>
          <w:rFonts w:hint="eastAsia" w:ascii="仿宋" w:hAnsi="仿宋" w:cs="仿宋"/>
          <w:sz w:val="32"/>
          <w:szCs w:val="32"/>
        </w:rPr>
        <w:t>肥药两制</w:t>
      </w:r>
      <w:r>
        <w:rPr>
          <w:rFonts w:hint="eastAsia" w:ascii="仿宋" w:cs="仿宋"/>
          <w:sz w:val="32"/>
          <w:szCs w:val="32"/>
        </w:rPr>
        <w:t>”</w:t>
      </w:r>
      <w:r>
        <w:rPr>
          <w:rFonts w:hint="eastAsia" w:ascii="仿宋" w:hAnsi="仿宋" w:cs="仿宋"/>
          <w:sz w:val="32"/>
          <w:szCs w:val="32"/>
        </w:rPr>
        <w:t>改革，减少化肥、农药等农业投入品使用量及其废弃物产生量。（</w:t>
      </w:r>
      <w:r>
        <w:rPr>
          <w:rFonts w:hint="eastAsia" w:ascii="仿宋" w:hAnsi="仿宋" w:cs="仿宋"/>
          <w:b/>
          <w:bCs/>
          <w:sz w:val="32"/>
          <w:szCs w:val="32"/>
        </w:rPr>
        <w:t>责任单位：县农业农村局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建设完善的农业废弃物收集体系。建立政府引导、企业主体、农户参与的农业废弃物收集体系，到</w:t>
      </w:r>
      <w:r>
        <w:rPr>
          <w:rFonts w:ascii="仿宋" w:hAnsi="仿宋" w:cs="仿宋"/>
          <w:sz w:val="32"/>
          <w:szCs w:val="32"/>
        </w:rPr>
        <w:t>2020</w:t>
      </w:r>
      <w:r>
        <w:rPr>
          <w:rFonts w:hint="eastAsia" w:ascii="仿宋" w:hAnsi="仿宋" w:cs="仿宋"/>
          <w:sz w:val="32"/>
          <w:szCs w:val="32"/>
        </w:rPr>
        <w:t>年，废旧农膜回收处理率达到</w:t>
      </w:r>
      <w:r>
        <w:rPr>
          <w:rFonts w:ascii="仿宋" w:hAnsi="仿宋" w:cs="仿宋"/>
          <w:sz w:val="32"/>
          <w:szCs w:val="32"/>
        </w:rPr>
        <w:t>90%</w:t>
      </w:r>
      <w:r>
        <w:rPr>
          <w:rFonts w:hint="eastAsia" w:ascii="仿宋" w:hAnsi="仿宋" w:cs="仿宋"/>
          <w:sz w:val="32"/>
          <w:szCs w:val="32"/>
        </w:rPr>
        <w:t>以上。（</w:t>
      </w:r>
      <w:r>
        <w:rPr>
          <w:rFonts w:hint="eastAsia" w:ascii="仿宋" w:hAnsi="仿宋" w:cs="仿宋"/>
          <w:b/>
          <w:bCs/>
          <w:sz w:val="32"/>
          <w:szCs w:val="32"/>
        </w:rPr>
        <w:t>责任单位：县农业农村局牵头；配合单位：市生态环境局岱山分局、县综合行政执法局、县市场监管局、县供销社</w:t>
      </w:r>
      <w:r>
        <w:rPr>
          <w:rFonts w:hint="eastAsia" w:ascii="仿宋" w:hAnsi="仿宋" w:cs="仿宋"/>
          <w:sz w:val="32"/>
          <w:szCs w:val="32"/>
        </w:rPr>
        <w:t>）持续完善病死猪无害化处理和农药包装废弃物回收制度，到</w:t>
      </w:r>
      <w:r>
        <w:rPr>
          <w:rFonts w:ascii="仿宋" w:hAnsi="仿宋" w:cs="仿宋"/>
          <w:sz w:val="32"/>
          <w:szCs w:val="32"/>
        </w:rPr>
        <w:t>2020</w:t>
      </w:r>
      <w:r>
        <w:rPr>
          <w:rFonts w:hint="eastAsia" w:ascii="仿宋" w:hAnsi="仿宋" w:cs="仿宋"/>
          <w:sz w:val="32"/>
          <w:szCs w:val="32"/>
        </w:rPr>
        <w:t>年，病死猪无害化集中处理率达到</w:t>
      </w:r>
      <w:r>
        <w:rPr>
          <w:rFonts w:ascii="仿宋" w:hAnsi="仿宋" w:cs="仿宋"/>
          <w:sz w:val="32"/>
          <w:szCs w:val="32"/>
        </w:rPr>
        <w:t>90</w:t>
      </w:r>
      <w:r>
        <w:rPr>
          <w:rFonts w:hint="eastAsia" w:ascii="仿宋" w:hAnsi="仿宋" w:cs="仿宋"/>
          <w:sz w:val="32"/>
          <w:szCs w:val="32"/>
        </w:rPr>
        <w:t>％以上，农药废弃包装物回收、处置率分别达到</w:t>
      </w:r>
      <w:r>
        <w:rPr>
          <w:rFonts w:ascii="仿宋" w:hAnsi="仿宋" w:cs="仿宋"/>
          <w:sz w:val="32"/>
          <w:szCs w:val="32"/>
        </w:rPr>
        <w:t>80</w:t>
      </w:r>
      <w:r>
        <w:rPr>
          <w:rFonts w:hint="eastAsia" w:ascii="仿宋" w:hAnsi="仿宋" w:cs="仿宋"/>
          <w:sz w:val="32"/>
          <w:szCs w:val="32"/>
        </w:rPr>
        <w:t>％和</w:t>
      </w:r>
      <w:r>
        <w:rPr>
          <w:rFonts w:ascii="仿宋" w:hAnsi="仿宋" w:cs="仿宋"/>
          <w:sz w:val="32"/>
          <w:szCs w:val="32"/>
        </w:rPr>
        <w:t>90</w:t>
      </w:r>
      <w:r>
        <w:rPr>
          <w:rFonts w:hint="eastAsia" w:ascii="仿宋" w:hAnsi="仿宋" w:cs="仿宋"/>
          <w:sz w:val="32"/>
          <w:szCs w:val="32"/>
        </w:rPr>
        <w:t>％以上。（</w:t>
      </w:r>
      <w:r>
        <w:rPr>
          <w:rFonts w:hint="eastAsia" w:ascii="仿宋" w:hAnsi="仿宋" w:cs="仿宋"/>
          <w:b/>
          <w:bCs/>
          <w:sz w:val="32"/>
          <w:szCs w:val="32"/>
        </w:rPr>
        <w:t>责任单位：县农业农村局、县供销社；配合单位：县财政局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提升农业废弃物资源化利用水平。加强畜禽粪污处理设施长效运维，以种养循环、就近利用为重点，到</w:t>
      </w:r>
      <w:r>
        <w:rPr>
          <w:rFonts w:ascii="仿宋" w:hAnsi="仿宋" w:cs="仿宋"/>
          <w:sz w:val="32"/>
          <w:szCs w:val="32"/>
        </w:rPr>
        <w:t>2021</w:t>
      </w:r>
      <w:r>
        <w:rPr>
          <w:rFonts w:hint="eastAsia" w:ascii="仿宋" w:hAnsi="仿宋" w:cs="仿宋"/>
          <w:sz w:val="32"/>
          <w:szCs w:val="32"/>
        </w:rPr>
        <w:t>年，畜禽粪污综合利用率（无害化处置率）达到</w:t>
      </w:r>
      <w:r>
        <w:rPr>
          <w:rFonts w:ascii="仿宋" w:hAnsi="仿宋" w:cs="仿宋"/>
          <w:sz w:val="32"/>
          <w:szCs w:val="32"/>
        </w:rPr>
        <w:t>95</w:t>
      </w:r>
      <w:r>
        <w:rPr>
          <w:rFonts w:hint="eastAsia" w:ascii="仿宋" w:hAnsi="仿宋" w:cs="仿宋"/>
          <w:sz w:val="32"/>
          <w:szCs w:val="32"/>
        </w:rPr>
        <w:t>％以上。建立多途径的秸秆利用模式，到</w:t>
      </w:r>
      <w:r>
        <w:rPr>
          <w:rFonts w:ascii="仿宋" w:hAnsi="仿宋" w:cs="仿宋"/>
          <w:sz w:val="32"/>
          <w:szCs w:val="32"/>
        </w:rPr>
        <w:t>2020</w:t>
      </w:r>
      <w:r>
        <w:rPr>
          <w:rFonts w:hint="eastAsia" w:ascii="仿宋" w:hAnsi="仿宋" w:cs="仿宋"/>
          <w:sz w:val="32"/>
          <w:szCs w:val="32"/>
        </w:rPr>
        <w:t>年，秸秆综合利用率达到</w:t>
      </w:r>
      <w:r>
        <w:rPr>
          <w:rFonts w:ascii="仿宋" w:hAnsi="仿宋" w:cs="仿宋"/>
          <w:sz w:val="32"/>
          <w:szCs w:val="32"/>
        </w:rPr>
        <w:t>95</w:t>
      </w:r>
      <w:r>
        <w:rPr>
          <w:rFonts w:hint="eastAsia" w:ascii="仿宋" w:hAnsi="仿宋" w:cs="仿宋"/>
          <w:sz w:val="32"/>
          <w:szCs w:val="32"/>
        </w:rPr>
        <w:t>％以上。（</w:t>
      </w:r>
      <w:r>
        <w:rPr>
          <w:rFonts w:hint="eastAsia" w:ascii="仿宋" w:hAnsi="仿宋" w:cs="仿宋"/>
          <w:b/>
          <w:bCs/>
          <w:sz w:val="32"/>
          <w:szCs w:val="32"/>
        </w:rPr>
        <w:t>责任单位：县农业农村局</w:t>
      </w:r>
      <w:r>
        <w:rPr>
          <w:rFonts w:hint="eastAsia" w:ascii="仿宋" w:hAnsi="仿宋" w:cs="仿宋"/>
          <w:sz w:val="32"/>
          <w:szCs w:val="32"/>
        </w:rPr>
        <w:t>）</w:t>
      </w:r>
    </w:p>
    <w:p>
      <w:pPr>
        <w:pStyle w:val="3"/>
        <w:spacing w:before="0"/>
        <w:ind w:firstLine="31680"/>
        <w:rPr>
          <w:rFonts w:ascii="仿宋" w:hAnsi="仿宋" w:eastAsia="仿宋"/>
          <w:b/>
          <w:bCs/>
          <w:sz w:val="32"/>
          <w:szCs w:val="32"/>
        </w:rPr>
      </w:pPr>
      <w:r>
        <w:rPr>
          <w:rFonts w:hint="eastAsia" w:ascii="仿宋" w:hAnsi="仿宋" w:eastAsia="仿宋" w:cs="仿宋"/>
          <w:b/>
          <w:bCs/>
          <w:sz w:val="32"/>
          <w:szCs w:val="32"/>
        </w:rPr>
        <w:t>（六）严格落实闭环管理，形成医疗机构废弃物全环节无缝衔接</w:t>
      </w:r>
    </w:p>
    <w:p>
      <w:pPr>
        <w:ind w:firstLine="640" w:firstLineChars="200"/>
        <w:rPr>
          <w:rFonts w:ascii="仿宋"/>
          <w:sz w:val="32"/>
          <w:szCs w:val="32"/>
        </w:rPr>
      </w:pPr>
      <w:r>
        <w:rPr>
          <w:rFonts w:hint="eastAsia" w:ascii="仿宋" w:hAnsi="仿宋" w:cs="仿宋"/>
          <w:sz w:val="32"/>
          <w:szCs w:val="32"/>
        </w:rPr>
        <w:t>加强医疗机构废弃物源头分类管理。加强医疗机构废弃物规范分类管理，推进对未被污染的一次性输液瓶（袋）规范化分类处置。（</w:t>
      </w:r>
      <w:r>
        <w:rPr>
          <w:rFonts w:hint="eastAsia" w:ascii="仿宋" w:hAnsi="仿宋" w:cs="仿宋"/>
          <w:b/>
          <w:bCs/>
          <w:sz w:val="32"/>
          <w:szCs w:val="32"/>
        </w:rPr>
        <w:t>责任单位：县卫生健康局；配合单位：市生态环境局岱山分局、县经信局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建立完善的医疗机构废弃物收集体系。全面推行医疗机构废弃物</w:t>
      </w:r>
      <w:r>
        <w:rPr>
          <w:rFonts w:hint="eastAsia" w:ascii="仿宋" w:cs="仿宋"/>
          <w:sz w:val="32"/>
          <w:szCs w:val="32"/>
        </w:rPr>
        <w:t>“</w:t>
      </w:r>
      <w:r>
        <w:rPr>
          <w:rFonts w:hint="eastAsia" w:ascii="仿宋" w:hAnsi="仿宋" w:cs="仿宋"/>
          <w:sz w:val="32"/>
          <w:szCs w:val="32"/>
        </w:rPr>
        <w:t>小箱进大箱</w:t>
      </w:r>
      <w:r>
        <w:rPr>
          <w:rFonts w:hint="eastAsia" w:ascii="仿宋" w:cs="仿宋"/>
          <w:sz w:val="32"/>
          <w:szCs w:val="32"/>
        </w:rPr>
        <w:t>”</w:t>
      </w:r>
      <w:r>
        <w:rPr>
          <w:rFonts w:hint="eastAsia" w:ascii="仿宋" w:hAnsi="仿宋" w:cs="仿宋"/>
          <w:sz w:val="32"/>
          <w:szCs w:val="32"/>
        </w:rPr>
        <w:t>行动，完善偏远海岛医疗机构废弃物收集转运体系，实现医疗机构废弃物集中收集网络体系全覆盖。（</w:t>
      </w:r>
      <w:r>
        <w:rPr>
          <w:rFonts w:hint="eastAsia" w:ascii="仿宋" w:hAnsi="仿宋" w:cs="仿宋"/>
          <w:b/>
          <w:bCs/>
          <w:sz w:val="32"/>
          <w:szCs w:val="32"/>
        </w:rPr>
        <w:t>责任单位：县卫生健康局牵头；配合单位：市生态环境局岱山分局</w:t>
      </w:r>
      <w:r>
        <w:rPr>
          <w:rFonts w:hint="eastAsia" w:ascii="仿宋" w:hAnsi="仿宋" w:cs="仿宋"/>
          <w:sz w:val="32"/>
          <w:szCs w:val="32"/>
        </w:rPr>
        <w:t>）</w:t>
      </w:r>
    </w:p>
    <w:p>
      <w:pPr>
        <w:pStyle w:val="3"/>
        <w:spacing w:before="0"/>
        <w:ind w:firstLine="31680"/>
        <w:rPr>
          <w:rFonts w:ascii="仿宋" w:hAnsi="仿宋" w:eastAsia="仿宋"/>
          <w:b/>
          <w:bCs/>
          <w:sz w:val="32"/>
          <w:szCs w:val="32"/>
        </w:rPr>
      </w:pPr>
      <w:r>
        <w:rPr>
          <w:rFonts w:hint="eastAsia" w:ascii="仿宋" w:hAnsi="仿宋" w:eastAsia="仿宋" w:cs="仿宋"/>
          <w:b/>
          <w:bCs/>
          <w:sz w:val="32"/>
          <w:szCs w:val="32"/>
        </w:rPr>
        <w:t>（七）完善海洋废弃物治理，促进海洋污染防治能力提升</w:t>
      </w:r>
    </w:p>
    <w:p>
      <w:pPr>
        <w:ind w:firstLine="640" w:firstLineChars="200"/>
        <w:rPr>
          <w:rFonts w:ascii="仿宋"/>
          <w:sz w:val="32"/>
          <w:szCs w:val="32"/>
        </w:rPr>
      </w:pPr>
      <w:r>
        <w:rPr>
          <w:rFonts w:hint="eastAsia" w:ascii="仿宋" w:hAnsi="仿宋" w:cs="仿宋"/>
          <w:sz w:val="32"/>
          <w:szCs w:val="32"/>
        </w:rPr>
        <w:t>完善海洋废弃物收集处置体系。开展渔港环境综合治理，完善渔业废弃物的收集处置体系，提升水产养殖废弃物处置能力，进一步减少海洋白色污染。（</w:t>
      </w:r>
      <w:r>
        <w:rPr>
          <w:rFonts w:hint="eastAsia" w:ascii="仿宋" w:hAnsi="仿宋" w:cs="仿宋"/>
          <w:b/>
          <w:bCs/>
          <w:sz w:val="32"/>
          <w:szCs w:val="32"/>
        </w:rPr>
        <w:t>责任单位：县海洋与渔业局；配合单位：市生态环境局岱山分局、县综合行政执法局、岱山海事处</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加强对港口船舶水污染物的接收和治理。不断提高船舶营运过程产生的含油污水、生活垃圾、一般固体废物、危险废物等污染物的接收、转运、处置能力。（</w:t>
      </w:r>
      <w:r>
        <w:rPr>
          <w:rFonts w:hint="eastAsia" w:ascii="仿宋" w:hAnsi="仿宋" w:cs="仿宋"/>
          <w:b/>
          <w:bCs/>
          <w:sz w:val="32"/>
          <w:szCs w:val="32"/>
        </w:rPr>
        <w:t>责任单位：县交通运输局（港航分局）、岱山海事处；配合单位：市生态环境局岱山分局、县综合行政执法局、县海洋与渔业局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提升港口码头公共设施建设。全面排查整改现有码头环保设施建设运行情况，建设与城市管网相连的船舶生活污水固定集中接收点，完成客运码头、公务码头、企业自备交通码头岸电设施改造。（</w:t>
      </w:r>
      <w:r>
        <w:rPr>
          <w:rFonts w:hint="eastAsia" w:ascii="仿宋" w:hAnsi="仿宋" w:cs="仿宋"/>
          <w:b/>
          <w:bCs/>
          <w:sz w:val="32"/>
          <w:szCs w:val="32"/>
        </w:rPr>
        <w:t>责任单位：县住建局、县交通运输局（港航分局）配合单位：县经信局、岱山海事处、市生态环境局岱山分局</w:t>
      </w:r>
      <w:r>
        <w:rPr>
          <w:rFonts w:hint="eastAsia" w:ascii="仿宋" w:hAnsi="仿宋" w:cs="仿宋"/>
          <w:sz w:val="32"/>
          <w:szCs w:val="32"/>
        </w:rPr>
        <w:t>）</w:t>
      </w:r>
    </w:p>
    <w:p>
      <w:pPr>
        <w:pStyle w:val="3"/>
        <w:spacing w:before="0"/>
        <w:ind w:firstLine="31680"/>
        <w:rPr>
          <w:rFonts w:ascii="仿宋" w:hAnsi="仿宋" w:eastAsia="仿宋"/>
          <w:b/>
          <w:bCs/>
          <w:sz w:val="32"/>
          <w:szCs w:val="32"/>
        </w:rPr>
      </w:pPr>
      <w:r>
        <w:rPr>
          <w:rFonts w:hint="eastAsia" w:ascii="仿宋" w:hAnsi="仿宋" w:eastAsia="仿宋" w:cs="仿宋"/>
          <w:b/>
          <w:bCs/>
          <w:sz w:val="32"/>
          <w:szCs w:val="32"/>
        </w:rPr>
        <w:t>（八）深化“水气同治”，打造“碧水蓝天”新名片</w:t>
      </w:r>
    </w:p>
    <w:p>
      <w:pPr>
        <w:ind w:firstLine="640" w:firstLineChars="200"/>
        <w:rPr>
          <w:rFonts w:ascii="仿宋"/>
          <w:sz w:val="32"/>
          <w:szCs w:val="32"/>
        </w:rPr>
      </w:pPr>
      <w:r>
        <w:rPr>
          <w:rFonts w:hint="eastAsia" w:ascii="仿宋" w:hAnsi="仿宋" w:cs="仿宋"/>
          <w:sz w:val="32"/>
          <w:szCs w:val="32"/>
        </w:rPr>
        <w:t>推进废水处置能力匹配化。</w:t>
      </w:r>
      <w:r>
        <w:rPr>
          <w:rFonts w:hint="eastAsia" w:eastAsia="仿宋_GB2312" w:cs="仿宋_GB2312"/>
          <w:sz w:val="32"/>
          <w:szCs w:val="32"/>
        </w:rPr>
        <w:t>到</w:t>
      </w:r>
      <w:r>
        <w:rPr>
          <w:rFonts w:eastAsia="仿宋_GB2312"/>
          <w:sz w:val="32"/>
          <w:szCs w:val="32"/>
        </w:rPr>
        <w:t>2020</w:t>
      </w:r>
      <w:r>
        <w:rPr>
          <w:rFonts w:hint="eastAsia" w:eastAsia="仿宋_GB2312" w:cs="仿宋_GB2312"/>
          <w:sz w:val="32"/>
          <w:szCs w:val="32"/>
        </w:rPr>
        <w:t>年底，累计完成</w:t>
      </w:r>
      <w:r>
        <w:rPr>
          <w:rFonts w:eastAsia="仿宋_GB2312"/>
          <w:sz w:val="32"/>
          <w:szCs w:val="32"/>
        </w:rPr>
        <w:t>15</w:t>
      </w:r>
      <w:r>
        <w:rPr>
          <w:rFonts w:hint="eastAsia" w:eastAsia="仿宋_GB2312" w:cs="仿宋_GB2312"/>
          <w:sz w:val="32"/>
          <w:szCs w:val="32"/>
        </w:rPr>
        <w:t>条“品质河道”创建；全面完成</w:t>
      </w:r>
      <w:r>
        <w:rPr>
          <w:rFonts w:eastAsia="仿宋_GB2312"/>
          <w:sz w:val="32"/>
          <w:szCs w:val="32"/>
        </w:rPr>
        <w:t>7</w:t>
      </w:r>
      <w:r>
        <w:rPr>
          <w:rFonts w:hint="eastAsia" w:eastAsia="仿宋_GB2312" w:cs="仿宋_GB2312"/>
          <w:sz w:val="32"/>
          <w:szCs w:val="32"/>
        </w:rPr>
        <w:t>个乡镇和县经济开发区“污水零直排区”建设目标任务，力争率先达到省“污水零直排区”建设标准</w:t>
      </w:r>
      <w:r>
        <w:rPr>
          <w:rFonts w:hint="eastAsia" w:ascii="仿宋" w:hAnsi="仿宋" w:cs="仿宋"/>
          <w:sz w:val="32"/>
          <w:szCs w:val="32"/>
        </w:rPr>
        <w:t>，到</w:t>
      </w:r>
      <w:r>
        <w:rPr>
          <w:rFonts w:ascii="仿宋" w:hAnsi="仿宋" w:cs="仿宋"/>
          <w:sz w:val="32"/>
          <w:szCs w:val="32"/>
        </w:rPr>
        <w:t>2021</w:t>
      </w:r>
      <w:r>
        <w:rPr>
          <w:rFonts w:hint="eastAsia" w:ascii="仿宋" w:hAnsi="仿宋" w:cs="仿宋"/>
          <w:sz w:val="32"/>
          <w:szCs w:val="32"/>
        </w:rPr>
        <w:t>年</w:t>
      </w:r>
      <w:r>
        <w:rPr>
          <w:rFonts w:ascii="仿宋" w:hAnsi="仿宋" w:cs="仿宋"/>
          <w:sz w:val="32"/>
          <w:szCs w:val="32"/>
        </w:rPr>
        <w:t>6</w:t>
      </w:r>
      <w:r>
        <w:rPr>
          <w:rFonts w:hint="eastAsia" w:ascii="仿宋" w:hAnsi="仿宋" w:cs="仿宋"/>
          <w:sz w:val="32"/>
          <w:szCs w:val="32"/>
        </w:rPr>
        <w:t>底，城镇生活污水收集率力争达到</w:t>
      </w:r>
      <w:r>
        <w:rPr>
          <w:rFonts w:ascii="仿宋" w:hAnsi="仿宋" w:cs="仿宋"/>
          <w:sz w:val="32"/>
          <w:szCs w:val="32"/>
        </w:rPr>
        <w:t>80%</w:t>
      </w:r>
      <w:r>
        <w:rPr>
          <w:rFonts w:hint="eastAsia" w:ascii="仿宋" w:hAnsi="仿宋" w:cs="仿宋"/>
          <w:sz w:val="32"/>
          <w:szCs w:val="32"/>
        </w:rPr>
        <w:t>以上。（</w:t>
      </w:r>
      <w:r>
        <w:rPr>
          <w:rFonts w:hint="eastAsia" w:ascii="仿宋" w:hAnsi="仿宋" w:cs="仿宋"/>
          <w:b/>
          <w:bCs/>
          <w:sz w:val="32"/>
          <w:szCs w:val="32"/>
        </w:rPr>
        <w:t>责任单位：县治水办；配合单位：岱山经济开发区管委会、各乡镇政府</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持续推进废气治理设施建设。继续完善大气工业废气、</w:t>
      </w:r>
      <w:r>
        <w:rPr>
          <w:rFonts w:ascii="仿宋" w:hAnsi="仿宋" w:cs="仿宋"/>
          <w:sz w:val="32"/>
          <w:szCs w:val="32"/>
        </w:rPr>
        <w:t>VOCs</w:t>
      </w:r>
      <w:r>
        <w:rPr>
          <w:rFonts w:hint="eastAsia" w:ascii="仿宋" w:hAnsi="仿宋" w:cs="仿宋"/>
          <w:sz w:val="32"/>
          <w:szCs w:val="32"/>
        </w:rPr>
        <w:t>等治理设施建设，确保废气无臭味，到</w:t>
      </w:r>
      <w:r>
        <w:rPr>
          <w:rFonts w:ascii="仿宋" w:hAnsi="仿宋" w:cs="仿宋"/>
          <w:sz w:val="32"/>
          <w:szCs w:val="32"/>
        </w:rPr>
        <w:t>2021</w:t>
      </w:r>
      <w:r>
        <w:rPr>
          <w:rFonts w:hint="eastAsia" w:ascii="仿宋" w:hAnsi="仿宋" w:cs="仿宋"/>
          <w:sz w:val="32"/>
          <w:szCs w:val="32"/>
        </w:rPr>
        <w:t>年，基本消除重点领域臭气异味，空气质量优良率完成市下达的年度目标，涉气重复信访投诉量保持负增长（</w:t>
      </w:r>
      <w:r>
        <w:rPr>
          <w:rFonts w:hint="eastAsia" w:ascii="仿宋" w:hAnsi="仿宋" w:cs="仿宋"/>
          <w:b/>
          <w:bCs/>
          <w:sz w:val="32"/>
          <w:szCs w:val="32"/>
        </w:rPr>
        <w:t>责任单位：市生态环境局岱山分局；配合单位：岱山经济开发区管委会、各乡镇政府</w:t>
      </w:r>
      <w:r>
        <w:rPr>
          <w:rFonts w:hint="eastAsia" w:ascii="仿宋" w:hAnsi="仿宋" w:cs="仿宋"/>
          <w:sz w:val="32"/>
          <w:szCs w:val="32"/>
        </w:rPr>
        <w:t>）</w:t>
      </w:r>
    </w:p>
    <w:p>
      <w:pPr>
        <w:pStyle w:val="3"/>
        <w:spacing w:before="0"/>
        <w:ind w:firstLine="31680"/>
        <w:rPr>
          <w:rFonts w:ascii="仿宋" w:hAnsi="仿宋" w:eastAsia="仿宋"/>
          <w:b/>
          <w:bCs/>
          <w:sz w:val="32"/>
          <w:szCs w:val="32"/>
        </w:rPr>
      </w:pPr>
      <w:r>
        <w:rPr>
          <w:rFonts w:hint="eastAsia" w:ascii="仿宋" w:hAnsi="仿宋" w:eastAsia="仿宋" w:cs="仿宋"/>
          <w:b/>
          <w:bCs/>
          <w:sz w:val="32"/>
          <w:szCs w:val="32"/>
        </w:rPr>
        <w:t>（九）强化固废综合管理，加大固废治理产业化培育</w:t>
      </w:r>
    </w:p>
    <w:p>
      <w:pPr>
        <w:ind w:firstLine="643" w:firstLineChars="200"/>
        <w:rPr>
          <w:rFonts w:ascii="仿宋"/>
          <w:b/>
          <w:bCs/>
          <w:sz w:val="32"/>
          <w:szCs w:val="32"/>
        </w:rPr>
      </w:pPr>
      <w:r>
        <w:rPr>
          <w:rFonts w:ascii="仿宋" w:hAnsi="仿宋" w:cs="仿宋"/>
          <w:b/>
          <w:bCs/>
          <w:sz w:val="32"/>
          <w:szCs w:val="32"/>
        </w:rPr>
        <w:t>1</w:t>
      </w:r>
      <w:r>
        <w:rPr>
          <w:rFonts w:hint="eastAsia" w:ascii="仿宋" w:hAnsi="仿宋" w:cs="仿宋"/>
          <w:b/>
          <w:bCs/>
          <w:sz w:val="32"/>
          <w:szCs w:val="32"/>
        </w:rPr>
        <w:t>、全面推进处置能力匹配化</w:t>
      </w:r>
    </w:p>
    <w:p>
      <w:pPr>
        <w:ind w:firstLine="640" w:firstLineChars="200"/>
        <w:rPr>
          <w:rFonts w:ascii="仿宋"/>
          <w:sz w:val="32"/>
          <w:szCs w:val="32"/>
        </w:rPr>
      </w:pPr>
      <w:r>
        <w:rPr>
          <w:rFonts w:hint="eastAsia" w:ascii="仿宋" w:hAnsi="仿宋" w:cs="仿宋"/>
          <w:sz w:val="32"/>
          <w:szCs w:val="32"/>
        </w:rPr>
        <w:t>加快补齐</w:t>
      </w:r>
      <w:r>
        <w:rPr>
          <w:rFonts w:hint="eastAsia" w:ascii="仿宋" w:cs="仿宋"/>
          <w:sz w:val="32"/>
          <w:szCs w:val="32"/>
        </w:rPr>
        <w:t>“</w:t>
      </w:r>
      <w:r>
        <w:rPr>
          <w:rFonts w:hint="eastAsia" w:ascii="仿宋" w:hAnsi="仿宋" w:cs="仿宋"/>
          <w:sz w:val="32"/>
          <w:szCs w:val="32"/>
        </w:rPr>
        <w:t>三废</w:t>
      </w:r>
      <w:r>
        <w:rPr>
          <w:rFonts w:hint="eastAsia" w:ascii="仿宋" w:cs="仿宋"/>
          <w:sz w:val="32"/>
          <w:szCs w:val="32"/>
        </w:rPr>
        <w:t>”</w:t>
      </w:r>
      <w:r>
        <w:rPr>
          <w:rFonts w:hint="eastAsia" w:ascii="仿宋" w:hAnsi="仿宋" w:cs="仿宋"/>
          <w:sz w:val="32"/>
          <w:szCs w:val="32"/>
        </w:rPr>
        <w:t>处置能力缺口。将固体废物处置设施纳入城市基础设施和公共设施范畴，形成规划</w:t>
      </w:r>
      <w:r>
        <w:rPr>
          <w:rFonts w:hint="eastAsia" w:ascii="仿宋" w:cs="仿宋"/>
          <w:sz w:val="32"/>
          <w:szCs w:val="32"/>
        </w:rPr>
        <w:t>“</w:t>
      </w:r>
      <w:r>
        <w:rPr>
          <w:rFonts w:hint="eastAsia" w:ascii="仿宋" w:hAnsi="仿宋" w:cs="仿宋"/>
          <w:sz w:val="32"/>
          <w:szCs w:val="32"/>
        </w:rPr>
        <w:t>一张图</w:t>
      </w:r>
      <w:r>
        <w:rPr>
          <w:rFonts w:hint="eastAsia" w:ascii="仿宋" w:cs="仿宋"/>
          <w:sz w:val="32"/>
          <w:szCs w:val="32"/>
        </w:rPr>
        <w:t>”</w:t>
      </w:r>
      <w:r>
        <w:rPr>
          <w:rFonts w:hint="eastAsia" w:ascii="仿宋" w:hAnsi="仿宋" w:cs="仿宋"/>
          <w:sz w:val="32"/>
          <w:szCs w:val="32"/>
        </w:rPr>
        <w:t>。到</w:t>
      </w:r>
      <w:r>
        <w:rPr>
          <w:rFonts w:ascii="仿宋" w:hAnsi="仿宋" w:cs="仿宋"/>
          <w:sz w:val="32"/>
          <w:szCs w:val="32"/>
        </w:rPr>
        <w:t>2021</w:t>
      </w:r>
      <w:r>
        <w:rPr>
          <w:rFonts w:hint="eastAsia" w:ascii="仿宋" w:hAnsi="仿宋" w:cs="仿宋"/>
          <w:sz w:val="32"/>
          <w:szCs w:val="32"/>
        </w:rPr>
        <w:t>年底前与舟山市级层面协调补齐一般工业固体废物、农业废弃物等处置能力缺口。建立工业固体废物、生活垃圾、建筑垃圾、农业废弃物、医疗废物等固体废物处理设施统筹协调机制，促进共建共享。（</w:t>
      </w:r>
      <w:r>
        <w:rPr>
          <w:rFonts w:hint="eastAsia" w:ascii="仿宋" w:hAnsi="仿宋" w:cs="仿宋"/>
          <w:b/>
          <w:bCs/>
          <w:sz w:val="32"/>
          <w:szCs w:val="32"/>
        </w:rPr>
        <w:t>责任单位：</w:t>
      </w:r>
      <w:r>
        <w:rPr>
          <w:rFonts w:hint="eastAsia" w:cs="仿宋"/>
          <w:b/>
          <w:bCs/>
          <w:sz w:val="32"/>
          <w:szCs w:val="32"/>
        </w:rPr>
        <w:t>县发改局、市生态环境局岱山分局、县住建局、县农业农村局、县卫生健康局、县综合行政执法局、县供销社</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充分发挥市场配置资源的主体作用。落实生活垃圾、危险废物等固体废物处置价格的动态调整机制，通过调控供求关系推动处置价格合理化。到</w:t>
      </w:r>
      <w:r>
        <w:rPr>
          <w:rFonts w:ascii="仿宋" w:hAnsi="仿宋" w:cs="仿宋"/>
          <w:sz w:val="32"/>
          <w:szCs w:val="32"/>
        </w:rPr>
        <w:t>2021</w:t>
      </w:r>
      <w:r>
        <w:rPr>
          <w:rFonts w:hint="eastAsia" w:ascii="仿宋" w:hAnsi="仿宋" w:cs="仿宋"/>
          <w:sz w:val="32"/>
          <w:szCs w:val="32"/>
        </w:rPr>
        <w:t>年，形成技术先进、管理规范、能力富余、竞争充分的主要种类固体废物综合利用处置体系。（</w:t>
      </w:r>
      <w:r>
        <w:rPr>
          <w:rFonts w:hint="eastAsia" w:ascii="仿宋" w:hAnsi="仿宋" w:cs="仿宋"/>
          <w:b/>
          <w:bCs/>
          <w:sz w:val="32"/>
          <w:szCs w:val="32"/>
        </w:rPr>
        <w:t>责任单位：县发改局；配合单位：县经信局、市生态环境局岱山分局、县住建局、县农业农村局、县卫生健康局、县综合行政执法局、县供销社</w:t>
      </w:r>
      <w:r>
        <w:rPr>
          <w:rFonts w:hint="eastAsia" w:ascii="仿宋" w:hAnsi="仿宋" w:cs="仿宋"/>
          <w:sz w:val="32"/>
          <w:szCs w:val="32"/>
        </w:rPr>
        <w:t>）</w:t>
      </w:r>
    </w:p>
    <w:p>
      <w:pPr>
        <w:ind w:firstLine="643" w:firstLineChars="200"/>
        <w:rPr>
          <w:rFonts w:ascii="仿宋"/>
          <w:b/>
          <w:bCs/>
          <w:sz w:val="32"/>
          <w:szCs w:val="32"/>
        </w:rPr>
      </w:pPr>
      <w:r>
        <w:rPr>
          <w:rFonts w:ascii="仿宋" w:hAnsi="仿宋" w:cs="仿宋"/>
          <w:b/>
          <w:bCs/>
          <w:sz w:val="32"/>
          <w:szCs w:val="32"/>
        </w:rPr>
        <w:t>2</w:t>
      </w:r>
      <w:r>
        <w:rPr>
          <w:rFonts w:hint="eastAsia" w:ascii="仿宋" w:hAnsi="仿宋" w:cs="仿宋"/>
          <w:b/>
          <w:bCs/>
          <w:sz w:val="32"/>
          <w:szCs w:val="32"/>
        </w:rPr>
        <w:t>、全面形成高压严管常态化</w:t>
      </w:r>
    </w:p>
    <w:p>
      <w:pPr>
        <w:ind w:firstLine="640" w:firstLineChars="200"/>
        <w:rPr>
          <w:rFonts w:ascii="仿宋"/>
          <w:sz w:val="32"/>
          <w:szCs w:val="32"/>
        </w:rPr>
      </w:pPr>
      <w:r>
        <w:rPr>
          <w:rFonts w:hint="eastAsia" w:ascii="仿宋" w:hAnsi="仿宋" w:cs="仿宋"/>
          <w:sz w:val="32"/>
          <w:szCs w:val="32"/>
        </w:rPr>
        <w:t>重点加强固体废物物流的管理。加大固体废物运输环节管控力度，严查无危险货物道路运输资质的车辆运输危险废物，以及非法通过跨桥大桥和港口码头运输危险废物的行为（</w:t>
      </w:r>
      <w:r>
        <w:rPr>
          <w:rFonts w:hint="eastAsia" w:ascii="仿宋" w:hAnsi="仿宋" w:cs="仿宋"/>
          <w:b/>
          <w:bCs/>
          <w:sz w:val="32"/>
          <w:szCs w:val="32"/>
        </w:rPr>
        <w:t>责任单位：县交通运输局（港航分局）、岱山海事处</w:t>
      </w:r>
      <w:r>
        <w:rPr>
          <w:rFonts w:hint="eastAsia" w:ascii="仿宋" w:hAnsi="仿宋" w:cs="仿宋"/>
          <w:sz w:val="32"/>
          <w:szCs w:val="32"/>
        </w:rPr>
        <w:t>）严控产废单位将处置费用直接交付运输单位或个人并委托其全权处置固体废物的行为。（</w:t>
      </w:r>
      <w:r>
        <w:rPr>
          <w:rFonts w:hint="eastAsia" w:ascii="仿宋" w:hAnsi="仿宋" w:cs="仿宋"/>
          <w:b/>
          <w:bCs/>
          <w:sz w:val="32"/>
          <w:szCs w:val="32"/>
        </w:rPr>
        <w:t>责任单位：市生态环境局岱山分局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持续加大执法力度。落实固体废物违法有奖举报制度，建立完善网格化的巡查机制。进一步完善环境保护税征管协作机制，对直接向环境排放固体废物的违法行为，依法征收环境保护税。强化行政执法与刑事司法、检察公益诉讼的协调联动，实施环境违法黑名单和产业禁入制度，形成环境执法高压震慑态势，对违法企业依据税收规定不给予相关税收减免优惠。（</w:t>
      </w:r>
      <w:r>
        <w:rPr>
          <w:rFonts w:hint="eastAsia" w:ascii="仿宋" w:hAnsi="仿宋" w:cs="仿宋"/>
          <w:b/>
          <w:bCs/>
          <w:sz w:val="32"/>
          <w:szCs w:val="32"/>
        </w:rPr>
        <w:t>责任单位：市生态环境局岱山分局、县税务局；配合单位：县检察院、县公安局、县司法局</w:t>
      </w:r>
      <w:r>
        <w:rPr>
          <w:rFonts w:hint="eastAsia" w:ascii="仿宋" w:hAnsi="仿宋" w:cs="仿宋"/>
          <w:sz w:val="32"/>
          <w:szCs w:val="32"/>
        </w:rPr>
        <w:t>）</w:t>
      </w:r>
    </w:p>
    <w:p>
      <w:pPr>
        <w:ind w:firstLine="643" w:firstLineChars="200"/>
        <w:rPr>
          <w:rFonts w:ascii="仿宋"/>
          <w:b/>
          <w:bCs/>
          <w:sz w:val="32"/>
          <w:szCs w:val="32"/>
        </w:rPr>
      </w:pPr>
      <w:r>
        <w:rPr>
          <w:rFonts w:ascii="仿宋" w:hAnsi="仿宋" w:cs="仿宋"/>
          <w:b/>
          <w:bCs/>
          <w:sz w:val="32"/>
          <w:szCs w:val="32"/>
        </w:rPr>
        <w:t>3</w:t>
      </w:r>
      <w:r>
        <w:rPr>
          <w:rFonts w:hint="eastAsia" w:ascii="仿宋" w:hAnsi="仿宋" w:cs="仿宋"/>
          <w:b/>
          <w:bCs/>
          <w:sz w:val="32"/>
          <w:szCs w:val="32"/>
        </w:rPr>
        <w:t>、全面实现管理手段信息化</w:t>
      </w:r>
    </w:p>
    <w:p>
      <w:pPr>
        <w:ind w:firstLine="640" w:firstLineChars="200"/>
        <w:rPr>
          <w:rFonts w:ascii="仿宋"/>
          <w:sz w:val="32"/>
          <w:szCs w:val="32"/>
        </w:rPr>
      </w:pPr>
      <w:r>
        <w:rPr>
          <w:rFonts w:hint="eastAsia" w:ascii="仿宋" w:hAnsi="仿宋" w:cs="仿宋"/>
          <w:sz w:val="32"/>
          <w:szCs w:val="32"/>
        </w:rPr>
        <w:t>全面提升管理信息化水平。全面实现固体废物管理台账、转移联单电子化。充分整合现有工业固废、生活垃圾、建筑垃圾、农业废弃物、医疗机构废弃物、港口船舶水污染物等固体废物，构造固体废物信息联动共享机制，着力打造监管</w:t>
      </w:r>
      <w:r>
        <w:rPr>
          <w:rFonts w:hint="eastAsia" w:ascii="仿宋" w:cs="仿宋"/>
          <w:sz w:val="32"/>
          <w:szCs w:val="32"/>
        </w:rPr>
        <w:t>“</w:t>
      </w:r>
      <w:r>
        <w:rPr>
          <w:rFonts w:hint="eastAsia" w:ascii="仿宋" w:hAnsi="仿宋" w:cs="仿宋"/>
          <w:sz w:val="32"/>
          <w:szCs w:val="32"/>
        </w:rPr>
        <w:t>一张网</w:t>
      </w:r>
      <w:r>
        <w:rPr>
          <w:rFonts w:hint="eastAsia" w:ascii="仿宋" w:cs="仿宋"/>
          <w:sz w:val="32"/>
          <w:szCs w:val="32"/>
        </w:rPr>
        <w:t>”</w:t>
      </w:r>
      <w:r>
        <w:rPr>
          <w:rFonts w:hint="eastAsia" w:ascii="仿宋" w:hAnsi="仿宋" w:cs="仿宋"/>
          <w:sz w:val="32"/>
          <w:szCs w:val="32"/>
        </w:rPr>
        <w:t>。（</w:t>
      </w:r>
      <w:r>
        <w:rPr>
          <w:rFonts w:ascii="仿宋" w:hAnsi="仿宋" w:cs="仿宋"/>
          <w:b/>
          <w:bCs/>
          <w:sz w:val="32"/>
          <w:szCs w:val="32"/>
        </w:rPr>
        <w:t xml:space="preserve"> </w:t>
      </w:r>
      <w:r>
        <w:rPr>
          <w:rFonts w:hint="eastAsia" w:ascii="仿宋" w:hAnsi="仿宋" w:cs="仿宋"/>
          <w:b/>
          <w:bCs/>
          <w:sz w:val="32"/>
          <w:szCs w:val="32"/>
        </w:rPr>
        <w:t>责任单位：市生态环境局岱山分局；配合单位：县大数据管理中心、县经信局、县交通运输局（港航分局）、县农业农村局、县卫生健康局、县综合行政执法局、岱山海事处、县供销社</w:t>
      </w:r>
      <w:r>
        <w:rPr>
          <w:rFonts w:hint="eastAsia" w:ascii="仿宋" w:hAnsi="仿宋" w:cs="仿宋"/>
          <w:sz w:val="32"/>
          <w:szCs w:val="32"/>
        </w:rPr>
        <w:t>）推广信息监控、数据扫描、车载卫星定位系统和电子锁等技术，推动固体废物转运信息化监管能力建设。（</w:t>
      </w:r>
      <w:r>
        <w:rPr>
          <w:rFonts w:hint="eastAsia" w:ascii="仿宋" w:hAnsi="仿宋" w:cs="仿宋"/>
          <w:b/>
          <w:bCs/>
          <w:sz w:val="32"/>
          <w:szCs w:val="32"/>
        </w:rPr>
        <w:t>责任单位：县交通运输局（港航分局）；配合单位：</w:t>
      </w:r>
      <w:r>
        <w:rPr>
          <w:rFonts w:hint="eastAsia" w:cs="仿宋"/>
          <w:b/>
          <w:bCs/>
          <w:sz w:val="32"/>
          <w:szCs w:val="32"/>
        </w:rPr>
        <w:t>市生态环境局岱山分局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依托</w:t>
      </w:r>
      <w:r>
        <w:rPr>
          <w:rFonts w:hint="eastAsia" w:ascii="仿宋_GB2312" w:hAnsi="宋体" w:eastAsia="仿宋_GB2312" w:cs="仿宋_GB2312"/>
          <w:sz w:val="31"/>
          <w:szCs w:val="31"/>
          <w:shd w:val="clear" w:color="auto" w:fill="FFFFFF"/>
        </w:rPr>
        <w:t>固体废物监管</w:t>
      </w:r>
      <w:r>
        <w:rPr>
          <w:rFonts w:hint="eastAsia" w:ascii="仿宋" w:hAnsi="仿宋" w:cs="仿宋"/>
          <w:sz w:val="32"/>
          <w:szCs w:val="32"/>
        </w:rPr>
        <w:t>政府云服务平台。全力服务产废企业尤其是小微产废企业，通过政府云服务平台关联产废企业、运输企业和处置企业的固废危废转运处置信息，实现智能化管理。产废企业、处置企业等可通过云服务平台合理安排转运时间、转运车辆、转运数量、转运路线等。同时云服务平台将产废企业和需求企业之间建立联结，实现信息共享功能。（</w:t>
      </w:r>
      <w:r>
        <w:rPr>
          <w:rFonts w:hint="eastAsia" w:ascii="仿宋" w:hAnsi="仿宋" w:cs="仿宋"/>
          <w:b/>
          <w:bCs/>
          <w:sz w:val="32"/>
          <w:szCs w:val="32"/>
        </w:rPr>
        <w:t>责任单位：市生态环境局岱山分局、</w:t>
      </w:r>
      <w:r>
        <w:rPr>
          <w:rFonts w:hint="eastAsia" w:cs="仿宋"/>
          <w:b/>
          <w:bCs/>
          <w:sz w:val="32"/>
          <w:szCs w:val="32"/>
        </w:rPr>
        <w:t>县大数据管理中心</w:t>
      </w:r>
      <w:r>
        <w:rPr>
          <w:rFonts w:hint="eastAsia" w:ascii="仿宋" w:hAnsi="仿宋" w:cs="仿宋"/>
          <w:sz w:val="32"/>
          <w:szCs w:val="32"/>
        </w:rPr>
        <w:t>）</w:t>
      </w:r>
    </w:p>
    <w:p>
      <w:pPr>
        <w:ind w:firstLine="643" w:firstLineChars="200"/>
        <w:rPr>
          <w:rFonts w:ascii="仿宋"/>
          <w:b/>
          <w:bCs/>
          <w:sz w:val="32"/>
          <w:szCs w:val="32"/>
        </w:rPr>
      </w:pPr>
      <w:r>
        <w:rPr>
          <w:rFonts w:ascii="仿宋" w:hAnsi="仿宋" w:cs="仿宋"/>
          <w:b/>
          <w:bCs/>
          <w:sz w:val="32"/>
          <w:szCs w:val="32"/>
        </w:rPr>
        <w:t>4</w:t>
      </w:r>
      <w:r>
        <w:rPr>
          <w:rFonts w:hint="eastAsia" w:ascii="仿宋" w:hAnsi="仿宋" w:cs="仿宋"/>
          <w:b/>
          <w:bCs/>
          <w:sz w:val="32"/>
          <w:szCs w:val="32"/>
        </w:rPr>
        <w:t>、全面推动治理行业产业化</w:t>
      </w:r>
    </w:p>
    <w:p>
      <w:pPr>
        <w:ind w:firstLine="640" w:firstLineChars="200"/>
        <w:rPr>
          <w:rFonts w:ascii="仿宋"/>
          <w:sz w:val="32"/>
          <w:szCs w:val="32"/>
        </w:rPr>
      </w:pPr>
      <w:r>
        <w:rPr>
          <w:rFonts w:hint="eastAsia" w:ascii="仿宋" w:hAnsi="仿宋" w:cs="仿宋"/>
          <w:sz w:val="32"/>
          <w:szCs w:val="32"/>
        </w:rPr>
        <w:t>激发市场主体活力。大力培育发展环保产业，积极推广第三方环保管家服务，推动环保管家受产废者委托统筹开展废水、废气、固体废物的污染防治及处理处置工作。（</w:t>
      </w:r>
      <w:r>
        <w:rPr>
          <w:rFonts w:hint="eastAsia" w:ascii="仿宋" w:hAnsi="仿宋" w:cs="仿宋"/>
          <w:b/>
          <w:bCs/>
          <w:sz w:val="32"/>
          <w:szCs w:val="32"/>
        </w:rPr>
        <w:t>责任单位：市生态环境局岱山分局；配合单位：县经信局、县农业农村局、县卫生健康局、县综合行政执法局、县供销社</w:t>
      </w:r>
      <w:r>
        <w:rPr>
          <w:rFonts w:hint="eastAsia" w:ascii="仿宋" w:hAnsi="仿宋" w:cs="仿宋"/>
          <w:sz w:val="32"/>
          <w:szCs w:val="32"/>
        </w:rPr>
        <w:t>）进一步落实固体废物回收利用处置企业税收优惠政策，支持引导企业做大做强。（</w:t>
      </w:r>
      <w:r>
        <w:rPr>
          <w:rFonts w:hint="eastAsia" w:ascii="仿宋" w:hAnsi="仿宋" w:cs="仿宋"/>
          <w:b/>
          <w:bCs/>
          <w:sz w:val="32"/>
          <w:szCs w:val="32"/>
        </w:rPr>
        <w:t>责任单位：县税务局；配合单位：县财政局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大力推进治理技术创新。加强固体废物污染防治学科研究和专业建设，重点突破废水、废气污染防治过程中的固体废物减量化问题。支持企业与科研机构组建创新联合体，加强关键共性技术攻关和成果转化应用。（</w:t>
      </w:r>
      <w:r>
        <w:rPr>
          <w:rFonts w:hint="eastAsia" w:ascii="仿宋" w:hAnsi="仿宋" w:cs="仿宋"/>
          <w:b/>
          <w:bCs/>
          <w:sz w:val="32"/>
          <w:szCs w:val="32"/>
        </w:rPr>
        <w:t>责任单位：县经信局；配合单位：县发改局、县教育局、市生态环境局岱山分局</w:t>
      </w:r>
      <w:r>
        <w:rPr>
          <w:rFonts w:hint="eastAsia" w:ascii="仿宋" w:hAnsi="仿宋" w:cs="仿宋"/>
          <w:sz w:val="32"/>
          <w:szCs w:val="32"/>
        </w:rPr>
        <w:t>）</w:t>
      </w:r>
    </w:p>
    <w:p>
      <w:pPr>
        <w:ind w:firstLine="643" w:firstLineChars="200"/>
        <w:rPr>
          <w:rFonts w:ascii="仿宋"/>
          <w:b/>
          <w:bCs/>
          <w:sz w:val="32"/>
          <w:szCs w:val="32"/>
        </w:rPr>
      </w:pPr>
      <w:r>
        <w:rPr>
          <w:rFonts w:ascii="仿宋" w:hAnsi="仿宋" w:cs="仿宋"/>
          <w:b/>
          <w:bCs/>
          <w:sz w:val="32"/>
          <w:szCs w:val="32"/>
        </w:rPr>
        <w:t>5</w:t>
      </w:r>
      <w:r>
        <w:rPr>
          <w:rFonts w:hint="eastAsia" w:ascii="仿宋" w:hAnsi="仿宋" w:cs="仿宋"/>
          <w:b/>
          <w:bCs/>
          <w:sz w:val="32"/>
          <w:szCs w:val="32"/>
        </w:rPr>
        <w:t>、全面推动制度创新精准化</w:t>
      </w:r>
    </w:p>
    <w:p>
      <w:pPr>
        <w:ind w:firstLine="640" w:firstLineChars="200"/>
        <w:rPr>
          <w:rFonts w:ascii="仿宋"/>
          <w:sz w:val="32"/>
          <w:szCs w:val="32"/>
        </w:rPr>
      </w:pPr>
      <w:r>
        <w:rPr>
          <w:rFonts w:hint="eastAsia" w:ascii="仿宋" w:hAnsi="仿宋" w:cs="仿宋"/>
          <w:sz w:val="32"/>
          <w:szCs w:val="32"/>
        </w:rPr>
        <w:t>破解固体废物底数摸清难。全面推广整合各类固体废物管理信息系统，实现工业固废、生活垃圾、建筑垃圾、农业废弃物、医疗机构废弃物、港口船舶水污染物等全领域实现电子化申报，形成产废</w:t>
      </w:r>
      <w:r>
        <w:rPr>
          <w:rFonts w:hint="eastAsia" w:ascii="仿宋" w:cs="仿宋"/>
          <w:sz w:val="32"/>
          <w:szCs w:val="32"/>
        </w:rPr>
        <w:t>“</w:t>
      </w:r>
      <w:r>
        <w:rPr>
          <w:rFonts w:hint="eastAsia" w:ascii="仿宋" w:hAnsi="仿宋" w:cs="仿宋"/>
          <w:sz w:val="32"/>
          <w:szCs w:val="32"/>
        </w:rPr>
        <w:t>一本账</w:t>
      </w:r>
      <w:r>
        <w:rPr>
          <w:rFonts w:hint="eastAsia" w:ascii="仿宋" w:cs="仿宋"/>
          <w:sz w:val="32"/>
          <w:szCs w:val="32"/>
        </w:rPr>
        <w:t>”</w:t>
      </w:r>
      <w:r>
        <w:rPr>
          <w:rFonts w:hint="eastAsia" w:ascii="仿宋" w:hAnsi="仿宋" w:cs="仿宋"/>
          <w:sz w:val="32"/>
          <w:szCs w:val="32"/>
        </w:rPr>
        <w:t>。各乡镇、县经济开发区负责加强对辖区固体废物产废者的指导服务。（</w:t>
      </w:r>
      <w:r>
        <w:rPr>
          <w:rFonts w:hint="eastAsia" w:ascii="仿宋" w:hAnsi="仿宋" w:cs="仿宋"/>
          <w:b/>
          <w:bCs/>
          <w:sz w:val="32"/>
          <w:szCs w:val="32"/>
        </w:rPr>
        <w:t>责任单位：</w:t>
      </w:r>
      <w:r>
        <w:rPr>
          <w:rFonts w:hint="eastAsia" w:cs="仿宋"/>
          <w:b/>
          <w:bCs/>
          <w:sz w:val="32"/>
          <w:szCs w:val="32"/>
        </w:rPr>
        <w:t>市生态环境局岱山分局；配合单位：县经信局、县农业农村局、县卫生健康局、县综合行政执法局、县交通运输局（港航分局）、岱山海事处、县供销社、岱山经济开发区管委会、各乡镇政府</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破解特种危险废物清运难。通过推广政府向有资质单位购买服务、危险废物持证经营单位委托授权和政府统一建设集中贮存设施等运营模式，着力解决小微产废企业危险废物收集转运不及时、处置出路不通畅问题，到</w:t>
      </w:r>
      <w:r>
        <w:rPr>
          <w:rFonts w:ascii="仿宋" w:hAnsi="仿宋" w:cs="仿宋"/>
          <w:sz w:val="32"/>
          <w:szCs w:val="32"/>
        </w:rPr>
        <w:t>2020</w:t>
      </w:r>
      <w:r>
        <w:rPr>
          <w:rFonts w:hint="eastAsia" w:ascii="仿宋" w:hAnsi="仿宋" w:cs="仿宋"/>
          <w:sz w:val="32"/>
          <w:szCs w:val="32"/>
        </w:rPr>
        <w:t>年，建立覆盖全县小微产废企业危险废物及实验室废物集中统一收运体系。（</w:t>
      </w:r>
      <w:r>
        <w:rPr>
          <w:rFonts w:hint="eastAsia" w:ascii="仿宋" w:hAnsi="仿宋" w:cs="仿宋"/>
          <w:b/>
          <w:bCs/>
          <w:sz w:val="32"/>
          <w:szCs w:val="32"/>
        </w:rPr>
        <w:t>责任单位：县教育局、县经信局、市生态环境局岱山分局、县卫生健康局、县市场监管局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破解综合利用产品出路难。根据市级统一部署，开展危险废物</w:t>
      </w:r>
      <w:r>
        <w:rPr>
          <w:rFonts w:hint="eastAsia" w:ascii="仿宋" w:cs="仿宋"/>
          <w:sz w:val="32"/>
          <w:szCs w:val="32"/>
        </w:rPr>
        <w:t>“</w:t>
      </w:r>
      <w:r>
        <w:rPr>
          <w:rFonts w:hint="eastAsia" w:ascii="仿宋" w:hAnsi="仿宋" w:cs="仿宋"/>
          <w:sz w:val="32"/>
          <w:szCs w:val="32"/>
        </w:rPr>
        <w:t>点对点</w:t>
      </w:r>
      <w:r>
        <w:rPr>
          <w:rFonts w:hint="eastAsia" w:ascii="仿宋" w:cs="仿宋"/>
          <w:sz w:val="32"/>
          <w:szCs w:val="32"/>
        </w:rPr>
        <w:t>”</w:t>
      </w:r>
      <w:r>
        <w:rPr>
          <w:rFonts w:hint="eastAsia" w:ascii="仿宋" w:hAnsi="仿宋" w:cs="仿宋"/>
          <w:sz w:val="32"/>
          <w:szCs w:val="32"/>
        </w:rPr>
        <w:t>利用及建设预处理点工作试点，探索建立危险废物综合利用后产品工艺管理和质量管理制度，加强对废矿物油、油泥等资源利用产品的管理。（</w:t>
      </w:r>
      <w:r>
        <w:rPr>
          <w:rFonts w:hint="eastAsia" w:ascii="仿宋" w:hAnsi="仿宋" w:cs="仿宋"/>
          <w:b/>
          <w:bCs/>
          <w:sz w:val="32"/>
          <w:szCs w:val="32"/>
        </w:rPr>
        <w:t>责任单位：市生态环境局岱山分局、县市场监管局</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破解利用处置项目落地难。完善规划布局，力争工业固体废物利用处置项目落地建成，鼓励建设观光工业式固体废物利用处置设施。（</w:t>
      </w:r>
      <w:r>
        <w:rPr>
          <w:rFonts w:hint="eastAsia" w:ascii="仿宋" w:hAnsi="仿宋" w:cs="仿宋"/>
          <w:b/>
          <w:bCs/>
          <w:sz w:val="32"/>
          <w:szCs w:val="32"/>
        </w:rPr>
        <w:t>责任单位：市生态环境局岱山分局；配合单位：县发改局、县财政局</w:t>
      </w:r>
      <w:r>
        <w:rPr>
          <w:rFonts w:hint="eastAsia" w:ascii="仿宋" w:hAnsi="仿宋" w:cs="仿宋"/>
          <w:sz w:val="32"/>
          <w:szCs w:val="32"/>
        </w:rPr>
        <w:t>）根据上级要求落实固体废物处置生态补偿机制。（</w:t>
      </w:r>
      <w:r>
        <w:rPr>
          <w:rFonts w:hint="eastAsia" w:ascii="仿宋" w:hAnsi="仿宋" w:cs="仿宋"/>
          <w:b/>
          <w:bCs/>
          <w:sz w:val="32"/>
          <w:szCs w:val="32"/>
        </w:rPr>
        <w:t>责任单位：市生态环境局岱山分局；配合单位：县财政局</w:t>
      </w:r>
      <w:r>
        <w:rPr>
          <w:rFonts w:hint="eastAsia" w:ascii="仿宋" w:hAnsi="仿宋" w:cs="仿宋"/>
          <w:sz w:val="32"/>
          <w:szCs w:val="32"/>
        </w:rPr>
        <w:t>）</w:t>
      </w:r>
    </w:p>
    <w:p>
      <w:pPr>
        <w:ind w:firstLine="643" w:firstLineChars="200"/>
        <w:rPr>
          <w:rFonts w:ascii="仿宋"/>
          <w:b/>
          <w:bCs/>
          <w:sz w:val="32"/>
          <w:szCs w:val="32"/>
        </w:rPr>
      </w:pPr>
      <w:r>
        <w:rPr>
          <w:rFonts w:ascii="仿宋" w:hAnsi="仿宋" w:cs="仿宋"/>
          <w:b/>
          <w:bCs/>
          <w:sz w:val="32"/>
          <w:szCs w:val="32"/>
        </w:rPr>
        <w:t>6</w:t>
      </w:r>
      <w:r>
        <w:rPr>
          <w:rFonts w:hint="eastAsia" w:ascii="仿宋" w:hAnsi="仿宋" w:cs="仿宋"/>
          <w:b/>
          <w:bCs/>
          <w:sz w:val="32"/>
          <w:szCs w:val="32"/>
        </w:rPr>
        <w:t>、全面形成齐抓共管制度化</w:t>
      </w:r>
    </w:p>
    <w:p>
      <w:pPr>
        <w:ind w:firstLine="640" w:firstLineChars="200"/>
        <w:rPr>
          <w:rFonts w:ascii="仿宋"/>
          <w:sz w:val="32"/>
          <w:szCs w:val="32"/>
        </w:rPr>
      </w:pPr>
      <w:r>
        <w:rPr>
          <w:rFonts w:hint="eastAsia" w:ascii="仿宋" w:hAnsi="仿宋" w:cs="仿宋"/>
          <w:sz w:val="32"/>
          <w:szCs w:val="32"/>
        </w:rPr>
        <w:t>夯实产废者的主体责任。坚持污染物</w:t>
      </w:r>
      <w:r>
        <w:rPr>
          <w:rFonts w:hint="eastAsia" w:ascii="仿宋" w:cs="仿宋"/>
          <w:sz w:val="32"/>
          <w:szCs w:val="32"/>
        </w:rPr>
        <w:t>“</w:t>
      </w:r>
      <w:r>
        <w:rPr>
          <w:rFonts w:hint="eastAsia" w:ascii="仿宋" w:hAnsi="仿宋" w:cs="仿宋"/>
          <w:sz w:val="32"/>
          <w:szCs w:val="32"/>
        </w:rPr>
        <w:t>谁产生、谁负责</w:t>
      </w:r>
      <w:r>
        <w:rPr>
          <w:rFonts w:hint="eastAsia" w:ascii="仿宋" w:cs="仿宋"/>
          <w:sz w:val="32"/>
          <w:szCs w:val="32"/>
        </w:rPr>
        <w:t>”“</w:t>
      </w:r>
      <w:r>
        <w:rPr>
          <w:rFonts w:hint="eastAsia" w:ascii="仿宋" w:hAnsi="仿宋" w:cs="仿宋"/>
          <w:sz w:val="32"/>
          <w:szCs w:val="32"/>
        </w:rPr>
        <w:t>谁产生、谁治理</w:t>
      </w:r>
      <w:r>
        <w:rPr>
          <w:rFonts w:hint="eastAsia" w:ascii="仿宋" w:cs="仿宋"/>
          <w:sz w:val="32"/>
          <w:szCs w:val="32"/>
        </w:rPr>
        <w:t>”</w:t>
      </w:r>
      <w:r>
        <w:rPr>
          <w:rFonts w:hint="eastAsia" w:ascii="仿宋" w:hAnsi="仿宋" w:cs="仿宋"/>
          <w:sz w:val="32"/>
          <w:szCs w:val="32"/>
        </w:rPr>
        <w:t>的原则，推进源头减量，推动无害化利用处置。（</w:t>
      </w:r>
      <w:r>
        <w:rPr>
          <w:rFonts w:hint="eastAsia" w:ascii="仿宋" w:hAnsi="仿宋" w:cs="仿宋"/>
          <w:b/>
          <w:bCs/>
          <w:sz w:val="32"/>
          <w:szCs w:val="32"/>
        </w:rPr>
        <w:t>责任单位：县发改局、县经信局、市生态环境局岱山分局、农业农村局、县卫生健康局、县综合行政执法局按职责分别牵头</w:t>
      </w:r>
      <w:r>
        <w:rPr>
          <w:rFonts w:hint="eastAsia" w:ascii="仿宋" w:hAnsi="仿宋" w:cs="仿宋"/>
          <w:sz w:val="32"/>
          <w:szCs w:val="32"/>
        </w:rPr>
        <w:t>）</w:t>
      </w:r>
    </w:p>
    <w:p>
      <w:pPr>
        <w:ind w:firstLine="640" w:firstLineChars="200"/>
        <w:rPr>
          <w:rFonts w:ascii="仿宋"/>
          <w:sz w:val="32"/>
          <w:szCs w:val="32"/>
        </w:rPr>
      </w:pPr>
      <w:r>
        <w:rPr>
          <w:rFonts w:hint="eastAsia" w:ascii="仿宋" w:hAnsi="仿宋" w:cs="仿宋"/>
          <w:sz w:val="32"/>
          <w:szCs w:val="32"/>
        </w:rPr>
        <w:t>压实政府的监管职责。进一步落实管行业必须管环保、管发展必须管环保、管生产必须管环保的要求，将部门齐抓共管的良好工作格局制度化，进一步提升全县固体废物管理水平。（</w:t>
      </w:r>
      <w:r>
        <w:rPr>
          <w:rFonts w:hint="eastAsia" w:ascii="仿宋" w:hAnsi="仿宋" w:cs="仿宋"/>
          <w:b/>
          <w:bCs/>
          <w:sz w:val="32"/>
          <w:szCs w:val="32"/>
        </w:rPr>
        <w:t>责任单位：市生态环境局岱山分局；配合单位：县经信局、县农业农村局、县卫生健康局、县综合行政执法局</w:t>
      </w:r>
      <w:r>
        <w:rPr>
          <w:rFonts w:hint="eastAsia" w:ascii="仿宋" w:hAnsi="仿宋" w:cs="仿宋"/>
          <w:sz w:val="32"/>
          <w:szCs w:val="32"/>
        </w:rPr>
        <w:t>）</w:t>
      </w:r>
    </w:p>
    <w:p>
      <w:pPr>
        <w:pStyle w:val="2"/>
        <w:ind w:firstLine="31680"/>
        <w:rPr>
          <w:rFonts w:ascii="仿宋" w:hAnsi="仿宋" w:eastAsia="仿宋"/>
          <w:b/>
          <w:bCs/>
          <w:sz w:val="36"/>
          <w:szCs w:val="36"/>
        </w:rPr>
      </w:pPr>
      <w:r>
        <w:rPr>
          <w:rFonts w:hint="eastAsia" w:ascii="仿宋" w:hAnsi="仿宋" w:eastAsia="仿宋" w:cs="仿宋"/>
          <w:b/>
          <w:bCs/>
          <w:sz w:val="36"/>
          <w:szCs w:val="36"/>
        </w:rPr>
        <w:t>三、实施步骤</w:t>
      </w:r>
    </w:p>
    <w:p>
      <w:pPr>
        <w:ind w:firstLine="640" w:firstLineChars="200"/>
        <w:rPr>
          <w:rFonts w:ascii="仿宋"/>
          <w:sz w:val="32"/>
          <w:szCs w:val="32"/>
        </w:rPr>
      </w:pPr>
      <w:r>
        <w:rPr>
          <w:rFonts w:hint="eastAsia" w:ascii="仿宋" w:hAnsi="仿宋" w:cs="仿宋"/>
          <w:sz w:val="32"/>
          <w:szCs w:val="32"/>
        </w:rPr>
        <w:t>（一）确定工作举措。根据浙江省全域“无废城市”建设工作方案，</w:t>
      </w:r>
      <w:r>
        <w:rPr>
          <w:rFonts w:ascii="仿宋" w:hAnsi="仿宋" w:cs="仿宋"/>
          <w:sz w:val="32"/>
          <w:szCs w:val="32"/>
        </w:rPr>
        <w:t>2020</w:t>
      </w:r>
      <w:r>
        <w:rPr>
          <w:rFonts w:hint="eastAsia" w:ascii="仿宋" w:hAnsi="仿宋" w:cs="仿宋"/>
          <w:sz w:val="32"/>
          <w:szCs w:val="32"/>
        </w:rPr>
        <w:t>年</w:t>
      </w:r>
      <w:r>
        <w:rPr>
          <w:rFonts w:ascii="仿宋" w:hAnsi="仿宋" w:cs="仿宋"/>
          <w:sz w:val="32"/>
          <w:szCs w:val="32"/>
        </w:rPr>
        <w:t>8</w:t>
      </w:r>
      <w:r>
        <w:rPr>
          <w:rFonts w:hint="eastAsia" w:ascii="仿宋" w:hAnsi="仿宋" w:cs="仿宋"/>
          <w:sz w:val="32"/>
          <w:szCs w:val="32"/>
        </w:rPr>
        <w:t>月底前，制定《岱山县</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建设工作实施方案》，明确目标清单、任务清单、项目清单、责任清单</w:t>
      </w:r>
      <w:r>
        <w:rPr>
          <w:rFonts w:hint="eastAsia" w:ascii="仿宋" w:cs="仿宋"/>
          <w:sz w:val="32"/>
          <w:szCs w:val="32"/>
        </w:rPr>
        <w:t>“</w:t>
      </w:r>
      <w:r>
        <w:rPr>
          <w:rFonts w:hint="eastAsia" w:ascii="仿宋" w:hAnsi="仿宋" w:cs="仿宋"/>
          <w:sz w:val="32"/>
          <w:szCs w:val="32"/>
        </w:rPr>
        <w:t>四张清单</w:t>
      </w:r>
      <w:r>
        <w:rPr>
          <w:rFonts w:hint="eastAsia" w:ascii="仿宋" w:cs="仿宋"/>
          <w:sz w:val="32"/>
          <w:szCs w:val="32"/>
        </w:rPr>
        <w:t>”</w:t>
      </w:r>
      <w:r>
        <w:rPr>
          <w:rFonts w:hint="eastAsia" w:ascii="仿宋" w:hAnsi="仿宋" w:cs="仿宋"/>
          <w:sz w:val="32"/>
          <w:szCs w:val="32"/>
        </w:rPr>
        <w:t>及保障措施等，并报送省生态环境厅。</w:t>
      </w:r>
    </w:p>
    <w:p>
      <w:pPr>
        <w:ind w:firstLine="640" w:firstLineChars="200"/>
        <w:rPr>
          <w:rFonts w:ascii="仿宋"/>
          <w:sz w:val="32"/>
          <w:szCs w:val="32"/>
        </w:rPr>
      </w:pPr>
      <w:r>
        <w:rPr>
          <w:rFonts w:hint="eastAsia" w:ascii="仿宋" w:hAnsi="仿宋" w:cs="仿宋"/>
          <w:sz w:val="32"/>
          <w:szCs w:val="32"/>
        </w:rPr>
        <w:t>（二）组织开展建设。</w:t>
      </w:r>
      <w:r>
        <w:rPr>
          <w:rFonts w:hint="eastAsia" w:cs="仿宋"/>
          <w:sz w:val="32"/>
          <w:szCs w:val="32"/>
        </w:rPr>
        <w:t>各相关部门按照职责任务分工，严格落实责任主体</w:t>
      </w:r>
      <w:r>
        <w:rPr>
          <w:rFonts w:hint="eastAsia" w:ascii="仿宋" w:hAnsi="仿宋" w:cs="仿宋"/>
          <w:sz w:val="32"/>
          <w:szCs w:val="32"/>
        </w:rPr>
        <w:t>，有力有序推进相关建设任务。通过制定考核办法、落实年度考核机制、月度调度工作等方式，确保各项任务落地见效。</w:t>
      </w:r>
    </w:p>
    <w:p>
      <w:pPr>
        <w:ind w:firstLine="640" w:firstLineChars="200"/>
        <w:rPr>
          <w:rFonts w:ascii="仿宋"/>
          <w:sz w:val="32"/>
          <w:szCs w:val="32"/>
        </w:rPr>
      </w:pPr>
      <w:r>
        <w:rPr>
          <w:rFonts w:hint="eastAsia" w:ascii="仿宋" w:hAnsi="仿宋" w:cs="仿宋"/>
          <w:sz w:val="32"/>
          <w:szCs w:val="32"/>
        </w:rPr>
        <w:t>（三）及时评估总结。及时开展工作总结，在政府门户网站及时发布计划、重点工作推进情况等建设工作信息。计划到</w:t>
      </w:r>
      <w:r>
        <w:rPr>
          <w:rFonts w:ascii="仿宋" w:hAnsi="仿宋" w:cs="仿宋"/>
          <w:sz w:val="32"/>
          <w:szCs w:val="32"/>
        </w:rPr>
        <w:t>2021</w:t>
      </w:r>
      <w:r>
        <w:rPr>
          <w:rFonts w:hint="eastAsia" w:ascii="仿宋" w:hAnsi="仿宋" w:cs="仿宋"/>
          <w:sz w:val="32"/>
          <w:szCs w:val="32"/>
        </w:rPr>
        <w:t>年</w:t>
      </w:r>
      <w:r>
        <w:rPr>
          <w:rFonts w:ascii="仿宋" w:hAnsi="仿宋" w:cs="仿宋"/>
          <w:sz w:val="32"/>
          <w:szCs w:val="32"/>
        </w:rPr>
        <w:t>6</w:t>
      </w:r>
      <w:r>
        <w:rPr>
          <w:rFonts w:hint="eastAsia" w:ascii="仿宋" w:hAnsi="仿宋" w:cs="仿宋"/>
          <w:sz w:val="32"/>
          <w:szCs w:val="32"/>
        </w:rPr>
        <w:t>月底前达到“无废城市”建设指标，参照《浙江省全域“无废城市”建设管理规程》（浙土壤办〔</w:t>
      </w:r>
      <w:r>
        <w:rPr>
          <w:rFonts w:ascii="仿宋" w:hAnsi="仿宋" w:cs="仿宋"/>
          <w:sz w:val="32"/>
          <w:szCs w:val="32"/>
        </w:rPr>
        <w:t>2020</w:t>
      </w:r>
      <w:r>
        <w:rPr>
          <w:rFonts w:hint="eastAsia" w:ascii="仿宋" w:hAnsi="仿宋" w:cs="仿宋"/>
          <w:sz w:val="32"/>
          <w:szCs w:val="32"/>
        </w:rPr>
        <w:t>〕</w:t>
      </w:r>
      <w:r>
        <w:rPr>
          <w:rFonts w:ascii="仿宋" w:hAnsi="仿宋" w:cs="仿宋"/>
          <w:sz w:val="32"/>
          <w:szCs w:val="32"/>
        </w:rPr>
        <w:t>1</w:t>
      </w:r>
      <w:r>
        <w:rPr>
          <w:rFonts w:hint="eastAsia" w:ascii="仿宋" w:hAnsi="仿宋" w:cs="仿宋"/>
          <w:sz w:val="32"/>
          <w:szCs w:val="32"/>
        </w:rPr>
        <w:t>号），于</w:t>
      </w:r>
      <w:r>
        <w:rPr>
          <w:rFonts w:ascii="仿宋" w:hAnsi="仿宋" w:cs="仿宋"/>
          <w:sz w:val="32"/>
          <w:szCs w:val="32"/>
        </w:rPr>
        <w:t>2021</w:t>
      </w:r>
      <w:r>
        <w:rPr>
          <w:rFonts w:hint="eastAsia" w:ascii="仿宋" w:hAnsi="仿宋" w:cs="仿宋"/>
          <w:sz w:val="32"/>
          <w:szCs w:val="32"/>
        </w:rPr>
        <w:t>年</w:t>
      </w:r>
      <w:r>
        <w:rPr>
          <w:rFonts w:ascii="仿宋" w:hAnsi="仿宋" w:cs="仿宋"/>
          <w:sz w:val="32"/>
          <w:szCs w:val="32"/>
        </w:rPr>
        <w:t>9</w:t>
      </w:r>
      <w:r>
        <w:rPr>
          <w:rFonts w:hint="eastAsia" w:ascii="仿宋" w:hAnsi="仿宋" w:cs="仿宋"/>
          <w:sz w:val="32"/>
          <w:szCs w:val="32"/>
        </w:rPr>
        <w:t>月底向省生态环境厅提出申报申请。</w:t>
      </w:r>
    </w:p>
    <w:p>
      <w:pPr>
        <w:pStyle w:val="2"/>
        <w:spacing w:line="276" w:lineRule="auto"/>
        <w:ind w:firstLine="31680"/>
        <w:rPr>
          <w:rFonts w:ascii="仿宋" w:hAnsi="仿宋" w:eastAsia="仿宋"/>
          <w:b/>
          <w:bCs/>
          <w:sz w:val="36"/>
          <w:szCs w:val="36"/>
        </w:rPr>
      </w:pPr>
      <w:r>
        <w:rPr>
          <w:rFonts w:hint="eastAsia" w:ascii="仿宋" w:hAnsi="仿宋" w:eastAsia="仿宋" w:cs="仿宋"/>
          <w:b/>
          <w:bCs/>
          <w:sz w:val="36"/>
          <w:szCs w:val="36"/>
        </w:rPr>
        <w:t>四、保障措施</w:t>
      </w:r>
    </w:p>
    <w:p>
      <w:pPr>
        <w:spacing w:line="276" w:lineRule="auto"/>
        <w:ind w:firstLine="640" w:firstLineChars="200"/>
        <w:rPr>
          <w:rFonts w:ascii="仿宋"/>
          <w:sz w:val="32"/>
          <w:szCs w:val="32"/>
        </w:rPr>
      </w:pPr>
      <w:r>
        <w:rPr>
          <w:rFonts w:hint="eastAsia" w:ascii="仿宋" w:hAnsi="仿宋" w:cs="仿宋"/>
          <w:sz w:val="32"/>
          <w:szCs w:val="32"/>
        </w:rPr>
        <w:t>（一）明确职责分工。县“无废城市”建设共走领导小组负责统一组织全县</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建设工作。各乡镇、县经济开发区要认真落实属地责任，切实强化监管。各职能部门要强化责任担当，密切协作配合，形成上下联动、齐抓共管、合力推进的工作格局。加大财政资金统筹整合力度，明确</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建设资金范围和规模。强化技术支撑，指导全县开展</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建设工作。</w:t>
      </w:r>
    </w:p>
    <w:p>
      <w:pPr>
        <w:spacing w:line="276" w:lineRule="auto"/>
        <w:ind w:firstLine="640" w:firstLineChars="200"/>
        <w:rPr>
          <w:rFonts w:ascii="仿宋"/>
          <w:sz w:val="32"/>
          <w:szCs w:val="32"/>
        </w:rPr>
      </w:pPr>
      <w:r>
        <w:rPr>
          <w:rFonts w:hint="eastAsia" w:ascii="仿宋" w:hAnsi="仿宋" w:cs="仿宋"/>
          <w:sz w:val="32"/>
          <w:szCs w:val="32"/>
        </w:rPr>
        <w:t>（二）抓好工作落实。将</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建设纳入美丽岱山建设考核体系。</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建设评估结果作为领导班子和领导干部实绩考核评价的重要参考。</w:t>
      </w:r>
    </w:p>
    <w:p>
      <w:pPr>
        <w:spacing w:line="276" w:lineRule="auto"/>
        <w:ind w:firstLine="640" w:firstLineChars="200"/>
        <w:rPr>
          <w:rFonts w:ascii="仿宋"/>
          <w:sz w:val="32"/>
          <w:szCs w:val="32"/>
        </w:rPr>
      </w:pPr>
      <w:r>
        <w:rPr>
          <w:rFonts w:hint="eastAsia" w:ascii="仿宋" w:hAnsi="仿宋" w:cs="仿宋"/>
          <w:sz w:val="32"/>
          <w:szCs w:val="32"/>
        </w:rPr>
        <w:t>（三）加强宣传引导。构建全面立体的</w:t>
      </w:r>
      <w:r>
        <w:rPr>
          <w:rFonts w:hint="eastAsia" w:ascii="仿宋" w:cs="仿宋"/>
          <w:sz w:val="32"/>
          <w:szCs w:val="32"/>
        </w:rPr>
        <w:t>“</w:t>
      </w:r>
      <w:r>
        <w:rPr>
          <w:rFonts w:hint="eastAsia" w:ascii="仿宋" w:hAnsi="仿宋" w:cs="仿宋"/>
          <w:sz w:val="32"/>
          <w:szCs w:val="32"/>
        </w:rPr>
        <w:t>无废城市</w:t>
      </w:r>
      <w:r>
        <w:rPr>
          <w:rFonts w:hint="eastAsia" w:ascii="仿宋" w:cs="仿宋"/>
          <w:sz w:val="32"/>
          <w:szCs w:val="32"/>
        </w:rPr>
        <w:t>”</w:t>
      </w:r>
      <w:r>
        <w:rPr>
          <w:rFonts w:hint="eastAsia" w:ascii="仿宋" w:hAnsi="仿宋" w:cs="仿宋"/>
          <w:sz w:val="32"/>
          <w:szCs w:val="32"/>
        </w:rPr>
        <w:t>宣传教育体系，营造舆论氛围，培育</w:t>
      </w:r>
      <w:r>
        <w:rPr>
          <w:rFonts w:hint="eastAsia" w:ascii="仿宋" w:cs="仿宋"/>
          <w:sz w:val="32"/>
          <w:szCs w:val="32"/>
        </w:rPr>
        <w:t>“</w:t>
      </w:r>
      <w:r>
        <w:rPr>
          <w:rFonts w:hint="eastAsia" w:ascii="仿宋" w:hAnsi="仿宋" w:cs="仿宋"/>
          <w:sz w:val="32"/>
          <w:szCs w:val="32"/>
        </w:rPr>
        <w:t>无废</w:t>
      </w:r>
      <w:r>
        <w:rPr>
          <w:rFonts w:hint="eastAsia" w:ascii="仿宋" w:cs="仿宋"/>
          <w:sz w:val="32"/>
          <w:szCs w:val="32"/>
        </w:rPr>
        <w:t>”</w:t>
      </w:r>
      <w:r>
        <w:rPr>
          <w:rFonts w:hint="eastAsia" w:ascii="仿宋" w:hAnsi="仿宋" w:cs="仿宋"/>
          <w:sz w:val="32"/>
          <w:szCs w:val="32"/>
        </w:rPr>
        <w:t>理念。强化全民责任意识、法治意识和企业社会责任意识，推动生产生活方式绿色化。</w:t>
      </w:r>
    </w:p>
    <w:p>
      <w:pPr>
        <w:spacing w:line="276" w:lineRule="auto"/>
        <w:ind w:firstLine="640" w:firstLineChars="200"/>
        <w:jc w:val="center"/>
        <w:rPr>
          <w:rFonts w:ascii="仿宋"/>
          <w:sz w:val="32"/>
          <w:szCs w:val="32"/>
        </w:rPr>
      </w:pPr>
    </w:p>
    <w:p>
      <w:pPr>
        <w:spacing w:line="360" w:lineRule="auto"/>
        <w:jc w:val="left"/>
        <w:rPr>
          <w:rFonts w:ascii="仿宋"/>
        </w:rPr>
      </w:pPr>
      <w:r>
        <w:rPr>
          <w:rFonts w:hint="eastAsia" w:ascii="仿宋" w:hAnsi="仿宋" w:cs="仿宋"/>
        </w:rPr>
        <w:t>附件</w:t>
      </w:r>
      <w:r>
        <w:rPr>
          <w:rFonts w:ascii="仿宋" w:hAnsi="仿宋" w:cs="仿宋"/>
        </w:rPr>
        <w:t>1</w:t>
      </w:r>
      <w:r>
        <w:rPr>
          <w:rFonts w:hint="eastAsia" w:ascii="仿宋" w:hAnsi="仿宋" w:cs="仿宋"/>
        </w:rPr>
        <w:t>：岱山县</w:t>
      </w:r>
      <w:r>
        <w:rPr>
          <w:rFonts w:hint="eastAsia" w:ascii="仿宋" w:cs="仿宋"/>
        </w:rPr>
        <w:t>“</w:t>
      </w:r>
      <w:r>
        <w:rPr>
          <w:rFonts w:hint="eastAsia" w:ascii="仿宋" w:hAnsi="仿宋" w:cs="仿宋"/>
        </w:rPr>
        <w:t>无废城市</w:t>
      </w:r>
      <w:r>
        <w:rPr>
          <w:rFonts w:hint="eastAsia" w:ascii="仿宋" w:cs="仿宋"/>
        </w:rPr>
        <w:t>”</w:t>
      </w:r>
      <w:r>
        <w:rPr>
          <w:rFonts w:hint="eastAsia" w:ascii="仿宋" w:hAnsi="仿宋" w:cs="仿宋"/>
        </w:rPr>
        <w:t>建设工作目标清单</w:t>
      </w:r>
    </w:p>
    <w:p>
      <w:pPr>
        <w:spacing w:line="360" w:lineRule="auto"/>
        <w:jc w:val="left"/>
        <w:rPr>
          <w:rFonts w:ascii="仿宋"/>
        </w:rPr>
      </w:pPr>
      <w:r>
        <w:rPr>
          <w:rFonts w:hint="eastAsia" w:ascii="仿宋" w:hAnsi="仿宋" w:cs="仿宋"/>
        </w:rPr>
        <w:t>附件</w:t>
      </w:r>
      <w:r>
        <w:rPr>
          <w:rFonts w:ascii="仿宋" w:hAnsi="仿宋" w:cs="仿宋"/>
        </w:rPr>
        <w:t>2</w:t>
      </w:r>
      <w:r>
        <w:rPr>
          <w:rFonts w:hint="eastAsia" w:ascii="仿宋" w:hAnsi="仿宋" w:cs="仿宋"/>
        </w:rPr>
        <w:t>：岱山县</w:t>
      </w:r>
      <w:r>
        <w:rPr>
          <w:rFonts w:hint="eastAsia" w:ascii="仿宋" w:cs="仿宋"/>
        </w:rPr>
        <w:t>“</w:t>
      </w:r>
      <w:r>
        <w:rPr>
          <w:rFonts w:hint="eastAsia" w:ascii="仿宋" w:hAnsi="仿宋" w:cs="仿宋"/>
        </w:rPr>
        <w:t>无废城市</w:t>
      </w:r>
      <w:r>
        <w:rPr>
          <w:rFonts w:hint="eastAsia" w:ascii="仿宋" w:cs="仿宋"/>
        </w:rPr>
        <w:t>”</w:t>
      </w:r>
      <w:r>
        <w:rPr>
          <w:rFonts w:hint="eastAsia" w:ascii="仿宋" w:hAnsi="仿宋" w:cs="仿宋"/>
        </w:rPr>
        <w:t>建设工作任务清单</w:t>
      </w:r>
    </w:p>
    <w:p>
      <w:pPr>
        <w:spacing w:line="360" w:lineRule="auto"/>
        <w:jc w:val="left"/>
        <w:rPr>
          <w:rFonts w:ascii="仿宋"/>
        </w:rPr>
      </w:pPr>
      <w:r>
        <w:rPr>
          <w:rFonts w:hint="eastAsia" w:ascii="仿宋" w:hAnsi="仿宋" w:cs="仿宋"/>
        </w:rPr>
        <w:t>附件</w:t>
      </w:r>
      <w:r>
        <w:rPr>
          <w:rFonts w:ascii="仿宋" w:hAnsi="仿宋" w:cs="仿宋"/>
        </w:rPr>
        <w:t>3</w:t>
      </w:r>
      <w:r>
        <w:rPr>
          <w:rFonts w:hint="eastAsia" w:ascii="仿宋" w:hAnsi="仿宋" w:cs="仿宋"/>
        </w:rPr>
        <w:t>：岱山县</w:t>
      </w:r>
      <w:r>
        <w:rPr>
          <w:rFonts w:hint="eastAsia" w:ascii="仿宋" w:cs="仿宋"/>
        </w:rPr>
        <w:t>“</w:t>
      </w:r>
      <w:r>
        <w:rPr>
          <w:rFonts w:hint="eastAsia" w:ascii="仿宋" w:hAnsi="仿宋" w:cs="仿宋"/>
        </w:rPr>
        <w:t>无废城市</w:t>
      </w:r>
      <w:r>
        <w:rPr>
          <w:rFonts w:hint="eastAsia" w:ascii="仿宋" w:cs="仿宋"/>
        </w:rPr>
        <w:t>”</w:t>
      </w:r>
      <w:r>
        <w:rPr>
          <w:rFonts w:hint="eastAsia" w:ascii="仿宋" w:hAnsi="仿宋" w:cs="仿宋"/>
        </w:rPr>
        <w:t>建设工作项目清单</w:t>
      </w:r>
    </w:p>
    <w:p>
      <w:pPr>
        <w:spacing w:line="360" w:lineRule="auto"/>
        <w:jc w:val="left"/>
        <w:rPr>
          <w:rFonts w:ascii="仿宋"/>
        </w:rPr>
      </w:pPr>
      <w:r>
        <w:rPr>
          <w:rFonts w:hint="eastAsia" w:ascii="仿宋" w:hAnsi="仿宋" w:cs="仿宋"/>
        </w:rPr>
        <w:t>附件</w:t>
      </w:r>
      <w:r>
        <w:rPr>
          <w:rFonts w:ascii="仿宋" w:hAnsi="仿宋" w:cs="仿宋"/>
        </w:rPr>
        <w:t>4</w:t>
      </w:r>
      <w:r>
        <w:rPr>
          <w:rFonts w:hint="eastAsia" w:ascii="仿宋" w:hAnsi="仿宋" w:cs="仿宋"/>
        </w:rPr>
        <w:t>：岱山县</w:t>
      </w:r>
      <w:r>
        <w:rPr>
          <w:rFonts w:hint="eastAsia" w:ascii="仿宋" w:cs="仿宋"/>
        </w:rPr>
        <w:t>“</w:t>
      </w:r>
      <w:r>
        <w:rPr>
          <w:rFonts w:hint="eastAsia" w:ascii="仿宋" w:hAnsi="仿宋" w:cs="仿宋"/>
        </w:rPr>
        <w:t>无废城市</w:t>
      </w:r>
      <w:r>
        <w:rPr>
          <w:rFonts w:hint="eastAsia" w:ascii="仿宋" w:cs="仿宋"/>
        </w:rPr>
        <w:t>”</w:t>
      </w:r>
      <w:r>
        <w:rPr>
          <w:rFonts w:hint="eastAsia" w:ascii="仿宋" w:hAnsi="仿宋" w:cs="仿宋"/>
        </w:rPr>
        <w:t>建设工作责任清单</w:t>
      </w:r>
    </w:p>
    <w:p>
      <w:pPr>
        <w:spacing w:line="360" w:lineRule="auto"/>
        <w:jc w:val="left"/>
        <w:rPr>
          <w:rFonts w:ascii="仿宋"/>
        </w:rPr>
      </w:pPr>
    </w:p>
    <w:p>
      <w:pPr>
        <w:spacing w:line="360" w:lineRule="auto"/>
        <w:ind w:right="141"/>
        <w:jc w:val="right"/>
        <w:rPr>
          <w:rFonts w:ascii="仿宋"/>
        </w:rPr>
      </w:pPr>
      <w:r>
        <w:rPr>
          <w:rFonts w:hint="eastAsia" w:ascii="仿宋" w:hAnsi="仿宋" w:cs="仿宋"/>
        </w:rPr>
        <w:t>岱山县人民政府</w:t>
      </w:r>
    </w:p>
    <w:p>
      <w:pPr>
        <w:wordWrap w:val="0"/>
        <w:spacing w:line="360" w:lineRule="auto"/>
        <w:jc w:val="right"/>
        <w:rPr>
          <w:rFonts w:ascii="仿宋"/>
        </w:rPr>
      </w:pPr>
      <w:r>
        <w:rPr>
          <w:rFonts w:ascii="仿宋" w:hAnsi="仿宋" w:cs="仿宋"/>
        </w:rPr>
        <w:t>2020</w:t>
      </w:r>
      <w:r>
        <w:rPr>
          <w:rFonts w:hint="eastAsia" w:ascii="仿宋" w:hAnsi="仿宋" w:cs="仿宋"/>
        </w:rPr>
        <w:t>年</w:t>
      </w:r>
      <w:r>
        <w:rPr>
          <w:rFonts w:ascii="仿宋" w:hAnsi="仿宋" w:cs="仿宋"/>
        </w:rPr>
        <w:t>7</w:t>
      </w:r>
      <w:r>
        <w:rPr>
          <w:rFonts w:hint="eastAsia" w:ascii="仿宋" w:hAnsi="仿宋" w:cs="仿宋"/>
        </w:rPr>
        <w:t>月</w:t>
      </w:r>
      <w:r>
        <w:rPr>
          <w:rFonts w:ascii="仿宋" w:hAnsi="仿宋" w:cs="仿宋"/>
        </w:rPr>
        <w:t>27</w:t>
      </w:r>
      <w:r>
        <w:rPr>
          <w:rFonts w:hint="eastAsia" w:ascii="仿宋" w:hAnsi="仿宋" w:cs="仿宋"/>
        </w:rPr>
        <w:t>日</w:t>
      </w:r>
    </w:p>
    <w:p>
      <w:pPr>
        <w:spacing w:line="360" w:lineRule="auto"/>
        <w:jc w:val="left"/>
        <w:rPr>
          <w:rFonts w:ascii="仿宋"/>
          <w:b/>
          <w:bCs/>
        </w:rPr>
        <w:sectPr>
          <w:footerReference r:id="rId3" w:type="default"/>
          <w:pgSz w:w="11906" w:h="16838"/>
          <w:pgMar w:top="1440" w:right="1800" w:bottom="1440" w:left="1800" w:header="851" w:footer="992" w:gutter="0"/>
          <w:cols w:space="425" w:num="1"/>
          <w:docGrid w:type="lines" w:linePitch="312" w:charSpace="0"/>
        </w:sectPr>
      </w:pPr>
    </w:p>
    <w:p>
      <w:pPr>
        <w:pStyle w:val="32"/>
        <w:outlineLvl w:val="0"/>
        <w:rPr>
          <w:sz w:val="36"/>
          <w:szCs w:val="36"/>
        </w:rPr>
      </w:pPr>
      <w:r>
        <w:rPr>
          <w:rFonts w:hint="eastAsia" w:cs="仿宋"/>
          <w:sz w:val="36"/>
          <w:szCs w:val="36"/>
        </w:rPr>
        <w:t>附件</w:t>
      </w:r>
      <w:r>
        <w:rPr>
          <w:sz w:val="36"/>
          <w:szCs w:val="36"/>
        </w:rPr>
        <w:t>1</w:t>
      </w:r>
      <w:r>
        <w:rPr>
          <w:rFonts w:hint="eastAsia" w:cs="仿宋"/>
          <w:sz w:val="36"/>
          <w:szCs w:val="36"/>
        </w:rPr>
        <w:t>：岱山县</w:t>
      </w:r>
      <w:r>
        <w:rPr>
          <w:sz w:val="36"/>
          <w:szCs w:val="36"/>
        </w:rPr>
        <w:t>“</w:t>
      </w:r>
      <w:r>
        <w:rPr>
          <w:rFonts w:hint="eastAsia" w:cs="仿宋"/>
          <w:sz w:val="36"/>
          <w:szCs w:val="36"/>
        </w:rPr>
        <w:t>无废城市</w:t>
      </w:r>
      <w:r>
        <w:rPr>
          <w:sz w:val="36"/>
          <w:szCs w:val="36"/>
        </w:rPr>
        <w:t>”</w:t>
      </w:r>
      <w:r>
        <w:rPr>
          <w:rFonts w:hint="eastAsia" w:cs="仿宋"/>
          <w:sz w:val="36"/>
          <w:szCs w:val="36"/>
        </w:rPr>
        <w:t>建设工作目标清单</w:t>
      </w:r>
    </w:p>
    <w:tbl>
      <w:tblPr>
        <w:tblStyle w:val="15"/>
        <w:tblW w:w="14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2"/>
        <w:gridCol w:w="1008"/>
        <w:gridCol w:w="2233"/>
        <w:gridCol w:w="462"/>
        <w:gridCol w:w="709"/>
        <w:gridCol w:w="1275"/>
        <w:gridCol w:w="1134"/>
        <w:gridCol w:w="2250"/>
        <w:gridCol w:w="1559"/>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blHeader/>
          <w:jc w:val="center"/>
        </w:trPr>
        <w:tc>
          <w:tcPr>
            <w:tcW w:w="582" w:type="dxa"/>
            <w:shd w:val="clear" w:color="auto" w:fill="D9D9D9"/>
            <w:vAlign w:val="center"/>
          </w:tcPr>
          <w:p>
            <w:pPr>
              <w:spacing w:line="400" w:lineRule="exact"/>
              <w:jc w:val="center"/>
              <w:rPr>
                <w:b/>
                <w:bCs/>
                <w:sz w:val="24"/>
                <w:szCs w:val="24"/>
              </w:rPr>
            </w:pPr>
            <w:r>
              <w:rPr>
                <w:rFonts w:hint="eastAsia" w:cs="仿宋"/>
                <w:b/>
                <w:bCs/>
                <w:sz w:val="24"/>
                <w:szCs w:val="24"/>
              </w:rPr>
              <w:t>序号</w:t>
            </w:r>
          </w:p>
        </w:tc>
        <w:tc>
          <w:tcPr>
            <w:tcW w:w="1008" w:type="dxa"/>
            <w:shd w:val="clear" w:color="auto" w:fill="D9D9D9"/>
            <w:vAlign w:val="center"/>
          </w:tcPr>
          <w:p>
            <w:pPr>
              <w:spacing w:line="400" w:lineRule="exact"/>
              <w:jc w:val="center"/>
              <w:rPr>
                <w:b/>
                <w:bCs/>
                <w:sz w:val="24"/>
                <w:szCs w:val="24"/>
              </w:rPr>
            </w:pPr>
            <w:r>
              <w:rPr>
                <w:rFonts w:hint="eastAsia" w:cs="仿宋"/>
                <w:b/>
                <w:bCs/>
                <w:sz w:val="24"/>
                <w:szCs w:val="24"/>
              </w:rPr>
              <w:t>目标层</w:t>
            </w:r>
          </w:p>
        </w:tc>
        <w:tc>
          <w:tcPr>
            <w:tcW w:w="4679" w:type="dxa"/>
            <w:gridSpan w:val="4"/>
            <w:shd w:val="clear" w:color="auto" w:fill="D9D9D9"/>
            <w:vAlign w:val="center"/>
          </w:tcPr>
          <w:p>
            <w:pPr>
              <w:spacing w:line="400" w:lineRule="exact"/>
              <w:jc w:val="center"/>
              <w:rPr>
                <w:b/>
                <w:bCs/>
                <w:sz w:val="24"/>
                <w:szCs w:val="24"/>
              </w:rPr>
            </w:pPr>
            <w:r>
              <w:rPr>
                <w:rFonts w:hint="eastAsia" w:cs="仿宋"/>
                <w:b/>
                <w:bCs/>
                <w:sz w:val="24"/>
                <w:szCs w:val="24"/>
              </w:rPr>
              <w:t>相关指标</w:t>
            </w:r>
          </w:p>
        </w:tc>
        <w:tc>
          <w:tcPr>
            <w:tcW w:w="1134" w:type="dxa"/>
            <w:shd w:val="clear" w:color="auto" w:fill="D9D9D9"/>
            <w:vAlign w:val="center"/>
          </w:tcPr>
          <w:p>
            <w:pPr>
              <w:spacing w:line="400" w:lineRule="exact"/>
              <w:jc w:val="center"/>
              <w:rPr>
                <w:b/>
                <w:bCs/>
                <w:sz w:val="24"/>
                <w:szCs w:val="24"/>
              </w:rPr>
            </w:pPr>
            <w:r>
              <w:rPr>
                <w:rFonts w:hint="eastAsia" w:cs="仿宋"/>
                <w:b/>
                <w:bCs/>
                <w:sz w:val="24"/>
                <w:szCs w:val="24"/>
              </w:rPr>
              <w:t>指标</w:t>
            </w:r>
          </w:p>
          <w:p>
            <w:pPr>
              <w:spacing w:line="400" w:lineRule="exact"/>
              <w:jc w:val="center"/>
              <w:rPr>
                <w:b/>
                <w:bCs/>
                <w:sz w:val="24"/>
                <w:szCs w:val="24"/>
              </w:rPr>
            </w:pPr>
            <w:r>
              <w:rPr>
                <w:rFonts w:hint="eastAsia" w:cs="仿宋"/>
                <w:b/>
                <w:bCs/>
                <w:sz w:val="24"/>
                <w:szCs w:val="24"/>
              </w:rPr>
              <w:t>类型</w:t>
            </w:r>
          </w:p>
        </w:tc>
        <w:tc>
          <w:tcPr>
            <w:tcW w:w="2250" w:type="dxa"/>
            <w:shd w:val="clear" w:color="auto" w:fill="D9D9D9"/>
            <w:vAlign w:val="center"/>
          </w:tcPr>
          <w:p>
            <w:pPr>
              <w:spacing w:line="400" w:lineRule="exact"/>
              <w:jc w:val="center"/>
              <w:rPr>
                <w:b/>
                <w:bCs/>
                <w:sz w:val="24"/>
                <w:szCs w:val="24"/>
              </w:rPr>
            </w:pPr>
            <w:r>
              <w:rPr>
                <w:b/>
                <w:bCs/>
                <w:sz w:val="24"/>
                <w:szCs w:val="24"/>
              </w:rPr>
              <w:t>2019</w:t>
            </w:r>
            <w:r>
              <w:rPr>
                <w:rFonts w:hint="eastAsia" w:cs="仿宋"/>
                <w:b/>
                <w:bCs/>
                <w:sz w:val="24"/>
                <w:szCs w:val="24"/>
              </w:rPr>
              <w:t>年</w:t>
            </w:r>
          </w:p>
          <w:p>
            <w:pPr>
              <w:spacing w:line="400" w:lineRule="exact"/>
              <w:jc w:val="center"/>
              <w:rPr>
                <w:b/>
                <w:bCs/>
                <w:sz w:val="24"/>
                <w:szCs w:val="24"/>
              </w:rPr>
            </w:pPr>
            <w:r>
              <w:rPr>
                <w:rFonts w:hint="eastAsia" w:cs="仿宋"/>
                <w:b/>
                <w:bCs/>
                <w:sz w:val="24"/>
                <w:szCs w:val="24"/>
              </w:rPr>
              <w:t>（基准年）</w:t>
            </w:r>
          </w:p>
        </w:tc>
        <w:tc>
          <w:tcPr>
            <w:tcW w:w="1559" w:type="dxa"/>
            <w:shd w:val="clear" w:color="auto" w:fill="D9D9D9"/>
            <w:vAlign w:val="center"/>
          </w:tcPr>
          <w:p>
            <w:pPr>
              <w:spacing w:line="400" w:lineRule="exact"/>
              <w:jc w:val="center"/>
              <w:rPr>
                <w:b/>
                <w:bCs/>
                <w:sz w:val="24"/>
                <w:szCs w:val="24"/>
              </w:rPr>
            </w:pPr>
            <w:r>
              <w:rPr>
                <w:b/>
                <w:bCs/>
                <w:sz w:val="24"/>
                <w:szCs w:val="24"/>
              </w:rPr>
              <w:t>2021</w:t>
            </w:r>
            <w:r>
              <w:rPr>
                <w:rFonts w:hint="eastAsia" w:cs="仿宋"/>
                <w:b/>
                <w:bCs/>
                <w:sz w:val="24"/>
                <w:szCs w:val="24"/>
              </w:rPr>
              <w:t>年</w:t>
            </w:r>
          </w:p>
          <w:p>
            <w:pPr>
              <w:spacing w:line="400" w:lineRule="exact"/>
              <w:jc w:val="center"/>
              <w:rPr>
                <w:b/>
                <w:bCs/>
                <w:sz w:val="24"/>
                <w:szCs w:val="24"/>
              </w:rPr>
            </w:pPr>
          </w:p>
        </w:tc>
        <w:tc>
          <w:tcPr>
            <w:tcW w:w="2809" w:type="dxa"/>
            <w:shd w:val="clear" w:color="auto" w:fill="D9D9D9"/>
            <w:vAlign w:val="center"/>
          </w:tcPr>
          <w:p>
            <w:pPr>
              <w:spacing w:line="400" w:lineRule="exact"/>
              <w:jc w:val="center"/>
              <w:rPr>
                <w:b/>
                <w:bCs/>
                <w:sz w:val="24"/>
                <w:szCs w:val="24"/>
              </w:rPr>
            </w:pPr>
            <w:r>
              <w:rPr>
                <w:rFonts w:hint="eastAsia" w:cs="仿宋"/>
                <w:b/>
                <w:bCs/>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1</w:t>
            </w:r>
          </w:p>
        </w:tc>
        <w:tc>
          <w:tcPr>
            <w:tcW w:w="1008" w:type="dxa"/>
            <w:vMerge w:val="restart"/>
            <w:vAlign w:val="center"/>
          </w:tcPr>
          <w:p>
            <w:pPr>
              <w:spacing w:line="400" w:lineRule="exact"/>
              <w:jc w:val="center"/>
              <w:rPr>
                <w:b/>
                <w:bCs/>
                <w:sz w:val="24"/>
                <w:szCs w:val="24"/>
              </w:rPr>
            </w:pPr>
            <w:r>
              <w:rPr>
                <w:rFonts w:hint="eastAsia" w:cs="仿宋"/>
                <w:b/>
                <w:bCs/>
                <w:sz w:val="24"/>
                <w:szCs w:val="24"/>
              </w:rPr>
              <w:t>产废无增长</w:t>
            </w:r>
          </w:p>
        </w:tc>
        <w:tc>
          <w:tcPr>
            <w:tcW w:w="4679" w:type="dxa"/>
            <w:gridSpan w:val="4"/>
            <w:vAlign w:val="center"/>
          </w:tcPr>
          <w:p>
            <w:pPr>
              <w:spacing w:line="400" w:lineRule="exact"/>
              <w:jc w:val="center"/>
              <w:rPr>
                <w:sz w:val="24"/>
                <w:szCs w:val="24"/>
              </w:rPr>
            </w:pPr>
            <w:r>
              <w:rPr>
                <w:rFonts w:hint="eastAsia" w:cs="仿宋"/>
                <w:sz w:val="24"/>
                <w:szCs w:val="24"/>
              </w:rPr>
              <w:t>工业固体废物产生强度年度增长率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w:t>
            </w:r>
          </w:p>
        </w:tc>
        <w:tc>
          <w:tcPr>
            <w:tcW w:w="1559" w:type="dxa"/>
            <w:vAlign w:val="center"/>
          </w:tcPr>
          <w:p>
            <w:pPr>
              <w:spacing w:line="400" w:lineRule="exact"/>
              <w:jc w:val="center"/>
              <w:rPr>
                <w:sz w:val="24"/>
                <w:szCs w:val="24"/>
              </w:rPr>
            </w:pPr>
            <w:r>
              <w:rPr>
                <w:rFonts w:hint="eastAsia" w:cs="仿宋"/>
                <w:sz w:val="24"/>
                <w:szCs w:val="24"/>
              </w:rPr>
              <w:t>零增长</w:t>
            </w:r>
          </w:p>
        </w:tc>
        <w:tc>
          <w:tcPr>
            <w:tcW w:w="2809" w:type="dxa"/>
            <w:vAlign w:val="center"/>
          </w:tcPr>
          <w:p>
            <w:pPr>
              <w:spacing w:line="400" w:lineRule="exact"/>
              <w:jc w:val="center"/>
              <w:rPr>
                <w:sz w:val="24"/>
                <w:szCs w:val="24"/>
              </w:rPr>
            </w:pPr>
            <w:r>
              <w:rPr>
                <w:rFonts w:hint="eastAsia" w:cs="仿宋"/>
                <w:sz w:val="24"/>
                <w:szCs w:val="24"/>
              </w:rPr>
              <w:t>市生态环境局岱山分局、县经信局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2</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400" w:lineRule="exact"/>
              <w:jc w:val="center"/>
              <w:rPr>
                <w:sz w:val="24"/>
                <w:szCs w:val="24"/>
              </w:rPr>
            </w:pPr>
            <w:r>
              <w:rPr>
                <w:rFonts w:hint="eastAsia" w:cs="仿宋"/>
                <w:sz w:val="24"/>
                <w:szCs w:val="24"/>
              </w:rPr>
              <w:t>实施清洁生产的工业企业总数年度增长率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-50%</w:t>
            </w:r>
          </w:p>
        </w:tc>
        <w:tc>
          <w:tcPr>
            <w:tcW w:w="1559" w:type="dxa"/>
            <w:vAlign w:val="center"/>
          </w:tcPr>
          <w:p>
            <w:pPr>
              <w:spacing w:line="400" w:lineRule="exact"/>
              <w:jc w:val="center"/>
              <w:rPr>
                <w:sz w:val="24"/>
                <w:szCs w:val="24"/>
              </w:rPr>
            </w:pPr>
            <w:r>
              <w:rPr>
                <w:sz w:val="24"/>
                <w:szCs w:val="24"/>
              </w:rPr>
              <w:t>5%</w:t>
            </w:r>
            <w:r>
              <w:rPr>
                <w:rFonts w:hint="eastAsia" w:cs="仿宋"/>
                <w:sz w:val="24"/>
                <w:szCs w:val="24"/>
              </w:rPr>
              <w:t>以上</w:t>
            </w:r>
          </w:p>
        </w:tc>
        <w:tc>
          <w:tcPr>
            <w:tcW w:w="2809" w:type="dxa"/>
            <w:vAlign w:val="center"/>
          </w:tcPr>
          <w:p>
            <w:pPr>
              <w:spacing w:line="400" w:lineRule="exact"/>
              <w:jc w:val="center"/>
              <w:rPr>
                <w:sz w:val="24"/>
                <w:szCs w:val="24"/>
              </w:rPr>
            </w:pPr>
            <w:r>
              <w:rPr>
                <w:rFonts w:hint="eastAsia" w:cs="仿宋"/>
                <w:sz w:val="24"/>
                <w:szCs w:val="24"/>
              </w:rPr>
              <w:t>县经信局、市生态环境局岱山分局、县发改局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3</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400" w:lineRule="exact"/>
              <w:jc w:val="center"/>
              <w:rPr>
                <w:sz w:val="24"/>
                <w:szCs w:val="24"/>
              </w:rPr>
            </w:pPr>
            <w:r>
              <w:rPr>
                <w:rFonts w:hint="eastAsia" w:cs="仿宋"/>
                <w:sz w:val="24"/>
                <w:szCs w:val="24"/>
              </w:rPr>
              <w:t>开展生态工业园区建设、循环化改造的工业园区占比</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市生态环境局岱山分局、县发改局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restart"/>
            <w:vAlign w:val="center"/>
          </w:tcPr>
          <w:p>
            <w:pPr>
              <w:spacing w:line="400" w:lineRule="exact"/>
              <w:jc w:val="center"/>
              <w:rPr>
                <w:sz w:val="24"/>
                <w:szCs w:val="24"/>
              </w:rPr>
            </w:pPr>
            <w:r>
              <w:rPr>
                <w:sz w:val="24"/>
                <w:szCs w:val="24"/>
              </w:rPr>
              <w:t>4</w:t>
            </w:r>
          </w:p>
        </w:tc>
        <w:tc>
          <w:tcPr>
            <w:tcW w:w="1008" w:type="dxa"/>
            <w:vMerge w:val="continue"/>
            <w:vAlign w:val="center"/>
          </w:tcPr>
          <w:p>
            <w:pPr>
              <w:spacing w:line="400" w:lineRule="exact"/>
              <w:jc w:val="center"/>
              <w:rPr>
                <w:sz w:val="24"/>
                <w:szCs w:val="24"/>
              </w:rPr>
            </w:pPr>
          </w:p>
        </w:tc>
        <w:tc>
          <w:tcPr>
            <w:tcW w:w="3404" w:type="dxa"/>
            <w:gridSpan w:val="3"/>
            <w:vMerge w:val="restart"/>
            <w:vAlign w:val="center"/>
          </w:tcPr>
          <w:p>
            <w:pPr>
              <w:spacing w:line="400" w:lineRule="exact"/>
              <w:jc w:val="center"/>
              <w:rPr>
                <w:sz w:val="24"/>
                <w:szCs w:val="24"/>
              </w:rPr>
            </w:pPr>
            <w:r>
              <w:rPr>
                <w:rFonts w:hint="eastAsia" w:cs="仿宋"/>
                <w:sz w:val="24"/>
                <w:szCs w:val="24"/>
              </w:rPr>
              <w:t>城乡生活垃圾增长率</w:t>
            </w:r>
          </w:p>
        </w:tc>
        <w:tc>
          <w:tcPr>
            <w:tcW w:w="1275" w:type="dxa"/>
            <w:vAlign w:val="center"/>
          </w:tcPr>
          <w:p>
            <w:pPr>
              <w:spacing w:line="400" w:lineRule="exact"/>
              <w:jc w:val="center"/>
              <w:rPr>
                <w:sz w:val="24"/>
                <w:szCs w:val="24"/>
              </w:rPr>
            </w:pPr>
            <w:r>
              <w:rPr>
                <w:rFonts w:hint="eastAsia" w:cs="仿宋"/>
                <w:sz w:val="24"/>
                <w:szCs w:val="24"/>
              </w:rPr>
              <w:t>城镇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rFonts w:hint="eastAsia" w:cs="仿宋"/>
                <w:sz w:val="24"/>
                <w:szCs w:val="24"/>
              </w:rPr>
              <w:t>＜</w:t>
            </w:r>
            <w:r>
              <w:rPr>
                <w:sz w:val="24"/>
                <w:szCs w:val="24"/>
              </w:rPr>
              <w:t>1%</w:t>
            </w:r>
          </w:p>
        </w:tc>
        <w:tc>
          <w:tcPr>
            <w:tcW w:w="1559" w:type="dxa"/>
            <w:vAlign w:val="center"/>
          </w:tcPr>
          <w:p>
            <w:pPr>
              <w:spacing w:line="400" w:lineRule="exact"/>
              <w:jc w:val="center"/>
              <w:rPr>
                <w:sz w:val="24"/>
                <w:szCs w:val="24"/>
              </w:rPr>
            </w:pPr>
            <w:r>
              <w:rPr>
                <w:rFonts w:hint="eastAsia" w:cs="仿宋"/>
                <w:sz w:val="24"/>
                <w:szCs w:val="24"/>
              </w:rPr>
              <w:t>零增长</w:t>
            </w:r>
          </w:p>
        </w:tc>
        <w:tc>
          <w:tcPr>
            <w:tcW w:w="2809" w:type="dxa"/>
            <w:vAlign w:val="center"/>
          </w:tcPr>
          <w:p>
            <w:pPr>
              <w:spacing w:line="400" w:lineRule="exact"/>
              <w:jc w:val="center"/>
              <w:rPr>
                <w:sz w:val="24"/>
                <w:szCs w:val="24"/>
              </w:rPr>
            </w:pPr>
            <w:r>
              <w:rPr>
                <w:rFonts w:hint="eastAsia" w:cs="仿宋"/>
                <w:sz w:val="24"/>
                <w:szCs w:val="24"/>
              </w:rPr>
              <w:t>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continue"/>
            <w:vAlign w:val="center"/>
          </w:tcPr>
          <w:p>
            <w:pPr>
              <w:spacing w:line="400" w:lineRule="exact"/>
              <w:jc w:val="center"/>
              <w:rPr>
                <w:sz w:val="24"/>
                <w:szCs w:val="24"/>
              </w:rPr>
            </w:pPr>
          </w:p>
        </w:tc>
        <w:tc>
          <w:tcPr>
            <w:tcW w:w="1008" w:type="dxa"/>
            <w:vMerge w:val="continue"/>
            <w:vAlign w:val="center"/>
          </w:tcPr>
          <w:p>
            <w:pPr>
              <w:spacing w:line="400" w:lineRule="exact"/>
              <w:jc w:val="center"/>
              <w:rPr>
                <w:sz w:val="24"/>
                <w:szCs w:val="24"/>
              </w:rPr>
            </w:pPr>
          </w:p>
        </w:tc>
        <w:tc>
          <w:tcPr>
            <w:tcW w:w="3404" w:type="dxa"/>
            <w:gridSpan w:val="3"/>
            <w:vMerge w:val="continue"/>
            <w:vAlign w:val="center"/>
          </w:tcPr>
          <w:p>
            <w:pPr>
              <w:spacing w:line="400" w:lineRule="exact"/>
              <w:jc w:val="center"/>
              <w:rPr>
                <w:sz w:val="24"/>
                <w:szCs w:val="24"/>
              </w:rPr>
            </w:pPr>
          </w:p>
        </w:tc>
        <w:tc>
          <w:tcPr>
            <w:tcW w:w="1275" w:type="dxa"/>
            <w:vAlign w:val="center"/>
          </w:tcPr>
          <w:p>
            <w:pPr>
              <w:spacing w:line="400" w:lineRule="exact"/>
              <w:jc w:val="center"/>
              <w:rPr>
                <w:sz w:val="24"/>
                <w:szCs w:val="24"/>
              </w:rPr>
            </w:pPr>
            <w:r>
              <w:rPr>
                <w:rFonts w:hint="eastAsia" w:cs="仿宋"/>
                <w:sz w:val="24"/>
                <w:szCs w:val="24"/>
              </w:rPr>
              <w:t>农村</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rFonts w:hint="eastAsia" w:cs="仿宋"/>
                <w:sz w:val="24"/>
                <w:szCs w:val="24"/>
              </w:rPr>
              <w:t>＜</w:t>
            </w:r>
            <w:r>
              <w:rPr>
                <w:sz w:val="24"/>
                <w:szCs w:val="24"/>
              </w:rPr>
              <w:t>1%</w:t>
            </w:r>
          </w:p>
        </w:tc>
        <w:tc>
          <w:tcPr>
            <w:tcW w:w="1559" w:type="dxa"/>
            <w:vAlign w:val="center"/>
          </w:tcPr>
          <w:p>
            <w:pPr>
              <w:spacing w:line="400" w:lineRule="exact"/>
              <w:jc w:val="center"/>
              <w:rPr>
                <w:sz w:val="24"/>
                <w:szCs w:val="24"/>
              </w:rPr>
            </w:pPr>
            <w:r>
              <w:rPr>
                <w:rFonts w:hint="eastAsia" w:cs="仿宋"/>
                <w:sz w:val="24"/>
                <w:szCs w:val="24"/>
              </w:rPr>
              <w:t>零增长</w:t>
            </w:r>
          </w:p>
        </w:tc>
        <w:tc>
          <w:tcPr>
            <w:tcW w:w="2809" w:type="dxa"/>
            <w:vAlign w:val="center"/>
          </w:tcPr>
          <w:p>
            <w:pPr>
              <w:spacing w:line="400" w:lineRule="exact"/>
              <w:jc w:val="center"/>
              <w:rPr>
                <w:sz w:val="24"/>
                <w:szCs w:val="24"/>
              </w:rPr>
            </w:pPr>
            <w:r>
              <w:rPr>
                <w:rFonts w:hint="eastAsia" w:cs="仿宋"/>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bottom w:val="double" w:color="auto" w:sz="4" w:space="0"/>
            </w:tcBorders>
            <w:vAlign w:val="center"/>
          </w:tcPr>
          <w:p>
            <w:pPr>
              <w:spacing w:line="400" w:lineRule="exact"/>
              <w:jc w:val="center"/>
              <w:rPr>
                <w:sz w:val="24"/>
                <w:szCs w:val="24"/>
              </w:rPr>
            </w:pPr>
            <w:r>
              <w:rPr>
                <w:sz w:val="24"/>
                <w:szCs w:val="24"/>
              </w:rPr>
              <w:t>5</w:t>
            </w:r>
          </w:p>
        </w:tc>
        <w:tc>
          <w:tcPr>
            <w:tcW w:w="1008" w:type="dxa"/>
            <w:vMerge w:val="continue"/>
            <w:tcBorders>
              <w:bottom w:val="double" w:color="auto" w:sz="4" w:space="0"/>
            </w:tcBorders>
            <w:vAlign w:val="center"/>
          </w:tcPr>
          <w:p>
            <w:pPr>
              <w:spacing w:line="400" w:lineRule="exact"/>
              <w:jc w:val="center"/>
              <w:rPr>
                <w:sz w:val="24"/>
                <w:szCs w:val="24"/>
              </w:rPr>
            </w:pPr>
          </w:p>
        </w:tc>
        <w:tc>
          <w:tcPr>
            <w:tcW w:w="4679" w:type="dxa"/>
            <w:gridSpan w:val="4"/>
            <w:tcBorders>
              <w:bottom w:val="double" w:color="auto" w:sz="4" w:space="0"/>
            </w:tcBorders>
            <w:vAlign w:val="center"/>
          </w:tcPr>
          <w:p>
            <w:pPr>
              <w:spacing w:line="400" w:lineRule="exact"/>
              <w:jc w:val="center"/>
              <w:rPr>
                <w:sz w:val="24"/>
                <w:szCs w:val="24"/>
              </w:rPr>
            </w:pPr>
            <w:r>
              <w:rPr>
                <w:rFonts w:hint="eastAsia" w:cs="仿宋"/>
                <w:sz w:val="24"/>
                <w:szCs w:val="24"/>
              </w:rPr>
              <w:t>化肥农药使用量年度增长率</w:t>
            </w:r>
          </w:p>
        </w:tc>
        <w:tc>
          <w:tcPr>
            <w:tcW w:w="1134" w:type="dxa"/>
            <w:tcBorders>
              <w:bottom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bottom w:val="double" w:color="auto" w:sz="4" w:space="0"/>
            </w:tcBorders>
            <w:vAlign w:val="center"/>
          </w:tcPr>
          <w:p>
            <w:pPr>
              <w:spacing w:line="400" w:lineRule="exact"/>
              <w:jc w:val="center"/>
              <w:rPr>
                <w:sz w:val="24"/>
                <w:szCs w:val="24"/>
              </w:rPr>
            </w:pPr>
            <w:r>
              <w:rPr>
                <w:rFonts w:hint="eastAsia" w:cs="仿宋"/>
                <w:sz w:val="24"/>
                <w:szCs w:val="24"/>
              </w:rPr>
              <w:t>农药：</w:t>
            </w:r>
            <w:r>
              <w:rPr>
                <w:sz w:val="24"/>
                <w:szCs w:val="24"/>
              </w:rPr>
              <w:t>-0.7%</w:t>
            </w:r>
          </w:p>
        </w:tc>
        <w:tc>
          <w:tcPr>
            <w:tcW w:w="1559" w:type="dxa"/>
            <w:tcBorders>
              <w:bottom w:val="double" w:color="auto" w:sz="4" w:space="0"/>
            </w:tcBorders>
            <w:vAlign w:val="center"/>
          </w:tcPr>
          <w:p>
            <w:pPr>
              <w:spacing w:line="400" w:lineRule="exact"/>
              <w:jc w:val="center"/>
              <w:rPr>
                <w:sz w:val="24"/>
                <w:szCs w:val="24"/>
              </w:rPr>
            </w:pPr>
            <w:r>
              <w:rPr>
                <w:rFonts w:hint="eastAsia" w:cs="仿宋"/>
                <w:sz w:val="24"/>
                <w:szCs w:val="24"/>
              </w:rPr>
              <w:t>负增长</w:t>
            </w:r>
          </w:p>
        </w:tc>
        <w:tc>
          <w:tcPr>
            <w:tcW w:w="2809" w:type="dxa"/>
            <w:tcBorders>
              <w:bottom w:val="double" w:color="auto" w:sz="4" w:space="0"/>
            </w:tcBorders>
            <w:vAlign w:val="center"/>
          </w:tcPr>
          <w:p>
            <w:pPr>
              <w:spacing w:line="400" w:lineRule="exact"/>
              <w:jc w:val="center"/>
              <w:rPr>
                <w:sz w:val="24"/>
                <w:szCs w:val="24"/>
              </w:rPr>
            </w:pPr>
            <w:r>
              <w:rPr>
                <w:rFonts w:hint="eastAsia" w:cs="仿宋"/>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top w:val="double" w:color="auto" w:sz="4" w:space="0"/>
            </w:tcBorders>
            <w:vAlign w:val="center"/>
          </w:tcPr>
          <w:p>
            <w:pPr>
              <w:spacing w:line="400" w:lineRule="exact"/>
              <w:jc w:val="center"/>
              <w:rPr>
                <w:sz w:val="24"/>
                <w:szCs w:val="24"/>
              </w:rPr>
            </w:pPr>
            <w:r>
              <w:rPr>
                <w:sz w:val="24"/>
                <w:szCs w:val="24"/>
              </w:rPr>
              <w:t xml:space="preserve">6 </w:t>
            </w:r>
          </w:p>
        </w:tc>
        <w:tc>
          <w:tcPr>
            <w:tcW w:w="1008" w:type="dxa"/>
            <w:vMerge w:val="restart"/>
            <w:tcBorders>
              <w:top w:val="double" w:color="auto" w:sz="4" w:space="0"/>
            </w:tcBorders>
            <w:vAlign w:val="center"/>
          </w:tcPr>
          <w:p>
            <w:pPr>
              <w:spacing w:line="400" w:lineRule="exact"/>
              <w:jc w:val="center"/>
              <w:rPr>
                <w:b/>
                <w:bCs/>
                <w:sz w:val="24"/>
                <w:szCs w:val="24"/>
              </w:rPr>
            </w:pPr>
            <w:r>
              <w:rPr>
                <w:rFonts w:hint="eastAsia" w:cs="仿宋"/>
                <w:b/>
                <w:bCs/>
                <w:sz w:val="24"/>
                <w:szCs w:val="24"/>
              </w:rPr>
              <w:t>资源无浪费</w:t>
            </w:r>
          </w:p>
        </w:tc>
        <w:tc>
          <w:tcPr>
            <w:tcW w:w="4679" w:type="dxa"/>
            <w:gridSpan w:val="4"/>
            <w:tcBorders>
              <w:top w:val="double" w:color="auto" w:sz="4" w:space="0"/>
            </w:tcBorders>
            <w:vAlign w:val="center"/>
          </w:tcPr>
          <w:p>
            <w:pPr>
              <w:spacing w:line="400" w:lineRule="exact"/>
              <w:jc w:val="center"/>
              <w:rPr>
                <w:sz w:val="24"/>
                <w:szCs w:val="24"/>
              </w:rPr>
            </w:pPr>
            <w:r>
              <w:rPr>
                <w:rFonts w:hint="eastAsia" w:cs="仿宋"/>
                <w:sz w:val="24"/>
                <w:szCs w:val="24"/>
              </w:rPr>
              <w:t>一般工业固体废物综合利用率</w:t>
            </w:r>
          </w:p>
        </w:tc>
        <w:tc>
          <w:tcPr>
            <w:tcW w:w="1134" w:type="dxa"/>
            <w:tcBorders>
              <w:top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top w:val="double" w:color="auto" w:sz="4" w:space="0"/>
            </w:tcBorders>
            <w:vAlign w:val="center"/>
          </w:tcPr>
          <w:p>
            <w:pPr>
              <w:spacing w:line="400" w:lineRule="exact"/>
              <w:jc w:val="center"/>
              <w:rPr>
                <w:sz w:val="24"/>
                <w:szCs w:val="24"/>
              </w:rPr>
            </w:pPr>
            <w:r>
              <w:rPr>
                <w:sz w:val="24"/>
                <w:szCs w:val="24"/>
              </w:rPr>
              <w:t>99.99%</w:t>
            </w:r>
          </w:p>
        </w:tc>
        <w:tc>
          <w:tcPr>
            <w:tcW w:w="1559" w:type="dxa"/>
            <w:tcBorders>
              <w:top w:val="double" w:color="auto" w:sz="4" w:space="0"/>
            </w:tcBorders>
            <w:vAlign w:val="center"/>
          </w:tcPr>
          <w:p>
            <w:pPr>
              <w:spacing w:line="400" w:lineRule="exact"/>
              <w:jc w:val="center"/>
              <w:rPr>
                <w:sz w:val="24"/>
                <w:szCs w:val="24"/>
              </w:rPr>
            </w:pPr>
            <w:r>
              <w:rPr>
                <w:sz w:val="24"/>
                <w:szCs w:val="24"/>
              </w:rPr>
              <w:t>97%</w:t>
            </w:r>
          </w:p>
        </w:tc>
        <w:tc>
          <w:tcPr>
            <w:tcW w:w="2809" w:type="dxa"/>
            <w:tcBorders>
              <w:top w:val="double" w:color="auto" w:sz="4" w:space="0"/>
            </w:tcBorders>
            <w:vAlign w:val="center"/>
          </w:tcPr>
          <w:p>
            <w:pPr>
              <w:spacing w:line="400" w:lineRule="exact"/>
              <w:jc w:val="center"/>
              <w:rPr>
                <w:sz w:val="24"/>
                <w:szCs w:val="24"/>
              </w:rPr>
            </w:pPr>
            <w:r>
              <w:rPr>
                <w:rFonts w:hint="eastAsia" w:cs="仿宋"/>
                <w:sz w:val="24"/>
                <w:szCs w:val="24"/>
              </w:rPr>
              <w:t>市生态环境局岱山分局、县经信局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restart"/>
            <w:vAlign w:val="center"/>
          </w:tcPr>
          <w:p>
            <w:pPr>
              <w:spacing w:line="400" w:lineRule="exact"/>
              <w:jc w:val="center"/>
              <w:rPr>
                <w:sz w:val="24"/>
                <w:szCs w:val="24"/>
              </w:rPr>
            </w:pPr>
            <w:r>
              <w:rPr>
                <w:sz w:val="24"/>
                <w:szCs w:val="24"/>
              </w:rPr>
              <w:t xml:space="preserve">7 </w:t>
            </w:r>
          </w:p>
        </w:tc>
        <w:tc>
          <w:tcPr>
            <w:tcW w:w="1008" w:type="dxa"/>
            <w:vMerge w:val="continue"/>
            <w:vAlign w:val="center"/>
          </w:tcPr>
          <w:p>
            <w:pPr>
              <w:spacing w:line="400" w:lineRule="exact"/>
              <w:jc w:val="center"/>
              <w:rPr>
                <w:sz w:val="24"/>
                <w:szCs w:val="24"/>
              </w:rPr>
            </w:pPr>
          </w:p>
        </w:tc>
        <w:tc>
          <w:tcPr>
            <w:tcW w:w="3404" w:type="dxa"/>
            <w:gridSpan w:val="3"/>
            <w:vMerge w:val="restart"/>
            <w:vAlign w:val="center"/>
          </w:tcPr>
          <w:p>
            <w:pPr>
              <w:spacing w:line="400" w:lineRule="exact"/>
              <w:jc w:val="center"/>
              <w:rPr>
                <w:sz w:val="24"/>
                <w:szCs w:val="24"/>
              </w:rPr>
            </w:pPr>
            <w:r>
              <w:rPr>
                <w:rFonts w:hint="eastAsia" w:cs="仿宋"/>
                <w:sz w:val="24"/>
                <w:szCs w:val="24"/>
              </w:rPr>
              <w:t>生活垃圾回收利用率</w:t>
            </w:r>
          </w:p>
        </w:tc>
        <w:tc>
          <w:tcPr>
            <w:tcW w:w="1275" w:type="dxa"/>
            <w:vAlign w:val="center"/>
          </w:tcPr>
          <w:p>
            <w:pPr>
              <w:spacing w:line="400" w:lineRule="exact"/>
              <w:jc w:val="center"/>
              <w:rPr>
                <w:sz w:val="24"/>
                <w:szCs w:val="24"/>
              </w:rPr>
            </w:pPr>
            <w:r>
              <w:rPr>
                <w:rFonts w:hint="eastAsia" w:cs="仿宋"/>
                <w:sz w:val="24"/>
                <w:szCs w:val="24"/>
              </w:rPr>
              <w:t>城镇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9.79%</w:t>
            </w:r>
          </w:p>
        </w:tc>
        <w:tc>
          <w:tcPr>
            <w:tcW w:w="1559" w:type="dxa"/>
            <w:vAlign w:val="center"/>
          </w:tcPr>
          <w:p>
            <w:pPr>
              <w:spacing w:line="400" w:lineRule="exact"/>
              <w:jc w:val="center"/>
              <w:rPr>
                <w:sz w:val="24"/>
                <w:szCs w:val="24"/>
              </w:rPr>
            </w:pPr>
            <w:r>
              <w:rPr>
                <w:sz w:val="24"/>
                <w:szCs w:val="24"/>
              </w:rPr>
              <w:t>60%</w:t>
            </w:r>
          </w:p>
        </w:tc>
        <w:tc>
          <w:tcPr>
            <w:tcW w:w="2809" w:type="dxa"/>
            <w:vAlign w:val="center"/>
          </w:tcPr>
          <w:p>
            <w:pPr>
              <w:spacing w:line="400" w:lineRule="exact"/>
              <w:jc w:val="center"/>
              <w:rPr>
                <w:sz w:val="24"/>
                <w:szCs w:val="24"/>
              </w:rPr>
            </w:pPr>
            <w:r>
              <w:rPr>
                <w:rFonts w:hint="eastAsia" w:cs="仿宋"/>
                <w:sz w:val="24"/>
                <w:szCs w:val="24"/>
              </w:rPr>
              <w:t>县经信局</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continue"/>
            <w:vAlign w:val="center"/>
          </w:tcPr>
          <w:p>
            <w:pPr>
              <w:spacing w:line="400" w:lineRule="exact"/>
              <w:jc w:val="center"/>
              <w:rPr>
                <w:sz w:val="24"/>
                <w:szCs w:val="24"/>
              </w:rPr>
            </w:pPr>
          </w:p>
        </w:tc>
        <w:tc>
          <w:tcPr>
            <w:tcW w:w="1008" w:type="dxa"/>
            <w:vMerge w:val="continue"/>
            <w:vAlign w:val="center"/>
          </w:tcPr>
          <w:p>
            <w:pPr>
              <w:spacing w:line="400" w:lineRule="exact"/>
              <w:jc w:val="center"/>
              <w:rPr>
                <w:sz w:val="24"/>
                <w:szCs w:val="24"/>
              </w:rPr>
            </w:pPr>
          </w:p>
        </w:tc>
        <w:tc>
          <w:tcPr>
            <w:tcW w:w="3404" w:type="dxa"/>
            <w:gridSpan w:val="3"/>
            <w:vMerge w:val="continue"/>
            <w:vAlign w:val="center"/>
          </w:tcPr>
          <w:p>
            <w:pPr>
              <w:spacing w:line="400" w:lineRule="exact"/>
              <w:jc w:val="center"/>
              <w:rPr>
                <w:sz w:val="24"/>
                <w:szCs w:val="24"/>
              </w:rPr>
            </w:pPr>
          </w:p>
        </w:tc>
        <w:tc>
          <w:tcPr>
            <w:tcW w:w="1275" w:type="dxa"/>
            <w:vAlign w:val="center"/>
          </w:tcPr>
          <w:p>
            <w:pPr>
              <w:spacing w:line="400" w:lineRule="exact"/>
              <w:jc w:val="center"/>
              <w:rPr>
                <w:sz w:val="24"/>
                <w:szCs w:val="24"/>
              </w:rPr>
            </w:pPr>
            <w:r>
              <w:rPr>
                <w:rFonts w:hint="eastAsia" w:cs="仿宋"/>
                <w:sz w:val="24"/>
                <w:szCs w:val="24"/>
              </w:rPr>
              <w:t>农村</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14.84%</w:t>
            </w:r>
          </w:p>
        </w:tc>
        <w:tc>
          <w:tcPr>
            <w:tcW w:w="1559" w:type="dxa"/>
            <w:vAlign w:val="center"/>
          </w:tcPr>
          <w:p>
            <w:pPr>
              <w:spacing w:line="400" w:lineRule="exact"/>
              <w:jc w:val="center"/>
              <w:rPr>
                <w:sz w:val="24"/>
                <w:szCs w:val="24"/>
              </w:rPr>
            </w:pPr>
            <w:r>
              <w:rPr>
                <w:sz w:val="24"/>
                <w:szCs w:val="24"/>
              </w:rPr>
              <w:t>60%</w:t>
            </w:r>
          </w:p>
        </w:tc>
        <w:tc>
          <w:tcPr>
            <w:tcW w:w="2809" w:type="dxa"/>
            <w:vAlign w:val="center"/>
          </w:tcPr>
          <w:p>
            <w:pPr>
              <w:spacing w:line="400" w:lineRule="exact"/>
              <w:jc w:val="center"/>
              <w:rPr>
                <w:sz w:val="24"/>
                <w:szCs w:val="24"/>
              </w:rPr>
            </w:pPr>
            <w:r>
              <w:rPr>
                <w:rFonts w:hint="eastAsia" w:cs="仿宋"/>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 xml:space="preserve">8 </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400" w:lineRule="exact"/>
              <w:jc w:val="center"/>
              <w:rPr>
                <w:sz w:val="24"/>
                <w:szCs w:val="24"/>
              </w:rPr>
            </w:pPr>
            <w:r>
              <w:rPr>
                <w:rFonts w:hint="eastAsia" w:cs="仿宋"/>
                <w:sz w:val="24"/>
                <w:szCs w:val="24"/>
              </w:rPr>
              <w:t>建筑垃圾综合利用率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0.25%</w:t>
            </w:r>
          </w:p>
        </w:tc>
        <w:tc>
          <w:tcPr>
            <w:tcW w:w="1559" w:type="dxa"/>
            <w:vAlign w:val="center"/>
          </w:tcPr>
          <w:p>
            <w:pPr>
              <w:spacing w:line="400" w:lineRule="exact"/>
              <w:jc w:val="center"/>
              <w:rPr>
                <w:sz w:val="24"/>
                <w:szCs w:val="24"/>
              </w:rPr>
            </w:pPr>
            <w:r>
              <w:rPr>
                <w:sz w:val="24"/>
                <w:szCs w:val="24"/>
              </w:rPr>
              <w:t>60%</w:t>
            </w:r>
          </w:p>
        </w:tc>
        <w:tc>
          <w:tcPr>
            <w:tcW w:w="2809" w:type="dxa"/>
            <w:vAlign w:val="center"/>
          </w:tcPr>
          <w:p>
            <w:pPr>
              <w:spacing w:line="400" w:lineRule="exact"/>
              <w:jc w:val="center"/>
              <w:rPr>
                <w:sz w:val="24"/>
                <w:szCs w:val="24"/>
              </w:rPr>
            </w:pPr>
            <w:r>
              <w:rPr>
                <w:rFonts w:hint="eastAsia" w:cs="仿宋"/>
                <w:sz w:val="24"/>
                <w:szCs w:val="24"/>
              </w:rPr>
              <w:t>县综合行政执法局、县住建局</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 xml:space="preserve">9 </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400" w:lineRule="exact"/>
              <w:jc w:val="center"/>
              <w:rPr>
                <w:sz w:val="24"/>
                <w:szCs w:val="24"/>
              </w:rPr>
            </w:pPr>
            <w:r>
              <w:rPr>
                <w:rFonts w:hint="eastAsia" w:cs="仿宋"/>
                <w:sz w:val="24"/>
                <w:szCs w:val="24"/>
              </w:rPr>
              <w:t>医疗卫生机构可回收物资源回收率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w:t>
            </w:r>
          </w:p>
        </w:tc>
        <w:tc>
          <w:tcPr>
            <w:tcW w:w="1559" w:type="dxa"/>
            <w:vAlign w:val="center"/>
          </w:tcPr>
          <w:p>
            <w:pPr>
              <w:spacing w:line="400" w:lineRule="exact"/>
              <w:jc w:val="center"/>
              <w:rPr>
                <w:sz w:val="24"/>
                <w:szCs w:val="24"/>
              </w:rPr>
            </w:pPr>
            <w:r>
              <w:rPr>
                <w:sz w:val="24"/>
                <w:szCs w:val="24"/>
              </w:rPr>
              <w:t>80%</w:t>
            </w:r>
          </w:p>
        </w:tc>
        <w:tc>
          <w:tcPr>
            <w:tcW w:w="2809" w:type="dxa"/>
            <w:vAlign w:val="center"/>
          </w:tcPr>
          <w:p>
            <w:pPr>
              <w:spacing w:line="400" w:lineRule="exact"/>
              <w:jc w:val="center"/>
              <w:rPr>
                <w:sz w:val="24"/>
                <w:szCs w:val="24"/>
              </w:rPr>
            </w:pPr>
            <w:r>
              <w:rPr>
                <w:rFonts w:hint="eastAsia" w:cs="仿宋"/>
                <w:sz w:val="24"/>
                <w:szCs w:val="24"/>
              </w:rPr>
              <w:t>县卫生健康局</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 xml:space="preserve">10 </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400" w:lineRule="exact"/>
              <w:jc w:val="center"/>
              <w:rPr>
                <w:sz w:val="24"/>
                <w:szCs w:val="24"/>
              </w:rPr>
            </w:pPr>
            <w:r>
              <w:rPr>
                <w:rFonts w:hint="eastAsia" w:cs="仿宋"/>
                <w:sz w:val="24"/>
                <w:szCs w:val="24"/>
              </w:rPr>
              <w:t>秸秆综合利用率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97.11%</w:t>
            </w:r>
          </w:p>
        </w:tc>
        <w:tc>
          <w:tcPr>
            <w:tcW w:w="1559" w:type="dxa"/>
            <w:vAlign w:val="center"/>
          </w:tcPr>
          <w:p>
            <w:pPr>
              <w:spacing w:line="400" w:lineRule="exact"/>
              <w:jc w:val="center"/>
              <w:rPr>
                <w:sz w:val="24"/>
                <w:szCs w:val="24"/>
              </w:rPr>
            </w:pPr>
            <w:r>
              <w:rPr>
                <w:sz w:val="24"/>
                <w:szCs w:val="24"/>
              </w:rPr>
              <w:t>95%</w:t>
            </w:r>
          </w:p>
        </w:tc>
        <w:tc>
          <w:tcPr>
            <w:tcW w:w="2809" w:type="dxa"/>
            <w:vAlign w:val="center"/>
          </w:tcPr>
          <w:p>
            <w:pPr>
              <w:spacing w:line="400" w:lineRule="exact"/>
              <w:jc w:val="center"/>
              <w:rPr>
                <w:sz w:val="24"/>
                <w:szCs w:val="24"/>
              </w:rPr>
            </w:pPr>
            <w:r>
              <w:rPr>
                <w:rFonts w:hint="eastAsia" w:cs="仿宋"/>
                <w:sz w:val="24"/>
                <w:szCs w:val="24"/>
              </w:rPr>
              <w:t>县农业农村局</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bottom w:val="double" w:color="auto" w:sz="4" w:space="0"/>
            </w:tcBorders>
            <w:vAlign w:val="center"/>
          </w:tcPr>
          <w:p>
            <w:pPr>
              <w:spacing w:line="400" w:lineRule="exact"/>
              <w:jc w:val="center"/>
              <w:rPr>
                <w:sz w:val="24"/>
                <w:szCs w:val="24"/>
              </w:rPr>
            </w:pPr>
            <w:r>
              <w:rPr>
                <w:sz w:val="24"/>
                <w:szCs w:val="24"/>
              </w:rPr>
              <w:t xml:space="preserve">11 </w:t>
            </w:r>
          </w:p>
        </w:tc>
        <w:tc>
          <w:tcPr>
            <w:tcW w:w="1008" w:type="dxa"/>
            <w:vMerge w:val="continue"/>
            <w:tcBorders>
              <w:bottom w:val="double" w:color="auto" w:sz="4" w:space="0"/>
            </w:tcBorders>
            <w:vAlign w:val="center"/>
          </w:tcPr>
          <w:p>
            <w:pPr>
              <w:spacing w:line="400" w:lineRule="exact"/>
              <w:jc w:val="center"/>
              <w:rPr>
                <w:sz w:val="24"/>
                <w:szCs w:val="24"/>
              </w:rPr>
            </w:pPr>
          </w:p>
        </w:tc>
        <w:tc>
          <w:tcPr>
            <w:tcW w:w="4679" w:type="dxa"/>
            <w:gridSpan w:val="4"/>
            <w:tcBorders>
              <w:bottom w:val="double" w:color="auto" w:sz="4" w:space="0"/>
            </w:tcBorders>
            <w:vAlign w:val="center"/>
          </w:tcPr>
          <w:p>
            <w:pPr>
              <w:spacing w:line="400" w:lineRule="exact"/>
              <w:jc w:val="center"/>
              <w:rPr>
                <w:sz w:val="24"/>
                <w:szCs w:val="24"/>
              </w:rPr>
            </w:pPr>
            <w:r>
              <w:rPr>
                <w:rFonts w:hint="eastAsia" w:cs="仿宋"/>
                <w:sz w:val="24"/>
                <w:szCs w:val="24"/>
              </w:rPr>
              <w:t>畜禽粪污综合利用率</w:t>
            </w:r>
          </w:p>
        </w:tc>
        <w:tc>
          <w:tcPr>
            <w:tcW w:w="1134" w:type="dxa"/>
            <w:tcBorders>
              <w:bottom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bottom w:val="double" w:color="auto" w:sz="4" w:space="0"/>
            </w:tcBorders>
            <w:vAlign w:val="center"/>
          </w:tcPr>
          <w:p>
            <w:pPr>
              <w:spacing w:line="400" w:lineRule="exact"/>
              <w:jc w:val="center"/>
              <w:rPr>
                <w:sz w:val="24"/>
                <w:szCs w:val="24"/>
              </w:rPr>
            </w:pPr>
            <w:r>
              <w:rPr>
                <w:sz w:val="24"/>
                <w:szCs w:val="24"/>
              </w:rPr>
              <w:t>100%</w:t>
            </w:r>
          </w:p>
        </w:tc>
        <w:tc>
          <w:tcPr>
            <w:tcW w:w="1559" w:type="dxa"/>
            <w:tcBorders>
              <w:bottom w:val="double" w:color="auto" w:sz="4" w:space="0"/>
            </w:tcBorders>
            <w:vAlign w:val="center"/>
          </w:tcPr>
          <w:p>
            <w:pPr>
              <w:spacing w:line="400" w:lineRule="exact"/>
              <w:jc w:val="center"/>
              <w:rPr>
                <w:sz w:val="24"/>
                <w:szCs w:val="24"/>
              </w:rPr>
            </w:pPr>
            <w:r>
              <w:rPr>
                <w:sz w:val="24"/>
                <w:szCs w:val="24"/>
              </w:rPr>
              <w:t>90%</w:t>
            </w:r>
            <w:r>
              <w:rPr>
                <w:rFonts w:hint="eastAsia" w:cs="仿宋"/>
                <w:sz w:val="24"/>
                <w:szCs w:val="24"/>
              </w:rPr>
              <w:t>以上</w:t>
            </w:r>
          </w:p>
        </w:tc>
        <w:tc>
          <w:tcPr>
            <w:tcW w:w="2809" w:type="dxa"/>
            <w:tcBorders>
              <w:bottom w:val="double" w:color="auto" w:sz="4" w:space="0"/>
            </w:tcBorders>
            <w:vAlign w:val="center"/>
          </w:tcPr>
          <w:p>
            <w:pPr>
              <w:spacing w:line="400" w:lineRule="exact"/>
              <w:jc w:val="center"/>
              <w:rPr>
                <w:sz w:val="24"/>
                <w:szCs w:val="24"/>
              </w:rPr>
            </w:pPr>
            <w:r>
              <w:rPr>
                <w:rFonts w:hint="eastAsia" w:cs="仿宋"/>
                <w:sz w:val="24"/>
                <w:szCs w:val="24"/>
              </w:rPr>
              <w:t>县农业农村局</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top w:val="double" w:color="auto" w:sz="4" w:space="0"/>
            </w:tcBorders>
            <w:vAlign w:val="center"/>
          </w:tcPr>
          <w:p>
            <w:pPr>
              <w:spacing w:line="400" w:lineRule="exact"/>
              <w:jc w:val="center"/>
              <w:rPr>
                <w:sz w:val="24"/>
                <w:szCs w:val="24"/>
              </w:rPr>
            </w:pPr>
            <w:r>
              <w:rPr>
                <w:sz w:val="24"/>
                <w:szCs w:val="24"/>
              </w:rPr>
              <w:t>12</w:t>
            </w:r>
          </w:p>
        </w:tc>
        <w:tc>
          <w:tcPr>
            <w:tcW w:w="1008" w:type="dxa"/>
            <w:vMerge w:val="restart"/>
            <w:tcBorders>
              <w:top w:val="double" w:color="auto" w:sz="4" w:space="0"/>
            </w:tcBorders>
            <w:vAlign w:val="center"/>
          </w:tcPr>
          <w:p>
            <w:pPr>
              <w:spacing w:line="400" w:lineRule="exact"/>
              <w:jc w:val="center"/>
              <w:rPr>
                <w:b/>
                <w:bCs/>
                <w:sz w:val="24"/>
                <w:szCs w:val="24"/>
              </w:rPr>
            </w:pPr>
            <w:r>
              <w:rPr>
                <w:rFonts w:hint="eastAsia" w:cs="仿宋"/>
                <w:b/>
                <w:bCs/>
                <w:sz w:val="24"/>
                <w:szCs w:val="24"/>
              </w:rPr>
              <w:t>设施无缺口</w:t>
            </w:r>
          </w:p>
        </w:tc>
        <w:tc>
          <w:tcPr>
            <w:tcW w:w="4679" w:type="dxa"/>
            <w:gridSpan w:val="4"/>
            <w:tcBorders>
              <w:top w:val="double" w:color="auto" w:sz="4" w:space="0"/>
            </w:tcBorders>
            <w:vAlign w:val="center"/>
          </w:tcPr>
          <w:p>
            <w:pPr>
              <w:spacing w:line="400" w:lineRule="exact"/>
              <w:jc w:val="center"/>
              <w:rPr>
                <w:sz w:val="24"/>
                <w:szCs w:val="24"/>
              </w:rPr>
            </w:pPr>
            <w:r>
              <w:rPr>
                <w:rFonts w:hint="eastAsia" w:cs="仿宋"/>
                <w:sz w:val="24"/>
                <w:szCs w:val="24"/>
              </w:rPr>
              <w:t>工业固体废物安全处理率</w:t>
            </w:r>
          </w:p>
        </w:tc>
        <w:tc>
          <w:tcPr>
            <w:tcW w:w="1134" w:type="dxa"/>
            <w:tcBorders>
              <w:top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top w:val="double" w:color="auto" w:sz="4" w:space="0"/>
            </w:tcBorders>
            <w:vAlign w:val="center"/>
          </w:tcPr>
          <w:p>
            <w:pPr>
              <w:spacing w:line="400" w:lineRule="exact"/>
              <w:jc w:val="center"/>
              <w:rPr>
                <w:sz w:val="24"/>
                <w:szCs w:val="24"/>
              </w:rPr>
            </w:pPr>
            <w:r>
              <w:rPr>
                <w:sz w:val="24"/>
                <w:szCs w:val="24"/>
              </w:rPr>
              <w:t>99.41%</w:t>
            </w:r>
          </w:p>
        </w:tc>
        <w:tc>
          <w:tcPr>
            <w:tcW w:w="1559" w:type="dxa"/>
            <w:tcBorders>
              <w:top w:val="double" w:color="auto" w:sz="4" w:space="0"/>
            </w:tcBorders>
            <w:vAlign w:val="center"/>
          </w:tcPr>
          <w:p>
            <w:pPr>
              <w:spacing w:line="400" w:lineRule="exact"/>
              <w:jc w:val="center"/>
              <w:rPr>
                <w:sz w:val="24"/>
                <w:szCs w:val="24"/>
              </w:rPr>
            </w:pPr>
            <w:r>
              <w:rPr>
                <w:sz w:val="24"/>
                <w:szCs w:val="24"/>
              </w:rPr>
              <w:t>99%</w:t>
            </w:r>
            <w:r>
              <w:rPr>
                <w:rFonts w:hint="eastAsia" w:cs="仿宋"/>
                <w:sz w:val="24"/>
                <w:szCs w:val="24"/>
              </w:rPr>
              <w:t>以上</w:t>
            </w:r>
          </w:p>
        </w:tc>
        <w:tc>
          <w:tcPr>
            <w:tcW w:w="2809" w:type="dxa"/>
            <w:tcBorders>
              <w:top w:val="double" w:color="auto" w:sz="4" w:space="0"/>
            </w:tcBorders>
            <w:vAlign w:val="center"/>
          </w:tcPr>
          <w:p>
            <w:pPr>
              <w:spacing w:line="400" w:lineRule="exact"/>
              <w:jc w:val="center"/>
              <w:rPr>
                <w:sz w:val="24"/>
                <w:szCs w:val="24"/>
              </w:rPr>
            </w:pPr>
            <w:r>
              <w:rPr>
                <w:rFonts w:hint="eastAsia" w:cs="仿宋"/>
                <w:sz w:val="24"/>
                <w:szCs w:val="24"/>
              </w:rPr>
              <w:t>市生态环境局岱山分局、县经信局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restart"/>
            <w:vAlign w:val="center"/>
          </w:tcPr>
          <w:p>
            <w:pPr>
              <w:spacing w:line="400" w:lineRule="exact"/>
              <w:jc w:val="center"/>
              <w:rPr>
                <w:sz w:val="24"/>
                <w:szCs w:val="24"/>
              </w:rPr>
            </w:pPr>
            <w:r>
              <w:rPr>
                <w:sz w:val="24"/>
                <w:szCs w:val="24"/>
              </w:rPr>
              <w:t>13</w:t>
            </w:r>
          </w:p>
        </w:tc>
        <w:tc>
          <w:tcPr>
            <w:tcW w:w="1008" w:type="dxa"/>
            <w:vMerge w:val="continue"/>
            <w:vAlign w:val="center"/>
          </w:tcPr>
          <w:p>
            <w:pPr>
              <w:spacing w:line="400" w:lineRule="exact"/>
              <w:jc w:val="center"/>
              <w:rPr>
                <w:sz w:val="24"/>
                <w:szCs w:val="24"/>
              </w:rPr>
            </w:pPr>
          </w:p>
        </w:tc>
        <w:tc>
          <w:tcPr>
            <w:tcW w:w="3404" w:type="dxa"/>
            <w:gridSpan w:val="3"/>
            <w:vMerge w:val="restart"/>
            <w:vAlign w:val="center"/>
          </w:tcPr>
          <w:p>
            <w:pPr>
              <w:spacing w:line="400" w:lineRule="exact"/>
              <w:jc w:val="center"/>
              <w:rPr>
                <w:sz w:val="24"/>
                <w:szCs w:val="24"/>
              </w:rPr>
            </w:pPr>
            <w:r>
              <w:rPr>
                <w:rFonts w:hint="eastAsia" w:cs="仿宋"/>
                <w:sz w:val="24"/>
                <w:szCs w:val="24"/>
              </w:rPr>
              <w:t>生活垃圾无害化处理率</w:t>
            </w:r>
          </w:p>
        </w:tc>
        <w:tc>
          <w:tcPr>
            <w:tcW w:w="1275" w:type="dxa"/>
            <w:vAlign w:val="center"/>
          </w:tcPr>
          <w:p>
            <w:pPr>
              <w:spacing w:line="400" w:lineRule="exact"/>
              <w:jc w:val="center"/>
              <w:rPr>
                <w:sz w:val="24"/>
                <w:szCs w:val="24"/>
              </w:rPr>
            </w:pPr>
            <w:r>
              <w:rPr>
                <w:rFonts w:hint="eastAsia" w:cs="仿宋"/>
                <w:sz w:val="24"/>
                <w:szCs w:val="24"/>
              </w:rPr>
              <w:t>城镇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continue"/>
            <w:vAlign w:val="center"/>
          </w:tcPr>
          <w:p>
            <w:pPr>
              <w:spacing w:line="400" w:lineRule="exact"/>
              <w:jc w:val="center"/>
              <w:rPr>
                <w:sz w:val="24"/>
                <w:szCs w:val="24"/>
              </w:rPr>
            </w:pPr>
          </w:p>
        </w:tc>
        <w:tc>
          <w:tcPr>
            <w:tcW w:w="1008" w:type="dxa"/>
            <w:vMerge w:val="continue"/>
            <w:vAlign w:val="center"/>
          </w:tcPr>
          <w:p>
            <w:pPr>
              <w:spacing w:line="400" w:lineRule="exact"/>
              <w:jc w:val="center"/>
              <w:rPr>
                <w:sz w:val="24"/>
                <w:szCs w:val="24"/>
              </w:rPr>
            </w:pPr>
          </w:p>
        </w:tc>
        <w:tc>
          <w:tcPr>
            <w:tcW w:w="3404" w:type="dxa"/>
            <w:gridSpan w:val="3"/>
            <w:vMerge w:val="continue"/>
            <w:vAlign w:val="center"/>
          </w:tcPr>
          <w:p>
            <w:pPr>
              <w:spacing w:line="400" w:lineRule="exact"/>
              <w:jc w:val="center"/>
              <w:rPr>
                <w:sz w:val="24"/>
                <w:szCs w:val="24"/>
              </w:rPr>
            </w:pPr>
          </w:p>
        </w:tc>
        <w:tc>
          <w:tcPr>
            <w:tcW w:w="1275" w:type="dxa"/>
            <w:vAlign w:val="center"/>
          </w:tcPr>
          <w:p>
            <w:pPr>
              <w:spacing w:line="400" w:lineRule="exact"/>
              <w:jc w:val="center"/>
              <w:rPr>
                <w:sz w:val="24"/>
                <w:szCs w:val="24"/>
              </w:rPr>
            </w:pPr>
            <w:r>
              <w:rPr>
                <w:rFonts w:hint="eastAsia" w:cs="仿宋"/>
                <w:sz w:val="24"/>
                <w:szCs w:val="24"/>
              </w:rPr>
              <w:t>农村</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14</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400" w:lineRule="exact"/>
              <w:jc w:val="center"/>
              <w:rPr>
                <w:sz w:val="24"/>
                <w:szCs w:val="24"/>
              </w:rPr>
            </w:pPr>
            <w:r>
              <w:rPr>
                <w:rFonts w:hint="eastAsia" w:cs="仿宋"/>
                <w:sz w:val="24"/>
                <w:szCs w:val="24"/>
              </w:rPr>
              <w:t>医疗废物安全处置率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县卫生健康局、市生态环境局岱山分局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restart"/>
            <w:vAlign w:val="center"/>
          </w:tcPr>
          <w:p>
            <w:pPr>
              <w:spacing w:line="400" w:lineRule="exact"/>
              <w:jc w:val="center"/>
              <w:rPr>
                <w:sz w:val="24"/>
                <w:szCs w:val="24"/>
              </w:rPr>
            </w:pPr>
            <w:r>
              <w:rPr>
                <w:sz w:val="24"/>
                <w:szCs w:val="24"/>
              </w:rPr>
              <w:t>15</w:t>
            </w:r>
          </w:p>
        </w:tc>
        <w:tc>
          <w:tcPr>
            <w:tcW w:w="1008" w:type="dxa"/>
            <w:vMerge w:val="continue"/>
            <w:vAlign w:val="center"/>
          </w:tcPr>
          <w:p>
            <w:pPr>
              <w:spacing w:line="400" w:lineRule="exact"/>
              <w:jc w:val="center"/>
              <w:rPr>
                <w:sz w:val="24"/>
                <w:szCs w:val="24"/>
              </w:rPr>
            </w:pPr>
          </w:p>
        </w:tc>
        <w:tc>
          <w:tcPr>
            <w:tcW w:w="2233" w:type="dxa"/>
            <w:vMerge w:val="restart"/>
            <w:vAlign w:val="center"/>
          </w:tcPr>
          <w:p>
            <w:pPr>
              <w:spacing w:line="400" w:lineRule="exact"/>
              <w:jc w:val="center"/>
              <w:rPr>
                <w:sz w:val="24"/>
                <w:szCs w:val="24"/>
              </w:rPr>
            </w:pPr>
            <w:r>
              <w:rPr>
                <w:rFonts w:hint="eastAsia" w:cs="仿宋"/>
                <w:sz w:val="24"/>
                <w:szCs w:val="24"/>
              </w:rPr>
              <w:t>农业废弃物安全处置率</w:t>
            </w:r>
          </w:p>
        </w:tc>
        <w:tc>
          <w:tcPr>
            <w:tcW w:w="2446" w:type="dxa"/>
            <w:gridSpan w:val="3"/>
            <w:vAlign w:val="center"/>
          </w:tcPr>
          <w:p>
            <w:pPr>
              <w:spacing w:line="400" w:lineRule="exact"/>
              <w:jc w:val="center"/>
              <w:rPr>
                <w:sz w:val="24"/>
                <w:szCs w:val="24"/>
              </w:rPr>
            </w:pPr>
            <w:r>
              <w:rPr>
                <w:rFonts w:hint="eastAsia" w:cs="仿宋"/>
                <w:sz w:val="24"/>
                <w:szCs w:val="24"/>
              </w:rPr>
              <w:t>病死猪集中专业无害化处理率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90%</w:t>
            </w:r>
            <w:r>
              <w:rPr>
                <w:rFonts w:hint="eastAsia" w:cs="仿宋"/>
                <w:sz w:val="24"/>
                <w:szCs w:val="24"/>
              </w:rPr>
              <w:t>以上</w:t>
            </w:r>
          </w:p>
        </w:tc>
        <w:tc>
          <w:tcPr>
            <w:tcW w:w="2809" w:type="dxa"/>
            <w:vMerge w:val="restart"/>
            <w:vAlign w:val="center"/>
          </w:tcPr>
          <w:p>
            <w:pPr>
              <w:spacing w:line="400" w:lineRule="exact"/>
              <w:jc w:val="center"/>
              <w:rPr>
                <w:sz w:val="24"/>
                <w:szCs w:val="24"/>
              </w:rPr>
            </w:pPr>
            <w:r>
              <w:rPr>
                <w:rFonts w:hint="eastAsia" w:cs="仿宋"/>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continue"/>
            <w:vAlign w:val="center"/>
          </w:tcPr>
          <w:p>
            <w:pPr>
              <w:spacing w:line="400" w:lineRule="exact"/>
              <w:jc w:val="center"/>
              <w:rPr>
                <w:sz w:val="24"/>
                <w:szCs w:val="24"/>
              </w:rPr>
            </w:pPr>
          </w:p>
        </w:tc>
        <w:tc>
          <w:tcPr>
            <w:tcW w:w="1008" w:type="dxa"/>
            <w:vMerge w:val="continue"/>
            <w:vAlign w:val="center"/>
          </w:tcPr>
          <w:p>
            <w:pPr>
              <w:spacing w:line="400" w:lineRule="exact"/>
              <w:jc w:val="center"/>
              <w:rPr>
                <w:sz w:val="24"/>
                <w:szCs w:val="24"/>
              </w:rPr>
            </w:pPr>
          </w:p>
        </w:tc>
        <w:tc>
          <w:tcPr>
            <w:tcW w:w="2233" w:type="dxa"/>
            <w:vMerge w:val="continue"/>
            <w:vAlign w:val="center"/>
          </w:tcPr>
          <w:p>
            <w:pPr>
              <w:spacing w:line="400" w:lineRule="exact"/>
              <w:jc w:val="center"/>
              <w:rPr>
                <w:sz w:val="24"/>
                <w:szCs w:val="24"/>
              </w:rPr>
            </w:pPr>
          </w:p>
        </w:tc>
        <w:tc>
          <w:tcPr>
            <w:tcW w:w="2446" w:type="dxa"/>
            <w:gridSpan w:val="3"/>
            <w:vAlign w:val="center"/>
          </w:tcPr>
          <w:p>
            <w:pPr>
              <w:spacing w:line="400" w:lineRule="exact"/>
              <w:jc w:val="center"/>
              <w:rPr>
                <w:sz w:val="24"/>
                <w:szCs w:val="24"/>
              </w:rPr>
            </w:pPr>
            <w:r>
              <w:rPr>
                <w:rFonts w:hint="eastAsia" w:cs="仿宋"/>
                <w:sz w:val="24"/>
                <w:szCs w:val="24"/>
              </w:rPr>
              <w:t>废旧农膜回收处理率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w:t>
            </w:r>
          </w:p>
        </w:tc>
        <w:tc>
          <w:tcPr>
            <w:tcW w:w="1559" w:type="dxa"/>
            <w:vAlign w:val="center"/>
          </w:tcPr>
          <w:p>
            <w:pPr>
              <w:spacing w:line="400" w:lineRule="exact"/>
              <w:jc w:val="center"/>
              <w:rPr>
                <w:sz w:val="24"/>
                <w:szCs w:val="24"/>
              </w:rPr>
            </w:pPr>
            <w:r>
              <w:rPr>
                <w:sz w:val="24"/>
                <w:szCs w:val="24"/>
              </w:rPr>
              <w:t>90%</w:t>
            </w:r>
            <w:r>
              <w:rPr>
                <w:rFonts w:hint="eastAsia" w:cs="仿宋"/>
                <w:sz w:val="24"/>
                <w:szCs w:val="24"/>
              </w:rPr>
              <w:t>以上</w:t>
            </w:r>
          </w:p>
        </w:tc>
        <w:tc>
          <w:tcPr>
            <w:tcW w:w="2809" w:type="dxa"/>
            <w:vMerge w:val="continue"/>
            <w:vAlign w:val="center"/>
          </w:tcPr>
          <w:p>
            <w:pPr>
              <w:spacing w:line="4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bottom w:val="double" w:color="auto" w:sz="4" w:space="0"/>
            </w:tcBorders>
            <w:vAlign w:val="center"/>
          </w:tcPr>
          <w:p>
            <w:pPr>
              <w:spacing w:line="400" w:lineRule="exact"/>
              <w:jc w:val="center"/>
              <w:rPr>
                <w:sz w:val="24"/>
                <w:szCs w:val="24"/>
              </w:rPr>
            </w:pPr>
            <w:r>
              <w:rPr>
                <w:sz w:val="24"/>
                <w:szCs w:val="24"/>
              </w:rPr>
              <w:t>16</w:t>
            </w:r>
          </w:p>
        </w:tc>
        <w:tc>
          <w:tcPr>
            <w:tcW w:w="1008" w:type="dxa"/>
            <w:vMerge w:val="continue"/>
            <w:tcBorders>
              <w:bottom w:val="double" w:color="auto" w:sz="4" w:space="0"/>
            </w:tcBorders>
            <w:vAlign w:val="center"/>
          </w:tcPr>
          <w:p>
            <w:pPr>
              <w:spacing w:line="400" w:lineRule="exact"/>
              <w:jc w:val="center"/>
              <w:rPr>
                <w:sz w:val="24"/>
                <w:szCs w:val="24"/>
              </w:rPr>
            </w:pPr>
          </w:p>
        </w:tc>
        <w:tc>
          <w:tcPr>
            <w:tcW w:w="4679" w:type="dxa"/>
            <w:gridSpan w:val="4"/>
            <w:tcBorders>
              <w:bottom w:val="double" w:color="auto" w:sz="4" w:space="0"/>
            </w:tcBorders>
            <w:vAlign w:val="center"/>
          </w:tcPr>
          <w:p>
            <w:pPr>
              <w:spacing w:line="400" w:lineRule="exact"/>
              <w:jc w:val="center"/>
              <w:rPr>
                <w:sz w:val="24"/>
                <w:szCs w:val="24"/>
              </w:rPr>
            </w:pPr>
            <w:r>
              <w:rPr>
                <w:rFonts w:hint="eastAsia" w:cs="仿宋"/>
                <w:sz w:val="24"/>
                <w:szCs w:val="24"/>
              </w:rPr>
              <w:t>固体废物回收利用处置骨干企业数量</w:t>
            </w:r>
          </w:p>
        </w:tc>
        <w:tc>
          <w:tcPr>
            <w:tcW w:w="1134" w:type="dxa"/>
            <w:tcBorders>
              <w:bottom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bottom w:val="double" w:color="auto" w:sz="4" w:space="0"/>
            </w:tcBorders>
            <w:vAlign w:val="center"/>
          </w:tcPr>
          <w:p>
            <w:pPr>
              <w:spacing w:line="400" w:lineRule="exact"/>
              <w:jc w:val="center"/>
              <w:rPr>
                <w:sz w:val="24"/>
                <w:szCs w:val="24"/>
              </w:rPr>
            </w:pPr>
            <w:r>
              <w:rPr>
                <w:sz w:val="24"/>
                <w:szCs w:val="24"/>
              </w:rPr>
              <w:t>1</w:t>
            </w:r>
          </w:p>
        </w:tc>
        <w:tc>
          <w:tcPr>
            <w:tcW w:w="1559" w:type="dxa"/>
            <w:tcBorders>
              <w:bottom w:val="double" w:color="auto" w:sz="4" w:space="0"/>
            </w:tcBorders>
            <w:vAlign w:val="center"/>
          </w:tcPr>
          <w:p>
            <w:pPr>
              <w:spacing w:line="400" w:lineRule="exact"/>
              <w:jc w:val="center"/>
              <w:rPr>
                <w:sz w:val="24"/>
                <w:szCs w:val="24"/>
              </w:rPr>
            </w:pPr>
            <w:r>
              <w:rPr>
                <w:sz w:val="24"/>
                <w:szCs w:val="24"/>
              </w:rPr>
              <w:t>2</w:t>
            </w:r>
            <w:r>
              <w:rPr>
                <w:rFonts w:hint="eastAsia" w:cs="仿宋"/>
                <w:sz w:val="24"/>
                <w:szCs w:val="24"/>
              </w:rPr>
              <w:t>个以上</w:t>
            </w:r>
          </w:p>
        </w:tc>
        <w:tc>
          <w:tcPr>
            <w:tcW w:w="2809" w:type="dxa"/>
            <w:tcBorders>
              <w:bottom w:val="double" w:color="auto" w:sz="4" w:space="0"/>
            </w:tcBorders>
            <w:vAlign w:val="center"/>
          </w:tcPr>
          <w:p>
            <w:pPr>
              <w:spacing w:line="400" w:lineRule="exact"/>
              <w:jc w:val="center"/>
              <w:rPr>
                <w:sz w:val="24"/>
                <w:szCs w:val="24"/>
              </w:rPr>
            </w:pPr>
            <w:r>
              <w:rPr>
                <w:rFonts w:hint="eastAsia" w:cs="仿宋"/>
                <w:sz w:val="24"/>
                <w:szCs w:val="24"/>
              </w:rPr>
              <w:t>县经信局、市生态环境局岱山分局、县综合行政执法局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top w:val="double" w:color="auto" w:sz="4" w:space="0"/>
            </w:tcBorders>
            <w:vAlign w:val="center"/>
          </w:tcPr>
          <w:p>
            <w:pPr>
              <w:spacing w:line="400" w:lineRule="exact"/>
              <w:jc w:val="center"/>
              <w:rPr>
                <w:sz w:val="24"/>
                <w:szCs w:val="24"/>
              </w:rPr>
            </w:pPr>
            <w:r>
              <w:rPr>
                <w:sz w:val="24"/>
                <w:szCs w:val="24"/>
              </w:rPr>
              <w:t>17</w:t>
            </w:r>
          </w:p>
        </w:tc>
        <w:tc>
          <w:tcPr>
            <w:tcW w:w="1008" w:type="dxa"/>
            <w:vMerge w:val="restart"/>
            <w:tcBorders>
              <w:top w:val="double" w:color="auto" w:sz="4" w:space="0"/>
            </w:tcBorders>
            <w:vAlign w:val="center"/>
          </w:tcPr>
          <w:p>
            <w:pPr>
              <w:spacing w:line="400" w:lineRule="exact"/>
              <w:jc w:val="center"/>
              <w:rPr>
                <w:b/>
                <w:bCs/>
                <w:sz w:val="24"/>
                <w:szCs w:val="24"/>
              </w:rPr>
            </w:pPr>
            <w:r>
              <w:rPr>
                <w:rFonts w:hint="eastAsia" w:cs="仿宋"/>
                <w:b/>
                <w:bCs/>
                <w:sz w:val="24"/>
                <w:szCs w:val="24"/>
              </w:rPr>
              <w:t>监管无盲区</w:t>
            </w:r>
          </w:p>
        </w:tc>
        <w:tc>
          <w:tcPr>
            <w:tcW w:w="4679" w:type="dxa"/>
            <w:gridSpan w:val="4"/>
            <w:tcBorders>
              <w:top w:val="double" w:color="auto" w:sz="4" w:space="0"/>
            </w:tcBorders>
            <w:vAlign w:val="center"/>
          </w:tcPr>
          <w:p>
            <w:pPr>
              <w:spacing w:line="276" w:lineRule="auto"/>
              <w:jc w:val="center"/>
              <w:rPr>
                <w:sz w:val="24"/>
                <w:szCs w:val="24"/>
              </w:rPr>
            </w:pPr>
            <w:r>
              <w:rPr>
                <w:rFonts w:hint="eastAsia" w:cs="仿宋"/>
                <w:sz w:val="24"/>
                <w:szCs w:val="24"/>
              </w:rPr>
              <w:t>固体废物管理信息系统企事业单位上网率</w:t>
            </w:r>
          </w:p>
        </w:tc>
        <w:tc>
          <w:tcPr>
            <w:tcW w:w="1134" w:type="dxa"/>
            <w:tcBorders>
              <w:top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top w:val="double" w:color="auto" w:sz="4" w:space="0"/>
            </w:tcBorders>
            <w:vAlign w:val="center"/>
          </w:tcPr>
          <w:p>
            <w:pPr>
              <w:spacing w:line="400" w:lineRule="exact"/>
              <w:jc w:val="center"/>
              <w:rPr>
                <w:sz w:val="24"/>
                <w:szCs w:val="24"/>
              </w:rPr>
            </w:pPr>
            <w:r>
              <w:rPr>
                <w:sz w:val="24"/>
                <w:szCs w:val="24"/>
              </w:rPr>
              <w:t>100%</w:t>
            </w:r>
          </w:p>
        </w:tc>
        <w:tc>
          <w:tcPr>
            <w:tcW w:w="1559" w:type="dxa"/>
            <w:tcBorders>
              <w:top w:val="double" w:color="auto" w:sz="4" w:space="0"/>
            </w:tcBorders>
            <w:vAlign w:val="center"/>
          </w:tcPr>
          <w:p>
            <w:pPr>
              <w:spacing w:line="400" w:lineRule="exact"/>
              <w:jc w:val="center"/>
              <w:rPr>
                <w:sz w:val="24"/>
                <w:szCs w:val="24"/>
              </w:rPr>
            </w:pPr>
            <w:r>
              <w:rPr>
                <w:sz w:val="24"/>
                <w:szCs w:val="24"/>
              </w:rPr>
              <w:t>80</w:t>
            </w:r>
            <w:r>
              <w:rPr>
                <w:rFonts w:hint="eastAsia" w:cs="仿宋"/>
                <w:sz w:val="24"/>
                <w:szCs w:val="24"/>
              </w:rPr>
              <w:t>％以上</w:t>
            </w:r>
          </w:p>
        </w:tc>
        <w:tc>
          <w:tcPr>
            <w:tcW w:w="2809" w:type="dxa"/>
            <w:tcBorders>
              <w:top w:val="double" w:color="auto" w:sz="4" w:space="0"/>
            </w:tcBorders>
            <w:vAlign w:val="center"/>
          </w:tcPr>
          <w:p>
            <w:pPr>
              <w:spacing w:line="400" w:lineRule="exact"/>
              <w:jc w:val="center"/>
              <w:rPr>
                <w:sz w:val="24"/>
                <w:szCs w:val="24"/>
              </w:rPr>
            </w:pPr>
            <w:r>
              <w:rPr>
                <w:rFonts w:hint="eastAsia" w:cs="仿宋"/>
                <w:sz w:val="24"/>
                <w:szCs w:val="24"/>
              </w:rPr>
              <w:t>市生态环境局岱山分局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18</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276" w:lineRule="auto"/>
              <w:jc w:val="center"/>
              <w:rPr>
                <w:sz w:val="24"/>
                <w:szCs w:val="24"/>
              </w:rPr>
            </w:pPr>
            <w:r>
              <w:rPr>
                <w:rFonts w:hint="eastAsia" w:cs="仿宋"/>
                <w:sz w:val="24"/>
                <w:szCs w:val="24"/>
              </w:rPr>
              <w:t>村（镇）网格化巡查队伍覆盖率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县政法委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19</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276" w:lineRule="auto"/>
              <w:jc w:val="center"/>
              <w:rPr>
                <w:sz w:val="24"/>
                <w:szCs w:val="24"/>
              </w:rPr>
            </w:pPr>
            <w:r>
              <w:rPr>
                <w:rFonts w:hint="eastAsia" w:cs="仿宋"/>
                <w:sz w:val="24"/>
                <w:szCs w:val="24"/>
              </w:rPr>
              <w:t>危险废物运输转移联单和电子运单互联率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市生态环境局岱山分局、县交通运输局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bottom w:val="double" w:color="auto" w:sz="4" w:space="0"/>
            </w:tcBorders>
            <w:vAlign w:val="center"/>
          </w:tcPr>
          <w:p>
            <w:pPr>
              <w:spacing w:line="400" w:lineRule="exact"/>
              <w:jc w:val="center"/>
              <w:rPr>
                <w:sz w:val="24"/>
                <w:szCs w:val="24"/>
              </w:rPr>
            </w:pPr>
            <w:r>
              <w:rPr>
                <w:sz w:val="24"/>
                <w:szCs w:val="24"/>
              </w:rPr>
              <w:t>20</w:t>
            </w:r>
          </w:p>
        </w:tc>
        <w:tc>
          <w:tcPr>
            <w:tcW w:w="1008" w:type="dxa"/>
            <w:vMerge w:val="continue"/>
            <w:tcBorders>
              <w:bottom w:val="double" w:color="auto" w:sz="4" w:space="0"/>
            </w:tcBorders>
            <w:vAlign w:val="center"/>
          </w:tcPr>
          <w:p>
            <w:pPr>
              <w:spacing w:line="400" w:lineRule="exact"/>
              <w:jc w:val="center"/>
              <w:rPr>
                <w:sz w:val="24"/>
                <w:szCs w:val="24"/>
              </w:rPr>
            </w:pPr>
          </w:p>
        </w:tc>
        <w:tc>
          <w:tcPr>
            <w:tcW w:w="4679" w:type="dxa"/>
            <w:gridSpan w:val="4"/>
            <w:tcBorders>
              <w:bottom w:val="double" w:color="auto" w:sz="4" w:space="0"/>
            </w:tcBorders>
            <w:vAlign w:val="center"/>
          </w:tcPr>
          <w:p>
            <w:pPr>
              <w:spacing w:line="276" w:lineRule="auto"/>
              <w:jc w:val="center"/>
              <w:rPr>
                <w:sz w:val="24"/>
                <w:szCs w:val="24"/>
              </w:rPr>
            </w:pPr>
            <w:r>
              <w:rPr>
                <w:rFonts w:hint="eastAsia" w:cs="仿宋"/>
                <w:sz w:val="24"/>
                <w:szCs w:val="24"/>
              </w:rPr>
              <w:t>固体废物环境污染刑事案件查处率</w:t>
            </w:r>
          </w:p>
        </w:tc>
        <w:tc>
          <w:tcPr>
            <w:tcW w:w="1134" w:type="dxa"/>
            <w:tcBorders>
              <w:bottom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bottom w:val="double" w:color="auto" w:sz="4" w:space="0"/>
            </w:tcBorders>
            <w:vAlign w:val="center"/>
          </w:tcPr>
          <w:p>
            <w:pPr>
              <w:spacing w:line="400" w:lineRule="exact"/>
              <w:jc w:val="center"/>
              <w:rPr>
                <w:sz w:val="24"/>
                <w:szCs w:val="24"/>
              </w:rPr>
            </w:pPr>
            <w:r>
              <w:rPr>
                <w:sz w:val="24"/>
                <w:szCs w:val="24"/>
              </w:rPr>
              <w:t>100%</w:t>
            </w:r>
          </w:p>
        </w:tc>
        <w:tc>
          <w:tcPr>
            <w:tcW w:w="1559" w:type="dxa"/>
            <w:tcBorders>
              <w:bottom w:val="double" w:color="auto" w:sz="4" w:space="0"/>
            </w:tcBorders>
            <w:vAlign w:val="center"/>
          </w:tcPr>
          <w:p>
            <w:pPr>
              <w:spacing w:line="400" w:lineRule="exact"/>
              <w:jc w:val="center"/>
              <w:rPr>
                <w:sz w:val="24"/>
                <w:szCs w:val="24"/>
              </w:rPr>
            </w:pPr>
            <w:r>
              <w:rPr>
                <w:sz w:val="24"/>
                <w:szCs w:val="24"/>
              </w:rPr>
              <w:t>100%</w:t>
            </w:r>
          </w:p>
        </w:tc>
        <w:tc>
          <w:tcPr>
            <w:tcW w:w="2809" w:type="dxa"/>
            <w:tcBorders>
              <w:bottom w:val="double" w:color="auto" w:sz="4" w:space="0"/>
            </w:tcBorders>
            <w:vAlign w:val="center"/>
          </w:tcPr>
          <w:p>
            <w:pPr>
              <w:spacing w:line="400" w:lineRule="exact"/>
              <w:jc w:val="center"/>
              <w:rPr>
                <w:sz w:val="24"/>
                <w:szCs w:val="24"/>
              </w:rPr>
            </w:pPr>
            <w:r>
              <w:rPr>
                <w:rFonts w:hint="eastAsia" w:cs="仿宋"/>
                <w:sz w:val="24"/>
                <w:szCs w:val="24"/>
              </w:rPr>
              <w:t>县公安局、市生态环境局岱山分局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restart"/>
            <w:tcBorders>
              <w:top w:val="double" w:color="auto" w:sz="4" w:space="0"/>
            </w:tcBorders>
            <w:vAlign w:val="center"/>
          </w:tcPr>
          <w:p>
            <w:pPr>
              <w:spacing w:line="400" w:lineRule="exact"/>
              <w:jc w:val="center"/>
              <w:rPr>
                <w:sz w:val="24"/>
                <w:szCs w:val="24"/>
              </w:rPr>
            </w:pPr>
            <w:r>
              <w:rPr>
                <w:sz w:val="24"/>
                <w:szCs w:val="24"/>
              </w:rPr>
              <w:t>21</w:t>
            </w:r>
          </w:p>
        </w:tc>
        <w:tc>
          <w:tcPr>
            <w:tcW w:w="1008" w:type="dxa"/>
            <w:vMerge w:val="restart"/>
            <w:tcBorders>
              <w:top w:val="double" w:color="auto" w:sz="4" w:space="0"/>
            </w:tcBorders>
            <w:vAlign w:val="center"/>
          </w:tcPr>
          <w:p>
            <w:pPr>
              <w:spacing w:line="400" w:lineRule="exact"/>
              <w:jc w:val="center"/>
              <w:rPr>
                <w:b/>
                <w:bCs/>
                <w:sz w:val="24"/>
                <w:szCs w:val="24"/>
              </w:rPr>
            </w:pPr>
            <w:r>
              <w:rPr>
                <w:rFonts w:hint="eastAsia" w:cs="仿宋"/>
                <w:b/>
                <w:bCs/>
                <w:sz w:val="24"/>
                <w:szCs w:val="24"/>
              </w:rPr>
              <w:t>固废无倾倒</w:t>
            </w:r>
          </w:p>
        </w:tc>
        <w:tc>
          <w:tcPr>
            <w:tcW w:w="3404" w:type="dxa"/>
            <w:gridSpan w:val="3"/>
            <w:vMerge w:val="restart"/>
            <w:tcBorders>
              <w:top w:val="double" w:color="auto" w:sz="4" w:space="0"/>
            </w:tcBorders>
            <w:vAlign w:val="center"/>
          </w:tcPr>
          <w:p>
            <w:pPr>
              <w:spacing w:line="400" w:lineRule="exact"/>
              <w:jc w:val="center"/>
              <w:rPr>
                <w:sz w:val="24"/>
                <w:szCs w:val="24"/>
              </w:rPr>
            </w:pPr>
            <w:r>
              <w:rPr>
                <w:rFonts w:hint="eastAsia" w:cs="仿宋"/>
                <w:sz w:val="24"/>
                <w:szCs w:val="24"/>
              </w:rPr>
              <w:t>生活垃圾分类覆盖面</w:t>
            </w:r>
          </w:p>
        </w:tc>
        <w:tc>
          <w:tcPr>
            <w:tcW w:w="1275" w:type="dxa"/>
            <w:tcBorders>
              <w:top w:val="double" w:color="auto" w:sz="4" w:space="0"/>
            </w:tcBorders>
            <w:vAlign w:val="center"/>
          </w:tcPr>
          <w:p>
            <w:pPr>
              <w:spacing w:line="400" w:lineRule="exact"/>
              <w:jc w:val="center"/>
              <w:rPr>
                <w:sz w:val="24"/>
                <w:szCs w:val="24"/>
              </w:rPr>
            </w:pPr>
            <w:r>
              <w:rPr>
                <w:rFonts w:hint="eastAsia" w:cs="仿宋"/>
                <w:sz w:val="24"/>
                <w:szCs w:val="24"/>
              </w:rPr>
              <w:t>城市</w:t>
            </w:r>
          </w:p>
        </w:tc>
        <w:tc>
          <w:tcPr>
            <w:tcW w:w="1134" w:type="dxa"/>
            <w:tcBorders>
              <w:top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top w:val="double" w:color="auto" w:sz="4" w:space="0"/>
            </w:tcBorders>
            <w:vAlign w:val="center"/>
          </w:tcPr>
          <w:p>
            <w:pPr>
              <w:spacing w:line="400" w:lineRule="exact"/>
              <w:jc w:val="center"/>
              <w:rPr>
                <w:sz w:val="24"/>
                <w:szCs w:val="24"/>
              </w:rPr>
            </w:pPr>
            <w:r>
              <w:rPr>
                <w:sz w:val="24"/>
                <w:szCs w:val="24"/>
              </w:rPr>
              <w:t>92.04%</w:t>
            </w:r>
          </w:p>
        </w:tc>
        <w:tc>
          <w:tcPr>
            <w:tcW w:w="1559" w:type="dxa"/>
            <w:tcBorders>
              <w:top w:val="double" w:color="auto" w:sz="4" w:space="0"/>
            </w:tcBorders>
            <w:vAlign w:val="center"/>
          </w:tcPr>
          <w:p>
            <w:pPr>
              <w:spacing w:line="400" w:lineRule="exact"/>
              <w:jc w:val="center"/>
              <w:rPr>
                <w:sz w:val="24"/>
                <w:szCs w:val="24"/>
              </w:rPr>
            </w:pPr>
            <w:r>
              <w:rPr>
                <w:sz w:val="24"/>
                <w:szCs w:val="24"/>
              </w:rPr>
              <w:t>100%</w:t>
            </w:r>
          </w:p>
        </w:tc>
        <w:tc>
          <w:tcPr>
            <w:tcW w:w="2809" w:type="dxa"/>
            <w:tcBorders>
              <w:top w:val="double" w:color="auto" w:sz="4" w:space="0"/>
            </w:tcBorders>
            <w:vAlign w:val="center"/>
          </w:tcPr>
          <w:p>
            <w:pPr>
              <w:spacing w:line="400" w:lineRule="exact"/>
              <w:jc w:val="center"/>
              <w:rPr>
                <w:sz w:val="24"/>
                <w:szCs w:val="24"/>
              </w:rPr>
            </w:pPr>
            <w:r>
              <w:rPr>
                <w:rFonts w:hint="eastAsia" w:cs="仿宋"/>
                <w:sz w:val="24"/>
                <w:szCs w:val="24"/>
              </w:rPr>
              <w:t>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continue"/>
            <w:vAlign w:val="center"/>
          </w:tcPr>
          <w:p>
            <w:pPr>
              <w:spacing w:line="400" w:lineRule="exact"/>
              <w:jc w:val="center"/>
              <w:rPr>
                <w:sz w:val="24"/>
                <w:szCs w:val="24"/>
              </w:rPr>
            </w:pPr>
          </w:p>
        </w:tc>
        <w:tc>
          <w:tcPr>
            <w:tcW w:w="1008" w:type="dxa"/>
            <w:vMerge w:val="continue"/>
            <w:vAlign w:val="center"/>
          </w:tcPr>
          <w:p>
            <w:pPr>
              <w:spacing w:line="400" w:lineRule="exact"/>
              <w:jc w:val="center"/>
              <w:rPr>
                <w:sz w:val="24"/>
                <w:szCs w:val="24"/>
              </w:rPr>
            </w:pPr>
          </w:p>
        </w:tc>
        <w:tc>
          <w:tcPr>
            <w:tcW w:w="3404" w:type="dxa"/>
            <w:gridSpan w:val="3"/>
            <w:vMerge w:val="continue"/>
            <w:vAlign w:val="center"/>
          </w:tcPr>
          <w:p>
            <w:pPr>
              <w:spacing w:line="400" w:lineRule="exact"/>
              <w:jc w:val="center"/>
              <w:rPr>
                <w:sz w:val="24"/>
                <w:szCs w:val="24"/>
              </w:rPr>
            </w:pPr>
          </w:p>
        </w:tc>
        <w:tc>
          <w:tcPr>
            <w:tcW w:w="1275" w:type="dxa"/>
            <w:vAlign w:val="center"/>
          </w:tcPr>
          <w:p>
            <w:pPr>
              <w:spacing w:line="400" w:lineRule="exact"/>
              <w:jc w:val="center"/>
              <w:rPr>
                <w:sz w:val="24"/>
                <w:szCs w:val="24"/>
              </w:rPr>
            </w:pPr>
            <w:r>
              <w:rPr>
                <w:rFonts w:hint="eastAsia" w:cs="仿宋"/>
                <w:sz w:val="24"/>
                <w:szCs w:val="24"/>
              </w:rPr>
              <w:t>农村</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93.2%</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22</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276" w:lineRule="auto"/>
              <w:jc w:val="center"/>
              <w:rPr>
                <w:sz w:val="24"/>
                <w:szCs w:val="24"/>
              </w:rPr>
            </w:pPr>
            <w:r>
              <w:rPr>
                <w:rFonts w:hint="eastAsia" w:cs="仿宋"/>
                <w:sz w:val="24"/>
                <w:szCs w:val="24"/>
              </w:rPr>
              <w:t>医疗废物收集处置体系覆盖率</w:t>
            </w:r>
            <w:r>
              <w:rPr>
                <w:sz w:val="24"/>
                <w:szCs w:val="24"/>
              </w:rPr>
              <w:t xml:space="preserve"> </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县卫生健康局、市生态环境局岱山分局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23</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276" w:lineRule="auto"/>
              <w:jc w:val="center"/>
              <w:rPr>
                <w:sz w:val="24"/>
                <w:szCs w:val="24"/>
              </w:rPr>
            </w:pPr>
            <w:r>
              <w:rPr>
                <w:rFonts w:hint="eastAsia" w:cs="仿宋"/>
                <w:sz w:val="24"/>
                <w:szCs w:val="24"/>
              </w:rPr>
              <w:t>实验室废弃物集中统一收运覆盖率</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县教育局、县经信局、县市场监管局、县卫生健康局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bottom w:val="double" w:color="auto" w:sz="4" w:space="0"/>
            </w:tcBorders>
            <w:vAlign w:val="center"/>
          </w:tcPr>
          <w:p>
            <w:pPr>
              <w:spacing w:line="400" w:lineRule="exact"/>
              <w:jc w:val="center"/>
              <w:rPr>
                <w:sz w:val="24"/>
                <w:szCs w:val="24"/>
              </w:rPr>
            </w:pPr>
            <w:r>
              <w:rPr>
                <w:sz w:val="24"/>
                <w:szCs w:val="24"/>
              </w:rPr>
              <w:t>24</w:t>
            </w:r>
          </w:p>
        </w:tc>
        <w:tc>
          <w:tcPr>
            <w:tcW w:w="1008" w:type="dxa"/>
            <w:vMerge w:val="continue"/>
            <w:tcBorders>
              <w:bottom w:val="double" w:color="auto" w:sz="4" w:space="0"/>
            </w:tcBorders>
            <w:vAlign w:val="center"/>
          </w:tcPr>
          <w:p>
            <w:pPr>
              <w:spacing w:line="400" w:lineRule="exact"/>
              <w:jc w:val="center"/>
              <w:rPr>
                <w:sz w:val="24"/>
                <w:szCs w:val="24"/>
              </w:rPr>
            </w:pPr>
          </w:p>
        </w:tc>
        <w:tc>
          <w:tcPr>
            <w:tcW w:w="4679" w:type="dxa"/>
            <w:gridSpan w:val="4"/>
            <w:tcBorders>
              <w:bottom w:val="double" w:color="auto" w:sz="4" w:space="0"/>
            </w:tcBorders>
            <w:vAlign w:val="center"/>
          </w:tcPr>
          <w:p>
            <w:pPr>
              <w:spacing w:line="276" w:lineRule="auto"/>
              <w:jc w:val="center"/>
              <w:rPr>
                <w:sz w:val="24"/>
                <w:szCs w:val="24"/>
              </w:rPr>
            </w:pPr>
            <w:r>
              <w:rPr>
                <w:rFonts w:hint="eastAsia" w:cs="仿宋"/>
                <w:sz w:val="24"/>
                <w:szCs w:val="24"/>
              </w:rPr>
              <w:t>农业废弃物收储运体系覆盖率</w:t>
            </w:r>
          </w:p>
        </w:tc>
        <w:tc>
          <w:tcPr>
            <w:tcW w:w="1134" w:type="dxa"/>
            <w:tcBorders>
              <w:bottom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bottom w:val="double" w:color="auto" w:sz="4" w:space="0"/>
            </w:tcBorders>
            <w:vAlign w:val="center"/>
          </w:tcPr>
          <w:p>
            <w:pPr>
              <w:spacing w:line="400" w:lineRule="exact"/>
              <w:jc w:val="center"/>
              <w:rPr>
                <w:sz w:val="24"/>
                <w:szCs w:val="24"/>
              </w:rPr>
            </w:pPr>
            <w:r>
              <w:rPr>
                <w:sz w:val="24"/>
                <w:szCs w:val="24"/>
              </w:rPr>
              <w:t>/</w:t>
            </w:r>
          </w:p>
        </w:tc>
        <w:tc>
          <w:tcPr>
            <w:tcW w:w="1559" w:type="dxa"/>
            <w:tcBorders>
              <w:bottom w:val="double" w:color="auto" w:sz="4" w:space="0"/>
            </w:tcBorders>
            <w:vAlign w:val="center"/>
          </w:tcPr>
          <w:p>
            <w:pPr>
              <w:spacing w:line="400" w:lineRule="exact"/>
              <w:jc w:val="center"/>
              <w:rPr>
                <w:sz w:val="24"/>
                <w:szCs w:val="24"/>
              </w:rPr>
            </w:pPr>
            <w:r>
              <w:rPr>
                <w:sz w:val="24"/>
                <w:szCs w:val="24"/>
              </w:rPr>
              <w:t>100%</w:t>
            </w:r>
          </w:p>
        </w:tc>
        <w:tc>
          <w:tcPr>
            <w:tcW w:w="2809" w:type="dxa"/>
            <w:tcBorders>
              <w:bottom w:val="double" w:color="auto" w:sz="4" w:space="0"/>
            </w:tcBorders>
            <w:vAlign w:val="center"/>
          </w:tcPr>
          <w:p>
            <w:pPr>
              <w:spacing w:line="400" w:lineRule="exact"/>
              <w:jc w:val="center"/>
              <w:rPr>
                <w:sz w:val="24"/>
                <w:szCs w:val="24"/>
              </w:rPr>
            </w:pPr>
            <w:r>
              <w:rPr>
                <w:rFonts w:hint="eastAsia" w:cs="仿宋"/>
                <w:sz w:val="24"/>
                <w:szCs w:val="24"/>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tcBorders>
              <w:top w:val="double" w:color="auto" w:sz="4" w:space="0"/>
            </w:tcBorders>
            <w:vAlign w:val="center"/>
          </w:tcPr>
          <w:p>
            <w:pPr>
              <w:spacing w:line="400" w:lineRule="exact"/>
              <w:jc w:val="center"/>
              <w:rPr>
                <w:sz w:val="24"/>
                <w:szCs w:val="24"/>
              </w:rPr>
            </w:pPr>
            <w:r>
              <w:rPr>
                <w:sz w:val="24"/>
                <w:szCs w:val="24"/>
              </w:rPr>
              <w:t>25</w:t>
            </w:r>
          </w:p>
        </w:tc>
        <w:tc>
          <w:tcPr>
            <w:tcW w:w="1008" w:type="dxa"/>
            <w:vMerge w:val="restart"/>
            <w:tcBorders>
              <w:top w:val="double" w:color="auto" w:sz="4" w:space="0"/>
            </w:tcBorders>
            <w:vAlign w:val="center"/>
          </w:tcPr>
          <w:p>
            <w:pPr>
              <w:spacing w:line="400" w:lineRule="exact"/>
              <w:jc w:val="center"/>
              <w:rPr>
                <w:b/>
                <w:bCs/>
                <w:sz w:val="24"/>
                <w:szCs w:val="24"/>
              </w:rPr>
            </w:pPr>
            <w:r>
              <w:rPr>
                <w:rFonts w:hint="eastAsia" w:cs="仿宋"/>
                <w:b/>
                <w:bCs/>
                <w:sz w:val="24"/>
                <w:szCs w:val="24"/>
              </w:rPr>
              <w:t>保障无缺位</w:t>
            </w:r>
          </w:p>
        </w:tc>
        <w:tc>
          <w:tcPr>
            <w:tcW w:w="4679" w:type="dxa"/>
            <w:gridSpan w:val="4"/>
            <w:tcBorders>
              <w:top w:val="double" w:color="auto" w:sz="4" w:space="0"/>
            </w:tcBorders>
            <w:vAlign w:val="center"/>
          </w:tcPr>
          <w:p>
            <w:pPr>
              <w:spacing w:line="276" w:lineRule="auto"/>
              <w:jc w:val="center"/>
              <w:rPr>
                <w:sz w:val="24"/>
                <w:szCs w:val="24"/>
              </w:rPr>
            </w:pPr>
            <w:r>
              <w:rPr>
                <w:sz w:val="24"/>
                <w:szCs w:val="24"/>
              </w:rPr>
              <w:t>“</w:t>
            </w:r>
            <w:r>
              <w:rPr>
                <w:rFonts w:hint="eastAsia" w:cs="仿宋"/>
                <w:sz w:val="24"/>
                <w:szCs w:val="24"/>
              </w:rPr>
              <w:t>无废城市</w:t>
            </w:r>
            <w:r>
              <w:rPr>
                <w:sz w:val="24"/>
                <w:szCs w:val="24"/>
              </w:rPr>
              <w:t>”</w:t>
            </w:r>
            <w:r>
              <w:rPr>
                <w:rFonts w:hint="eastAsia" w:cs="仿宋"/>
                <w:sz w:val="24"/>
                <w:szCs w:val="24"/>
              </w:rPr>
              <w:t>建设地方性法规或政策性文件制定数量</w:t>
            </w:r>
          </w:p>
        </w:tc>
        <w:tc>
          <w:tcPr>
            <w:tcW w:w="1134" w:type="dxa"/>
            <w:tcBorders>
              <w:top w:val="double" w:color="auto" w:sz="4" w:space="0"/>
            </w:tcBorders>
            <w:vAlign w:val="center"/>
          </w:tcPr>
          <w:p>
            <w:pPr>
              <w:spacing w:line="400" w:lineRule="exact"/>
              <w:jc w:val="center"/>
              <w:rPr>
                <w:sz w:val="24"/>
                <w:szCs w:val="24"/>
              </w:rPr>
            </w:pPr>
            <w:r>
              <w:rPr>
                <w:rFonts w:hint="eastAsia" w:cs="仿宋"/>
                <w:sz w:val="24"/>
                <w:szCs w:val="24"/>
              </w:rPr>
              <w:t>必选</w:t>
            </w:r>
          </w:p>
        </w:tc>
        <w:tc>
          <w:tcPr>
            <w:tcW w:w="2250" w:type="dxa"/>
            <w:tcBorders>
              <w:top w:val="double" w:color="auto" w:sz="4" w:space="0"/>
            </w:tcBorders>
            <w:vAlign w:val="center"/>
          </w:tcPr>
          <w:p>
            <w:pPr>
              <w:spacing w:line="400" w:lineRule="exact"/>
              <w:jc w:val="center"/>
              <w:rPr>
                <w:sz w:val="24"/>
                <w:szCs w:val="24"/>
              </w:rPr>
            </w:pPr>
            <w:r>
              <w:rPr>
                <w:rFonts w:hint="eastAsia" w:cs="仿宋"/>
                <w:sz w:val="24"/>
                <w:szCs w:val="24"/>
              </w:rPr>
              <w:t>尚未制定</w:t>
            </w:r>
          </w:p>
        </w:tc>
        <w:tc>
          <w:tcPr>
            <w:tcW w:w="1559" w:type="dxa"/>
            <w:tcBorders>
              <w:top w:val="double" w:color="auto" w:sz="4" w:space="0"/>
            </w:tcBorders>
            <w:vAlign w:val="center"/>
          </w:tcPr>
          <w:p>
            <w:pPr>
              <w:spacing w:line="400" w:lineRule="exact"/>
              <w:jc w:val="center"/>
              <w:rPr>
                <w:sz w:val="24"/>
                <w:szCs w:val="24"/>
              </w:rPr>
            </w:pPr>
            <w:r>
              <w:rPr>
                <w:sz w:val="24"/>
                <w:szCs w:val="24"/>
              </w:rPr>
              <w:t>2</w:t>
            </w:r>
            <w:r>
              <w:rPr>
                <w:rFonts w:hint="eastAsia" w:cs="仿宋"/>
                <w:sz w:val="24"/>
                <w:szCs w:val="24"/>
              </w:rPr>
              <w:t>个以上</w:t>
            </w:r>
          </w:p>
        </w:tc>
        <w:tc>
          <w:tcPr>
            <w:tcW w:w="2809" w:type="dxa"/>
            <w:tcBorders>
              <w:top w:val="double" w:color="auto" w:sz="4" w:space="0"/>
            </w:tcBorders>
            <w:vAlign w:val="center"/>
          </w:tcPr>
          <w:p>
            <w:pPr>
              <w:spacing w:line="400" w:lineRule="exact"/>
              <w:jc w:val="center"/>
              <w:rPr>
                <w:sz w:val="24"/>
                <w:szCs w:val="24"/>
              </w:rPr>
            </w:pPr>
            <w:r>
              <w:rPr>
                <w:rFonts w:hint="eastAsia" w:cs="仿宋"/>
                <w:sz w:val="24"/>
                <w:szCs w:val="24"/>
              </w:rPr>
              <w:t>市生态环境局岱山分局牵头，其他各成员小组配合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26</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276" w:lineRule="auto"/>
              <w:jc w:val="center"/>
              <w:rPr>
                <w:sz w:val="24"/>
                <w:szCs w:val="24"/>
              </w:rPr>
            </w:pPr>
            <w:r>
              <w:rPr>
                <w:sz w:val="24"/>
                <w:szCs w:val="24"/>
              </w:rPr>
              <w:t>“</w:t>
            </w:r>
            <w:r>
              <w:rPr>
                <w:rFonts w:hint="eastAsia" w:cs="仿宋"/>
                <w:sz w:val="24"/>
                <w:szCs w:val="24"/>
              </w:rPr>
              <w:t>无废城市</w:t>
            </w:r>
            <w:r>
              <w:rPr>
                <w:sz w:val="24"/>
                <w:szCs w:val="24"/>
              </w:rPr>
              <w:t>”</w:t>
            </w:r>
            <w:r>
              <w:rPr>
                <w:rFonts w:hint="eastAsia" w:cs="仿宋"/>
                <w:sz w:val="24"/>
                <w:szCs w:val="24"/>
              </w:rPr>
              <w:t>建设成效纳入政绩考核情况</w:t>
            </w:r>
            <w:r>
              <w:rPr>
                <w:sz w:val="24"/>
                <w:szCs w:val="24"/>
              </w:rPr>
              <w:t xml:space="preserve"> </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rFonts w:hint="eastAsia" w:cs="仿宋"/>
                <w:sz w:val="24"/>
                <w:szCs w:val="24"/>
              </w:rPr>
              <w:t>尚未纳入</w:t>
            </w:r>
          </w:p>
        </w:tc>
        <w:tc>
          <w:tcPr>
            <w:tcW w:w="1559" w:type="dxa"/>
            <w:vAlign w:val="center"/>
          </w:tcPr>
          <w:p>
            <w:pPr>
              <w:spacing w:line="400" w:lineRule="exact"/>
              <w:jc w:val="center"/>
              <w:rPr>
                <w:sz w:val="24"/>
                <w:szCs w:val="24"/>
              </w:rPr>
            </w:pPr>
            <w:r>
              <w:rPr>
                <w:rFonts w:hint="eastAsia" w:cs="仿宋"/>
                <w:sz w:val="24"/>
                <w:szCs w:val="24"/>
              </w:rPr>
              <w:t>建立考核办法</w:t>
            </w:r>
          </w:p>
        </w:tc>
        <w:tc>
          <w:tcPr>
            <w:tcW w:w="2809" w:type="dxa"/>
            <w:vAlign w:val="center"/>
          </w:tcPr>
          <w:p>
            <w:pPr>
              <w:spacing w:line="400" w:lineRule="exact"/>
              <w:jc w:val="center"/>
              <w:rPr>
                <w:sz w:val="24"/>
                <w:szCs w:val="24"/>
              </w:rPr>
            </w:pPr>
            <w:r>
              <w:rPr>
                <w:rFonts w:hint="eastAsia" w:cs="仿宋"/>
                <w:sz w:val="24"/>
                <w:szCs w:val="24"/>
              </w:rPr>
              <w:t>市生态环境局岱山分局、县督考办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27</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276" w:lineRule="auto"/>
              <w:jc w:val="center"/>
              <w:rPr>
                <w:sz w:val="24"/>
                <w:szCs w:val="24"/>
              </w:rPr>
            </w:pPr>
            <w:r>
              <w:rPr>
                <w:rFonts w:hint="eastAsia" w:cs="仿宋"/>
                <w:sz w:val="24"/>
                <w:szCs w:val="24"/>
              </w:rPr>
              <w:t>固体废物回收利用处置投资占环境污染治理投资总额比重（县（市、区）可不选该指标）</w:t>
            </w:r>
            <w:r>
              <w:rPr>
                <w:sz w:val="24"/>
                <w:szCs w:val="24"/>
              </w:rPr>
              <w:t xml:space="preserve"> </w:t>
            </w:r>
          </w:p>
        </w:tc>
        <w:tc>
          <w:tcPr>
            <w:tcW w:w="1134" w:type="dxa"/>
            <w:vAlign w:val="center"/>
          </w:tcPr>
          <w:p>
            <w:pPr>
              <w:spacing w:line="400" w:lineRule="exact"/>
              <w:jc w:val="center"/>
              <w:rPr>
                <w:sz w:val="24"/>
                <w:szCs w:val="24"/>
              </w:rPr>
            </w:pPr>
            <w:r>
              <w:rPr>
                <w:rFonts w:hint="eastAsia" w:cs="仿宋"/>
                <w:sz w:val="24"/>
                <w:szCs w:val="24"/>
              </w:rPr>
              <w:t>必选</w:t>
            </w:r>
          </w:p>
        </w:tc>
        <w:tc>
          <w:tcPr>
            <w:tcW w:w="2250" w:type="dxa"/>
            <w:vAlign w:val="center"/>
          </w:tcPr>
          <w:p>
            <w:pPr>
              <w:spacing w:line="400" w:lineRule="exact"/>
              <w:jc w:val="center"/>
              <w:rPr>
                <w:sz w:val="24"/>
                <w:szCs w:val="24"/>
              </w:rPr>
            </w:pPr>
            <w:r>
              <w:rPr>
                <w:sz w:val="24"/>
                <w:szCs w:val="24"/>
              </w:rPr>
              <w:t>8.67%</w:t>
            </w:r>
          </w:p>
        </w:tc>
        <w:tc>
          <w:tcPr>
            <w:tcW w:w="1559" w:type="dxa"/>
            <w:vAlign w:val="center"/>
          </w:tcPr>
          <w:p>
            <w:pPr>
              <w:spacing w:line="400" w:lineRule="exact"/>
              <w:jc w:val="center"/>
              <w:rPr>
                <w:sz w:val="24"/>
                <w:szCs w:val="24"/>
              </w:rPr>
            </w:pPr>
            <w:r>
              <w:rPr>
                <w:rFonts w:hint="eastAsia" w:cs="仿宋"/>
                <w:sz w:val="24"/>
                <w:szCs w:val="24"/>
              </w:rPr>
              <w:t>逐年提高</w:t>
            </w:r>
          </w:p>
        </w:tc>
        <w:tc>
          <w:tcPr>
            <w:tcW w:w="2809" w:type="dxa"/>
            <w:vAlign w:val="center"/>
          </w:tcPr>
          <w:p>
            <w:pPr>
              <w:spacing w:line="400" w:lineRule="exact"/>
              <w:jc w:val="center"/>
              <w:rPr>
                <w:sz w:val="24"/>
                <w:szCs w:val="24"/>
              </w:rPr>
            </w:pPr>
            <w:r>
              <w:rPr>
                <w:rFonts w:hint="eastAsia" w:cs="仿宋"/>
                <w:sz w:val="24"/>
                <w:szCs w:val="24"/>
              </w:rPr>
              <w:t>市生态环境局岱山分局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restart"/>
            <w:tcBorders>
              <w:top w:val="double" w:color="auto" w:sz="4" w:space="0"/>
            </w:tcBorders>
            <w:vAlign w:val="center"/>
          </w:tcPr>
          <w:p>
            <w:pPr>
              <w:spacing w:line="400" w:lineRule="exact"/>
              <w:jc w:val="center"/>
              <w:rPr>
                <w:sz w:val="24"/>
                <w:szCs w:val="24"/>
              </w:rPr>
            </w:pPr>
            <w:r>
              <w:rPr>
                <w:sz w:val="24"/>
                <w:szCs w:val="24"/>
              </w:rPr>
              <w:t>28</w:t>
            </w:r>
          </w:p>
        </w:tc>
        <w:tc>
          <w:tcPr>
            <w:tcW w:w="1008" w:type="dxa"/>
            <w:vMerge w:val="restart"/>
            <w:tcBorders>
              <w:top w:val="double" w:color="auto" w:sz="4" w:space="0"/>
            </w:tcBorders>
            <w:vAlign w:val="center"/>
          </w:tcPr>
          <w:p>
            <w:pPr>
              <w:spacing w:line="400" w:lineRule="exact"/>
              <w:jc w:val="center"/>
              <w:rPr>
                <w:b/>
                <w:bCs/>
                <w:sz w:val="24"/>
                <w:szCs w:val="24"/>
              </w:rPr>
            </w:pPr>
            <w:r>
              <w:rPr>
                <w:rFonts w:hint="eastAsia" w:cs="仿宋"/>
                <w:b/>
                <w:bCs/>
                <w:sz w:val="24"/>
                <w:szCs w:val="24"/>
              </w:rPr>
              <w:t>废水无直排</w:t>
            </w:r>
          </w:p>
        </w:tc>
        <w:tc>
          <w:tcPr>
            <w:tcW w:w="2695" w:type="dxa"/>
            <w:gridSpan w:val="2"/>
            <w:vMerge w:val="restart"/>
            <w:tcBorders>
              <w:top w:val="double" w:color="auto" w:sz="4" w:space="0"/>
            </w:tcBorders>
            <w:vAlign w:val="center"/>
          </w:tcPr>
          <w:p>
            <w:pPr>
              <w:spacing w:line="400" w:lineRule="exact"/>
              <w:jc w:val="center"/>
              <w:rPr>
                <w:sz w:val="24"/>
                <w:szCs w:val="24"/>
              </w:rPr>
            </w:pPr>
            <w:r>
              <w:rPr>
                <w:sz w:val="24"/>
                <w:szCs w:val="24"/>
              </w:rPr>
              <w:t>“</w:t>
            </w:r>
            <w:r>
              <w:rPr>
                <w:rFonts w:hint="eastAsia" w:cs="仿宋"/>
                <w:sz w:val="24"/>
                <w:szCs w:val="24"/>
              </w:rPr>
              <w:t>污水零直排区</w:t>
            </w:r>
            <w:r>
              <w:rPr>
                <w:sz w:val="24"/>
                <w:szCs w:val="24"/>
              </w:rPr>
              <w:t>”</w:t>
            </w:r>
            <w:r>
              <w:rPr>
                <w:rFonts w:hint="eastAsia" w:cs="仿宋"/>
                <w:sz w:val="24"/>
                <w:szCs w:val="24"/>
              </w:rPr>
              <w:t>年度工作完成率</w:t>
            </w:r>
            <w:r>
              <w:rPr>
                <w:sz w:val="24"/>
                <w:szCs w:val="24"/>
              </w:rPr>
              <w:t>?</w:t>
            </w:r>
          </w:p>
        </w:tc>
        <w:tc>
          <w:tcPr>
            <w:tcW w:w="1984" w:type="dxa"/>
            <w:gridSpan w:val="2"/>
            <w:tcBorders>
              <w:top w:val="double" w:color="auto" w:sz="4" w:space="0"/>
            </w:tcBorders>
            <w:vAlign w:val="center"/>
          </w:tcPr>
          <w:p>
            <w:pPr>
              <w:spacing w:line="400" w:lineRule="exact"/>
              <w:jc w:val="center"/>
              <w:rPr>
                <w:sz w:val="24"/>
                <w:szCs w:val="24"/>
              </w:rPr>
            </w:pPr>
            <w:r>
              <w:rPr>
                <w:rFonts w:hint="eastAsia" w:cs="仿宋"/>
                <w:sz w:val="24"/>
                <w:szCs w:val="24"/>
              </w:rPr>
              <w:t>镇</w:t>
            </w:r>
          </w:p>
        </w:tc>
        <w:tc>
          <w:tcPr>
            <w:tcW w:w="1134" w:type="dxa"/>
            <w:vMerge w:val="restart"/>
            <w:tcBorders>
              <w:top w:val="double" w:color="auto" w:sz="4" w:space="0"/>
            </w:tcBorders>
            <w:vAlign w:val="center"/>
          </w:tcPr>
          <w:p>
            <w:pPr>
              <w:spacing w:line="400" w:lineRule="exact"/>
              <w:jc w:val="center"/>
              <w:rPr>
                <w:sz w:val="24"/>
                <w:szCs w:val="24"/>
              </w:rPr>
            </w:pPr>
            <w:r>
              <w:rPr>
                <w:rFonts w:hint="eastAsia" w:cs="仿宋"/>
                <w:sz w:val="24"/>
                <w:szCs w:val="24"/>
              </w:rPr>
              <w:t>参考</w:t>
            </w:r>
          </w:p>
          <w:p>
            <w:pPr>
              <w:spacing w:line="400" w:lineRule="exact"/>
              <w:jc w:val="center"/>
              <w:rPr>
                <w:sz w:val="24"/>
                <w:szCs w:val="24"/>
              </w:rPr>
            </w:pPr>
            <w:r>
              <w:rPr>
                <w:rFonts w:hint="eastAsia" w:cs="仿宋"/>
                <w:sz w:val="24"/>
                <w:szCs w:val="24"/>
              </w:rPr>
              <w:t>指标</w:t>
            </w:r>
          </w:p>
        </w:tc>
        <w:tc>
          <w:tcPr>
            <w:tcW w:w="2250" w:type="dxa"/>
            <w:tcBorders>
              <w:top w:val="double" w:color="auto" w:sz="4" w:space="0"/>
            </w:tcBorders>
            <w:vAlign w:val="center"/>
          </w:tcPr>
          <w:p>
            <w:pPr>
              <w:spacing w:line="400" w:lineRule="exact"/>
              <w:jc w:val="center"/>
              <w:rPr>
                <w:sz w:val="24"/>
                <w:szCs w:val="24"/>
              </w:rPr>
            </w:pPr>
            <w:r>
              <w:rPr>
                <w:sz w:val="24"/>
                <w:szCs w:val="24"/>
              </w:rPr>
              <w:t>100%</w:t>
            </w:r>
          </w:p>
        </w:tc>
        <w:tc>
          <w:tcPr>
            <w:tcW w:w="1559" w:type="dxa"/>
            <w:tcBorders>
              <w:top w:val="double" w:color="auto" w:sz="4" w:space="0"/>
            </w:tcBorders>
            <w:vAlign w:val="center"/>
          </w:tcPr>
          <w:p>
            <w:pPr>
              <w:spacing w:line="400" w:lineRule="exact"/>
              <w:jc w:val="center"/>
              <w:rPr>
                <w:sz w:val="24"/>
                <w:szCs w:val="24"/>
              </w:rPr>
            </w:pPr>
            <w:r>
              <w:rPr>
                <w:sz w:val="24"/>
                <w:szCs w:val="24"/>
              </w:rPr>
              <w:t>100%</w:t>
            </w:r>
          </w:p>
        </w:tc>
        <w:tc>
          <w:tcPr>
            <w:tcW w:w="2809" w:type="dxa"/>
            <w:tcBorders>
              <w:top w:val="double" w:color="auto" w:sz="4" w:space="0"/>
            </w:tcBorders>
            <w:vAlign w:val="center"/>
          </w:tcPr>
          <w:p>
            <w:pPr>
              <w:spacing w:line="400" w:lineRule="exact"/>
              <w:jc w:val="center"/>
              <w:rPr>
                <w:sz w:val="24"/>
                <w:szCs w:val="24"/>
              </w:rPr>
            </w:pPr>
            <w:r>
              <w:rPr>
                <w:rFonts w:hint="eastAsia" w:cs="仿宋"/>
                <w:sz w:val="24"/>
                <w:szCs w:val="24"/>
              </w:rPr>
              <w:t>县治水办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continue"/>
            <w:vAlign w:val="center"/>
          </w:tcPr>
          <w:p>
            <w:pPr>
              <w:spacing w:line="400" w:lineRule="exact"/>
              <w:jc w:val="center"/>
              <w:rPr>
                <w:sz w:val="24"/>
                <w:szCs w:val="24"/>
              </w:rPr>
            </w:pPr>
          </w:p>
        </w:tc>
        <w:tc>
          <w:tcPr>
            <w:tcW w:w="1008" w:type="dxa"/>
            <w:vMerge w:val="continue"/>
            <w:vAlign w:val="center"/>
          </w:tcPr>
          <w:p>
            <w:pPr>
              <w:spacing w:line="400" w:lineRule="exact"/>
              <w:jc w:val="center"/>
              <w:rPr>
                <w:b/>
                <w:bCs/>
                <w:sz w:val="24"/>
                <w:szCs w:val="24"/>
              </w:rPr>
            </w:pPr>
          </w:p>
        </w:tc>
        <w:tc>
          <w:tcPr>
            <w:tcW w:w="2695" w:type="dxa"/>
            <w:gridSpan w:val="2"/>
            <w:vMerge w:val="continue"/>
            <w:vAlign w:val="center"/>
          </w:tcPr>
          <w:p>
            <w:pPr>
              <w:spacing w:line="400" w:lineRule="exact"/>
              <w:jc w:val="center"/>
              <w:rPr>
                <w:sz w:val="24"/>
                <w:szCs w:val="24"/>
              </w:rPr>
            </w:pPr>
          </w:p>
        </w:tc>
        <w:tc>
          <w:tcPr>
            <w:tcW w:w="1984" w:type="dxa"/>
            <w:gridSpan w:val="2"/>
            <w:vAlign w:val="center"/>
          </w:tcPr>
          <w:p>
            <w:pPr>
              <w:spacing w:line="400" w:lineRule="exact"/>
              <w:jc w:val="center"/>
              <w:rPr>
                <w:sz w:val="24"/>
                <w:szCs w:val="24"/>
              </w:rPr>
            </w:pPr>
            <w:r>
              <w:rPr>
                <w:rFonts w:hint="eastAsia" w:cs="仿宋"/>
                <w:sz w:val="24"/>
                <w:szCs w:val="24"/>
              </w:rPr>
              <w:t>工业园区（工业集聚区）</w:t>
            </w:r>
          </w:p>
        </w:tc>
        <w:tc>
          <w:tcPr>
            <w:tcW w:w="1134" w:type="dxa"/>
            <w:vMerge w:val="continue"/>
            <w:vAlign w:val="center"/>
          </w:tcPr>
          <w:p>
            <w:pPr>
              <w:spacing w:line="400" w:lineRule="exact"/>
              <w:jc w:val="center"/>
              <w:rPr>
                <w:sz w:val="24"/>
                <w:szCs w:val="24"/>
              </w:rPr>
            </w:pP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市生态环境局岱山分局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Merge w:val="continue"/>
            <w:vAlign w:val="center"/>
          </w:tcPr>
          <w:p>
            <w:pPr>
              <w:spacing w:line="400" w:lineRule="exact"/>
              <w:jc w:val="center"/>
              <w:rPr>
                <w:sz w:val="24"/>
                <w:szCs w:val="24"/>
              </w:rPr>
            </w:pPr>
          </w:p>
        </w:tc>
        <w:tc>
          <w:tcPr>
            <w:tcW w:w="1008" w:type="dxa"/>
            <w:vMerge w:val="continue"/>
            <w:vAlign w:val="center"/>
          </w:tcPr>
          <w:p>
            <w:pPr>
              <w:spacing w:line="400" w:lineRule="exact"/>
              <w:jc w:val="center"/>
              <w:rPr>
                <w:b/>
                <w:bCs/>
                <w:sz w:val="24"/>
                <w:szCs w:val="24"/>
              </w:rPr>
            </w:pPr>
          </w:p>
        </w:tc>
        <w:tc>
          <w:tcPr>
            <w:tcW w:w="2695" w:type="dxa"/>
            <w:gridSpan w:val="2"/>
            <w:vMerge w:val="continue"/>
            <w:vAlign w:val="center"/>
          </w:tcPr>
          <w:p>
            <w:pPr>
              <w:spacing w:line="400" w:lineRule="exact"/>
              <w:jc w:val="center"/>
              <w:rPr>
                <w:sz w:val="24"/>
                <w:szCs w:val="24"/>
              </w:rPr>
            </w:pPr>
          </w:p>
        </w:tc>
        <w:tc>
          <w:tcPr>
            <w:tcW w:w="1984" w:type="dxa"/>
            <w:gridSpan w:val="2"/>
            <w:vAlign w:val="center"/>
          </w:tcPr>
          <w:p>
            <w:pPr>
              <w:spacing w:line="400" w:lineRule="exact"/>
              <w:jc w:val="center"/>
              <w:rPr>
                <w:sz w:val="24"/>
                <w:szCs w:val="24"/>
              </w:rPr>
            </w:pPr>
            <w:r>
              <w:rPr>
                <w:rFonts w:hint="eastAsia" w:cs="仿宋"/>
                <w:sz w:val="24"/>
                <w:szCs w:val="24"/>
              </w:rPr>
              <w:t>生活小区</w:t>
            </w:r>
          </w:p>
        </w:tc>
        <w:tc>
          <w:tcPr>
            <w:tcW w:w="1134" w:type="dxa"/>
            <w:vMerge w:val="continue"/>
            <w:vAlign w:val="center"/>
          </w:tcPr>
          <w:p>
            <w:pPr>
              <w:spacing w:line="400" w:lineRule="exact"/>
              <w:jc w:val="center"/>
              <w:rPr>
                <w:sz w:val="24"/>
                <w:szCs w:val="24"/>
              </w:rPr>
            </w:pPr>
          </w:p>
        </w:tc>
        <w:tc>
          <w:tcPr>
            <w:tcW w:w="2250" w:type="dxa"/>
            <w:vAlign w:val="center"/>
          </w:tcPr>
          <w:p>
            <w:pPr>
              <w:spacing w:line="400" w:lineRule="exact"/>
              <w:jc w:val="center"/>
              <w:rPr>
                <w:sz w:val="24"/>
                <w:szCs w:val="24"/>
              </w:rPr>
            </w:pPr>
            <w:r>
              <w:rPr>
                <w:sz w:val="24"/>
                <w:szCs w:val="24"/>
              </w:rPr>
              <w:t>100%</w:t>
            </w:r>
          </w:p>
        </w:tc>
        <w:tc>
          <w:tcPr>
            <w:tcW w:w="1559" w:type="dxa"/>
            <w:vAlign w:val="center"/>
          </w:tcPr>
          <w:p>
            <w:pPr>
              <w:spacing w:line="400" w:lineRule="exact"/>
              <w:jc w:val="center"/>
              <w:rPr>
                <w:sz w:val="24"/>
                <w:szCs w:val="24"/>
              </w:rPr>
            </w:pPr>
            <w:r>
              <w:rPr>
                <w:sz w:val="24"/>
                <w:szCs w:val="24"/>
              </w:rPr>
              <w:t>100%</w:t>
            </w:r>
          </w:p>
        </w:tc>
        <w:tc>
          <w:tcPr>
            <w:tcW w:w="2809" w:type="dxa"/>
            <w:vAlign w:val="center"/>
          </w:tcPr>
          <w:p>
            <w:pPr>
              <w:spacing w:line="400" w:lineRule="exact"/>
              <w:jc w:val="center"/>
              <w:rPr>
                <w:sz w:val="24"/>
                <w:szCs w:val="24"/>
              </w:rPr>
            </w:pPr>
            <w:r>
              <w:rPr>
                <w:rFonts w:hint="eastAsia" w:cs="仿宋"/>
                <w:sz w:val="24"/>
                <w:szCs w:val="24"/>
              </w:rPr>
              <w:t>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29</w:t>
            </w:r>
          </w:p>
        </w:tc>
        <w:tc>
          <w:tcPr>
            <w:tcW w:w="1008" w:type="dxa"/>
            <w:vMerge w:val="continue"/>
            <w:vAlign w:val="center"/>
          </w:tcPr>
          <w:p>
            <w:pPr>
              <w:spacing w:line="400" w:lineRule="exact"/>
              <w:jc w:val="center"/>
              <w:rPr>
                <w:b/>
                <w:bCs/>
                <w:sz w:val="24"/>
                <w:szCs w:val="24"/>
              </w:rPr>
            </w:pPr>
          </w:p>
        </w:tc>
        <w:tc>
          <w:tcPr>
            <w:tcW w:w="4679" w:type="dxa"/>
            <w:gridSpan w:val="4"/>
            <w:vAlign w:val="center"/>
          </w:tcPr>
          <w:p>
            <w:pPr>
              <w:spacing w:line="400" w:lineRule="exact"/>
              <w:jc w:val="center"/>
              <w:rPr>
                <w:sz w:val="24"/>
                <w:szCs w:val="24"/>
              </w:rPr>
            </w:pPr>
            <w:r>
              <w:rPr>
                <w:rFonts w:hint="eastAsia" w:cs="仿宋"/>
                <w:sz w:val="24"/>
                <w:szCs w:val="24"/>
              </w:rPr>
              <w:t>城市生活污水集中收集率</w:t>
            </w:r>
            <w:r>
              <w:rPr>
                <w:sz w:val="24"/>
                <w:szCs w:val="24"/>
              </w:rPr>
              <w:t>?</w:t>
            </w:r>
          </w:p>
        </w:tc>
        <w:tc>
          <w:tcPr>
            <w:tcW w:w="1134" w:type="dxa"/>
            <w:vMerge w:val="continue"/>
            <w:vAlign w:val="center"/>
          </w:tcPr>
          <w:p>
            <w:pPr>
              <w:spacing w:line="400" w:lineRule="exact"/>
              <w:jc w:val="center"/>
              <w:rPr>
                <w:sz w:val="24"/>
                <w:szCs w:val="24"/>
              </w:rPr>
            </w:pPr>
          </w:p>
        </w:tc>
        <w:tc>
          <w:tcPr>
            <w:tcW w:w="2250" w:type="dxa"/>
            <w:vAlign w:val="center"/>
          </w:tcPr>
          <w:p>
            <w:pPr>
              <w:spacing w:line="400" w:lineRule="exact"/>
              <w:jc w:val="center"/>
              <w:rPr>
                <w:sz w:val="24"/>
                <w:szCs w:val="24"/>
              </w:rPr>
            </w:pPr>
            <w:r>
              <w:rPr>
                <w:sz w:val="24"/>
                <w:szCs w:val="24"/>
              </w:rPr>
              <w:t>/</w:t>
            </w:r>
          </w:p>
        </w:tc>
        <w:tc>
          <w:tcPr>
            <w:tcW w:w="1559" w:type="dxa"/>
            <w:vAlign w:val="center"/>
          </w:tcPr>
          <w:p>
            <w:pPr>
              <w:spacing w:line="400" w:lineRule="exact"/>
              <w:jc w:val="center"/>
              <w:rPr>
                <w:sz w:val="24"/>
                <w:szCs w:val="24"/>
              </w:rPr>
            </w:pPr>
            <w:r>
              <w:rPr>
                <w:sz w:val="24"/>
                <w:szCs w:val="24"/>
              </w:rPr>
              <w:t>80%</w:t>
            </w:r>
            <w:r>
              <w:rPr>
                <w:rFonts w:hint="eastAsia" w:cs="仿宋"/>
                <w:sz w:val="24"/>
                <w:szCs w:val="24"/>
              </w:rPr>
              <w:t>以上</w:t>
            </w:r>
          </w:p>
        </w:tc>
        <w:tc>
          <w:tcPr>
            <w:tcW w:w="2809" w:type="dxa"/>
            <w:vAlign w:val="center"/>
          </w:tcPr>
          <w:p>
            <w:pPr>
              <w:spacing w:line="400" w:lineRule="exact"/>
              <w:jc w:val="center"/>
              <w:rPr>
                <w:sz w:val="24"/>
                <w:szCs w:val="24"/>
              </w:rPr>
            </w:pPr>
            <w:r>
              <w:rPr>
                <w:rFonts w:hint="eastAsia" w:cs="仿宋"/>
                <w:sz w:val="24"/>
                <w:szCs w:val="24"/>
              </w:rPr>
              <w:t>县综合行政执法局、县住建局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30</w:t>
            </w:r>
          </w:p>
        </w:tc>
        <w:tc>
          <w:tcPr>
            <w:tcW w:w="1008" w:type="dxa"/>
            <w:vMerge w:val="restart"/>
            <w:vAlign w:val="center"/>
          </w:tcPr>
          <w:p>
            <w:pPr>
              <w:spacing w:line="400" w:lineRule="exact"/>
              <w:jc w:val="center"/>
              <w:rPr>
                <w:b/>
                <w:bCs/>
                <w:sz w:val="24"/>
                <w:szCs w:val="24"/>
              </w:rPr>
            </w:pPr>
            <w:r>
              <w:rPr>
                <w:rFonts w:hint="eastAsia" w:cs="仿宋"/>
                <w:b/>
                <w:bCs/>
                <w:sz w:val="24"/>
                <w:szCs w:val="24"/>
              </w:rPr>
              <w:t>废气无臭味</w:t>
            </w:r>
          </w:p>
        </w:tc>
        <w:tc>
          <w:tcPr>
            <w:tcW w:w="4679" w:type="dxa"/>
            <w:gridSpan w:val="4"/>
            <w:vAlign w:val="center"/>
          </w:tcPr>
          <w:p>
            <w:pPr>
              <w:spacing w:line="400" w:lineRule="exact"/>
              <w:jc w:val="center"/>
              <w:rPr>
                <w:sz w:val="24"/>
                <w:szCs w:val="24"/>
              </w:rPr>
            </w:pPr>
            <w:r>
              <w:rPr>
                <w:rFonts w:hint="eastAsia" w:cs="仿宋"/>
                <w:sz w:val="24"/>
                <w:szCs w:val="24"/>
              </w:rPr>
              <w:t>空气质量优良天数比率</w:t>
            </w:r>
            <w:r>
              <w:rPr>
                <w:sz w:val="24"/>
                <w:szCs w:val="24"/>
              </w:rPr>
              <w:t>?</w:t>
            </w:r>
          </w:p>
        </w:tc>
        <w:tc>
          <w:tcPr>
            <w:tcW w:w="1134" w:type="dxa"/>
            <w:vMerge w:val="continue"/>
            <w:vAlign w:val="center"/>
          </w:tcPr>
          <w:p>
            <w:pPr>
              <w:spacing w:line="400" w:lineRule="exact"/>
              <w:jc w:val="center"/>
              <w:rPr>
                <w:sz w:val="24"/>
                <w:szCs w:val="24"/>
              </w:rPr>
            </w:pPr>
          </w:p>
        </w:tc>
        <w:tc>
          <w:tcPr>
            <w:tcW w:w="2250" w:type="dxa"/>
            <w:vAlign w:val="center"/>
          </w:tcPr>
          <w:p>
            <w:pPr>
              <w:spacing w:line="400" w:lineRule="exact"/>
              <w:jc w:val="center"/>
              <w:rPr>
                <w:sz w:val="24"/>
                <w:szCs w:val="24"/>
              </w:rPr>
            </w:pPr>
            <w:r>
              <w:rPr>
                <w:sz w:val="24"/>
                <w:szCs w:val="24"/>
              </w:rPr>
              <w:t>98.3%</w:t>
            </w:r>
          </w:p>
        </w:tc>
        <w:tc>
          <w:tcPr>
            <w:tcW w:w="1559" w:type="dxa"/>
            <w:vAlign w:val="center"/>
          </w:tcPr>
          <w:p>
            <w:pPr>
              <w:spacing w:line="400" w:lineRule="exact"/>
              <w:jc w:val="center"/>
              <w:rPr>
                <w:sz w:val="24"/>
                <w:szCs w:val="24"/>
              </w:rPr>
            </w:pPr>
            <w:r>
              <w:rPr>
                <w:rFonts w:hint="eastAsia" w:cs="仿宋"/>
                <w:sz w:val="24"/>
                <w:szCs w:val="24"/>
              </w:rPr>
              <w:t>完成省下达的年度目标</w:t>
            </w:r>
          </w:p>
        </w:tc>
        <w:tc>
          <w:tcPr>
            <w:tcW w:w="2809" w:type="dxa"/>
            <w:vAlign w:val="center"/>
          </w:tcPr>
          <w:p>
            <w:pPr>
              <w:spacing w:line="400" w:lineRule="exact"/>
              <w:jc w:val="center"/>
              <w:rPr>
                <w:sz w:val="24"/>
                <w:szCs w:val="24"/>
              </w:rPr>
            </w:pPr>
            <w:r>
              <w:rPr>
                <w:rFonts w:hint="eastAsia" w:cs="仿宋"/>
                <w:sz w:val="24"/>
                <w:szCs w:val="24"/>
              </w:rPr>
              <w:t>市生态环境局岱山分局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31</w:t>
            </w:r>
          </w:p>
        </w:tc>
        <w:tc>
          <w:tcPr>
            <w:tcW w:w="1008" w:type="dxa"/>
            <w:vMerge w:val="continue"/>
            <w:vAlign w:val="center"/>
          </w:tcPr>
          <w:p>
            <w:pPr>
              <w:spacing w:line="400" w:lineRule="exact"/>
              <w:jc w:val="center"/>
              <w:rPr>
                <w:sz w:val="24"/>
                <w:szCs w:val="24"/>
              </w:rPr>
            </w:pPr>
          </w:p>
        </w:tc>
        <w:tc>
          <w:tcPr>
            <w:tcW w:w="4679" w:type="dxa"/>
            <w:gridSpan w:val="4"/>
            <w:vAlign w:val="center"/>
          </w:tcPr>
          <w:p>
            <w:pPr>
              <w:spacing w:line="400" w:lineRule="exact"/>
              <w:jc w:val="center"/>
              <w:rPr>
                <w:sz w:val="24"/>
                <w:szCs w:val="24"/>
              </w:rPr>
            </w:pPr>
            <w:r>
              <w:rPr>
                <w:rFonts w:hint="eastAsia" w:cs="仿宋"/>
                <w:sz w:val="24"/>
                <w:szCs w:val="24"/>
              </w:rPr>
              <w:t>年度涉气重复信访投诉量</w:t>
            </w:r>
            <w:r>
              <w:rPr>
                <w:sz w:val="24"/>
                <w:szCs w:val="24"/>
              </w:rPr>
              <w:t>?</w:t>
            </w:r>
          </w:p>
        </w:tc>
        <w:tc>
          <w:tcPr>
            <w:tcW w:w="1134" w:type="dxa"/>
            <w:vMerge w:val="continue"/>
            <w:vAlign w:val="center"/>
          </w:tcPr>
          <w:p>
            <w:pPr>
              <w:spacing w:line="400" w:lineRule="exact"/>
              <w:jc w:val="center"/>
              <w:rPr>
                <w:sz w:val="24"/>
                <w:szCs w:val="24"/>
              </w:rPr>
            </w:pPr>
          </w:p>
        </w:tc>
        <w:tc>
          <w:tcPr>
            <w:tcW w:w="2250" w:type="dxa"/>
            <w:vAlign w:val="center"/>
          </w:tcPr>
          <w:p>
            <w:pPr>
              <w:spacing w:line="400" w:lineRule="exact"/>
              <w:jc w:val="center"/>
              <w:rPr>
                <w:sz w:val="24"/>
                <w:szCs w:val="24"/>
              </w:rPr>
            </w:pPr>
            <w:r>
              <w:rPr>
                <w:sz w:val="24"/>
                <w:szCs w:val="24"/>
              </w:rPr>
              <w:t>4</w:t>
            </w:r>
            <w:r>
              <w:rPr>
                <w:rFonts w:hint="eastAsia" w:cs="仿宋"/>
                <w:sz w:val="24"/>
                <w:szCs w:val="24"/>
              </w:rPr>
              <w:t>次</w:t>
            </w:r>
          </w:p>
        </w:tc>
        <w:tc>
          <w:tcPr>
            <w:tcW w:w="1559" w:type="dxa"/>
            <w:vAlign w:val="center"/>
          </w:tcPr>
          <w:p>
            <w:pPr>
              <w:spacing w:line="400" w:lineRule="exact"/>
              <w:jc w:val="center"/>
              <w:rPr>
                <w:sz w:val="24"/>
                <w:szCs w:val="24"/>
              </w:rPr>
            </w:pPr>
            <w:r>
              <w:rPr>
                <w:rFonts w:hint="eastAsia" w:cs="仿宋"/>
                <w:sz w:val="24"/>
                <w:szCs w:val="24"/>
              </w:rPr>
              <w:t>负增长</w:t>
            </w:r>
          </w:p>
        </w:tc>
        <w:tc>
          <w:tcPr>
            <w:tcW w:w="2809" w:type="dxa"/>
            <w:vAlign w:val="center"/>
          </w:tcPr>
          <w:p>
            <w:pPr>
              <w:spacing w:line="400" w:lineRule="exact"/>
              <w:jc w:val="center"/>
              <w:rPr>
                <w:sz w:val="24"/>
                <w:szCs w:val="24"/>
              </w:rPr>
            </w:pPr>
            <w:r>
              <w:rPr>
                <w:rFonts w:hint="eastAsia" w:cs="仿宋"/>
                <w:sz w:val="24"/>
                <w:szCs w:val="24"/>
              </w:rPr>
              <w:t>市生态环境局岱山分局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jc w:val="center"/>
        </w:trPr>
        <w:tc>
          <w:tcPr>
            <w:tcW w:w="582" w:type="dxa"/>
            <w:vAlign w:val="center"/>
          </w:tcPr>
          <w:p>
            <w:pPr>
              <w:spacing w:line="400" w:lineRule="exact"/>
              <w:jc w:val="center"/>
              <w:rPr>
                <w:sz w:val="24"/>
                <w:szCs w:val="24"/>
              </w:rPr>
            </w:pPr>
            <w:r>
              <w:rPr>
                <w:sz w:val="24"/>
                <w:szCs w:val="24"/>
              </w:rPr>
              <w:t>32</w:t>
            </w:r>
          </w:p>
        </w:tc>
        <w:tc>
          <w:tcPr>
            <w:tcW w:w="1008" w:type="dxa"/>
            <w:vAlign w:val="center"/>
          </w:tcPr>
          <w:p>
            <w:pPr>
              <w:spacing w:line="400" w:lineRule="exact"/>
              <w:jc w:val="center"/>
              <w:rPr>
                <w:b/>
                <w:bCs/>
                <w:sz w:val="24"/>
                <w:szCs w:val="24"/>
              </w:rPr>
            </w:pPr>
            <w:r>
              <w:rPr>
                <w:rFonts w:hint="eastAsia" w:cs="仿宋"/>
                <w:b/>
                <w:bCs/>
                <w:sz w:val="24"/>
                <w:szCs w:val="24"/>
              </w:rPr>
              <w:t>公众满意度</w:t>
            </w:r>
          </w:p>
        </w:tc>
        <w:tc>
          <w:tcPr>
            <w:tcW w:w="4679" w:type="dxa"/>
            <w:gridSpan w:val="4"/>
            <w:vAlign w:val="center"/>
          </w:tcPr>
          <w:p>
            <w:pPr>
              <w:spacing w:line="400" w:lineRule="exact"/>
              <w:jc w:val="center"/>
              <w:rPr>
                <w:sz w:val="24"/>
                <w:szCs w:val="24"/>
              </w:rPr>
            </w:pPr>
            <w:r>
              <w:rPr>
                <w:rFonts w:hint="eastAsia" w:cs="仿宋"/>
                <w:sz w:val="24"/>
                <w:szCs w:val="24"/>
              </w:rPr>
              <w:t>公众对</w:t>
            </w:r>
            <w:r>
              <w:rPr>
                <w:sz w:val="24"/>
                <w:szCs w:val="24"/>
              </w:rPr>
              <w:t>“</w:t>
            </w:r>
            <w:r>
              <w:rPr>
                <w:rFonts w:hint="eastAsia" w:cs="仿宋"/>
                <w:sz w:val="24"/>
                <w:szCs w:val="24"/>
              </w:rPr>
              <w:t>无废城市</w:t>
            </w:r>
            <w:r>
              <w:rPr>
                <w:sz w:val="24"/>
                <w:szCs w:val="24"/>
              </w:rPr>
              <w:t>”</w:t>
            </w:r>
            <w:r>
              <w:rPr>
                <w:rFonts w:hint="eastAsia" w:cs="仿宋"/>
                <w:sz w:val="24"/>
                <w:szCs w:val="24"/>
              </w:rPr>
              <w:t>建设成效的满意程度</w:t>
            </w:r>
            <w:r>
              <w:rPr>
                <w:sz w:val="24"/>
                <w:szCs w:val="24"/>
              </w:rPr>
              <w:t>?</w:t>
            </w:r>
          </w:p>
        </w:tc>
        <w:tc>
          <w:tcPr>
            <w:tcW w:w="1134" w:type="dxa"/>
            <w:vAlign w:val="center"/>
          </w:tcPr>
          <w:p>
            <w:pPr>
              <w:spacing w:line="400" w:lineRule="exact"/>
              <w:jc w:val="center"/>
              <w:rPr>
                <w:sz w:val="24"/>
                <w:szCs w:val="24"/>
              </w:rPr>
            </w:pPr>
            <w:r>
              <w:rPr>
                <w:rFonts w:hint="eastAsia" w:cs="仿宋"/>
                <w:sz w:val="24"/>
                <w:szCs w:val="24"/>
              </w:rPr>
              <w:t>参考</w:t>
            </w:r>
          </w:p>
          <w:p>
            <w:pPr>
              <w:spacing w:line="400" w:lineRule="exact"/>
              <w:jc w:val="center"/>
              <w:rPr>
                <w:sz w:val="24"/>
                <w:szCs w:val="24"/>
              </w:rPr>
            </w:pPr>
            <w:r>
              <w:rPr>
                <w:rFonts w:hint="eastAsia" w:cs="仿宋"/>
                <w:sz w:val="24"/>
                <w:szCs w:val="24"/>
              </w:rPr>
              <w:t>指标</w:t>
            </w:r>
          </w:p>
        </w:tc>
        <w:tc>
          <w:tcPr>
            <w:tcW w:w="2250" w:type="dxa"/>
            <w:vAlign w:val="center"/>
          </w:tcPr>
          <w:p>
            <w:pPr>
              <w:spacing w:line="400" w:lineRule="exact"/>
              <w:jc w:val="center"/>
              <w:rPr>
                <w:sz w:val="24"/>
                <w:szCs w:val="24"/>
              </w:rPr>
            </w:pPr>
            <w:r>
              <w:rPr>
                <w:sz w:val="24"/>
                <w:szCs w:val="24"/>
              </w:rPr>
              <w:t>/</w:t>
            </w:r>
          </w:p>
        </w:tc>
        <w:tc>
          <w:tcPr>
            <w:tcW w:w="1559" w:type="dxa"/>
            <w:vAlign w:val="center"/>
          </w:tcPr>
          <w:p>
            <w:pPr>
              <w:spacing w:line="400" w:lineRule="exact"/>
              <w:jc w:val="center"/>
              <w:rPr>
                <w:sz w:val="24"/>
                <w:szCs w:val="24"/>
              </w:rPr>
            </w:pPr>
            <w:r>
              <w:rPr>
                <w:sz w:val="24"/>
                <w:szCs w:val="24"/>
              </w:rPr>
              <w:t>80%</w:t>
            </w:r>
            <w:r>
              <w:rPr>
                <w:rFonts w:hint="eastAsia" w:cs="仿宋"/>
                <w:sz w:val="24"/>
                <w:szCs w:val="24"/>
              </w:rPr>
              <w:t>以上</w:t>
            </w:r>
          </w:p>
        </w:tc>
        <w:tc>
          <w:tcPr>
            <w:tcW w:w="2809" w:type="dxa"/>
            <w:vAlign w:val="center"/>
          </w:tcPr>
          <w:p>
            <w:pPr>
              <w:spacing w:line="400" w:lineRule="exact"/>
              <w:jc w:val="center"/>
              <w:rPr>
                <w:sz w:val="24"/>
                <w:szCs w:val="24"/>
              </w:rPr>
            </w:pPr>
            <w:r>
              <w:rPr>
                <w:rFonts w:hint="eastAsia" w:cs="仿宋"/>
                <w:sz w:val="24"/>
                <w:szCs w:val="24"/>
              </w:rPr>
              <w:t>市生态环境局岱山分局</w:t>
            </w:r>
          </w:p>
        </w:tc>
      </w:tr>
    </w:tbl>
    <w:p>
      <w:pPr>
        <w:spacing w:beforeLines="50"/>
        <w:rPr>
          <w:b/>
          <w:bCs/>
        </w:rPr>
      </w:pPr>
      <w:r>
        <w:rPr>
          <w:rFonts w:hint="eastAsia" w:cs="仿宋"/>
        </w:rPr>
        <w:t>注：</w:t>
      </w:r>
      <w:r>
        <w:rPr>
          <w:b/>
          <w:bCs/>
        </w:rPr>
        <w:t>1</w:t>
      </w:r>
      <w:r>
        <w:rPr>
          <w:rFonts w:hint="eastAsia" w:cs="仿宋"/>
        </w:rPr>
        <w:t>、该指标体系为全域</w:t>
      </w:r>
      <w:r>
        <w:rPr>
          <w:b/>
          <w:bCs/>
        </w:rPr>
        <w:t>“</w:t>
      </w:r>
      <w:r>
        <w:rPr>
          <w:rFonts w:hint="eastAsia" w:cs="仿宋"/>
        </w:rPr>
        <w:t>无废城市</w:t>
      </w:r>
      <w:r>
        <w:rPr>
          <w:b/>
          <w:bCs/>
        </w:rPr>
        <w:t>”</w:t>
      </w:r>
      <w:r>
        <w:rPr>
          <w:rFonts w:hint="eastAsia" w:cs="仿宋"/>
        </w:rPr>
        <w:t>建设期间使用，</w:t>
      </w:r>
      <w:r>
        <w:rPr>
          <w:b/>
          <w:bCs/>
        </w:rPr>
        <w:t>2023</w:t>
      </w:r>
      <w:r>
        <w:rPr>
          <w:rFonts w:hint="eastAsia" w:cs="仿宋"/>
        </w:rPr>
        <w:t>年</w:t>
      </w:r>
      <w:r>
        <w:rPr>
          <w:b/>
          <w:bCs/>
        </w:rPr>
        <w:t>3</w:t>
      </w:r>
      <w:r>
        <w:rPr>
          <w:rFonts w:hint="eastAsia" w:cs="仿宋"/>
        </w:rPr>
        <w:t>月底前将根据国家最新要求及我省工作实施情况进行调整并适时更新发布。</w:t>
      </w:r>
      <w:r>
        <w:rPr>
          <w:b/>
          <w:bCs/>
        </w:rPr>
        <w:t>2</w:t>
      </w:r>
      <w:r>
        <w:rPr>
          <w:rFonts w:hint="eastAsia" w:cs="仿宋"/>
        </w:rPr>
        <w:t>、本方案共设</w:t>
      </w:r>
      <w:r>
        <w:rPr>
          <w:b/>
          <w:bCs/>
        </w:rPr>
        <w:t>32</w:t>
      </w:r>
      <w:r>
        <w:rPr>
          <w:rFonts w:hint="eastAsia" w:cs="仿宋"/>
        </w:rPr>
        <w:t>个指标，其中必选指标</w:t>
      </w:r>
      <w:r>
        <w:rPr>
          <w:b/>
          <w:bCs/>
        </w:rPr>
        <w:t>27</w:t>
      </w:r>
      <w:r>
        <w:rPr>
          <w:rFonts w:hint="eastAsia" w:cs="仿宋"/>
        </w:rPr>
        <w:t>个，参考指标</w:t>
      </w:r>
      <w:r>
        <w:rPr>
          <w:b/>
          <w:bCs/>
        </w:rPr>
        <w:t>5</w:t>
      </w:r>
      <w:r>
        <w:rPr>
          <w:rFonts w:hint="eastAsia" w:cs="仿宋"/>
        </w:rPr>
        <w:t>个。参考指标用</w:t>
      </w:r>
      <w:r>
        <w:rPr>
          <w:rFonts w:ascii="Segoe UI Symbol" w:hAnsi="Segoe UI Symbol" w:cs="Segoe UI Symbol"/>
        </w:rPr>
        <w:t>?</w:t>
      </w:r>
      <w:r>
        <w:rPr>
          <w:rFonts w:hint="eastAsia" w:cs="仿宋"/>
        </w:rPr>
        <w:t>表示，其中第</w:t>
      </w:r>
      <w:r>
        <w:rPr>
          <w:b/>
          <w:bCs/>
        </w:rPr>
        <w:t>32</w:t>
      </w:r>
      <w:r>
        <w:rPr>
          <w:rFonts w:hint="eastAsia" w:cs="仿宋"/>
        </w:rPr>
        <w:t>项参考指标结果由省生态环境厅统一委托省统计局民生民意调查中心开展民意调查获取。</w:t>
      </w:r>
    </w:p>
    <w:p>
      <w:pPr>
        <w:pStyle w:val="32"/>
        <w:outlineLvl w:val="0"/>
        <w:rPr>
          <w:sz w:val="36"/>
          <w:szCs w:val="36"/>
        </w:rPr>
        <w:sectPr>
          <w:pgSz w:w="16838" w:h="11906" w:orient="landscape"/>
          <w:pgMar w:top="1800" w:right="1440" w:bottom="1800" w:left="1440" w:header="851" w:footer="992" w:gutter="0"/>
          <w:cols w:space="425" w:num="1"/>
          <w:docGrid w:type="lines" w:linePitch="381" w:charSpace="0"/>
        </w:sectPr>
      </w:pPr>
      <w:bookmarkStart w:id="0" w:name="_Toc18853038"/>
      <w:bookmarkStart w:id="1" w:name="_Toc32036"/>
      <w:bookmarkStart w:id="2" w:name="_Toc23095_WPSOffice_Level2"/>
      <w:bookmarkStart w:id="3" w:name="_Toc26915"/>
    </w:p>
    <w:p>
      <w:pPr>
        <w:pStyle w:val="32"/>
        <w:outlineLvl w:val="0"/>
        <w:rPr>
          <w:sz w:val="36"/>
          <w:szCs w:val="36"/>
        </w:rPr>
      </w:pPr>
      <w:r>
        <w:rPr>
          <w:rFonts w:hint="eastAsia" w:cs="仿宋"/>
          <w:sz w:val="36"/>
          <w:szCs w:val="36"/>
        </w:rPr>
        <w:t>附件</w:t>
      </w:r>
      <w:r>
        <w:rPr>
          <w:sz w:val="36"/>
          <w:szCs w:val="36"/>
        </w:rPr>
        <w:t>2</w:t>
      </w:r>
      <w:r>
        <w:rPr>
          <w:rFonts w:hint="eastAsia" w:cs="仿宋"/>
          <w:sz w:val="36"/>
          <w:szCs w:val="36"/>
        </w:rPr>
        <w:t>：岱山县</w:t>
      </w:r>
      <w:r>
        <w:rPr>
          <w:sz w:val="36"/>
          <w:szCs w:val="36"/>
        </w:rPr>
        <w:t>“</w:t>
      </w:r>
      <w:r>
        <w:rPr>
          <w:rFonts w:hint="eastAsia" w:cs="仿宋"/>
          <w:sz w:val="36"/>
          <w:szCs w:val="36"/>
        </w:rPr>
        <w:t>无废城市</w:t>
      </w:r>
      <w:r>
        <w:rPr>
          <w:sz w:val="36"/>
          <w:szCs w:val="36"/>
        </w:rPr>
        <w:t>”</w:t>
      </w:r>
      <w:r>
        <w:rPr>
          <w:rFonts w:hint="eastAsia" w:cs="仿宋"/>
          <w:sz w:val="36"/>
          <w:szCs w:val="36"/>
        </w:rPr>
        <w:t>建设工作任务清单</w:t>
      </w:r>
      <w:bookmarkEnd w:id="0"/>
      <w:bookmarkEnd w:id="1"/>
      <w:bookmarkEnd w:id="2"/>
      <w:bookmarkEnd w:id="3"/>
    </w:p>
    <w:p>
      <w:pPr>
        <w:keepNext/>
        <w:keepLines/>
        <w:spacing w:before="260" w:after="260" w:line="416" w:lineRule="auto"/>
        <w:outlineLvl w:val="1"/>
        <w:rPr>
          <w:b/>
          <w:bCs/>
          <w:sz w:val="32"/>
          <w:szCs w:val="32"/>
        </w:rPr>
      </w:pPr>
      <w:bookmarkStart w:id="4" w:name="_Toc43308210"/>
      <w:bookmarkStart w:id="5" w:name="_Toc43136620"/>
      <w:bookmarkStart w:id="6" w:name="_Toc43909906"/>
      <w:r>
        <w:rPr>
          <w:rFonts w:hint="eastAsia" w:cs="仿宋"/>
          <w:b/>
          <w:bCs/>
          <w:sz w:val="32"/>
          <w:szCs w:val="32"/>
        </w:rPr>
        <w:t>一、工业固废任务和进度安排</w:t>
      </w:r>
      <w:bookmarkEnd w:id="4"/>
      <w:bookmarkEnd w:id="5"/>
      <w:bookmarkEnd w:id="6"/>
    </w:p>
    <w:tbl>
      <w:tblPr>
        <w:tblStyle w:val="15"/>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951"/>
        <w:gridCol w:w="6908"/>
        <w:gridCol w:w="1701"/>
        <w:gridCol w:w="198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63"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序号</w:t>
            </w:r>
          </w:p>
        </w:tc>
        <w:tc>
          <w:tcPr>
            <w:tcW w:w="1951"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主要任务</w:t>
            </w:r>
          </w:p>
        </w:tc>
        <w:tc>
          <w:tcPr>
            <w:tcW w:w="6908"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主要内容</w:t>
            </w:r>
          </w:p>
        </w:tc>
        <w:tc>
          <w:tcPr>
            <w:tcW w:w="1701"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责任单位</w:t>
            </w:r>
          </w:p>
        </w:tc>
        <w:tc>
          <w:tcPr>
            <w:tcW w:w="1985"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配合单位</w:t>
            </w:r>
          </w:p>
        </w:tc>
        <w:tc>
          <w:tcPr>
            <w:tcW w:w="1166"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着力构建绿色制造工程体系</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根据省、市要求启动绿色园区、绿色工厂创建，加大绿色先进技术的产业化应用，完善绿色制造工作体系，培育一批绿色工厂和绿色园区，实现工业固废源头减量。</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全面推行绿色修船企业创建</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进一步全面推行绿色修船，促进岱山支柱型产业船舶工业的高质量发展，减少废物产生，提高资源利用率。</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持续开展工业园区循环化改造</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持续推进岱山经济开发区的循环化改造工作，鼓励工业固体废物产生量大的企业在厂内开展综合利用处置。</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市生态环境局岱山分局、岱山经济开发区管委会</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积极开展生态工业园区建设工作</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积极开展循环型生态工业园区建设，加快推进工业园区的生态化改造。根据相关部署，到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年，岱山经济开发区计划开展生态工业园区建设。</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市生态环境局岱山分局、县经信局、岱山经济开发区管委会</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落实重点行业和园区的产废企业准入制度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对工业固体废物及危险废物处置设施或集中处置能力严重不足的区域，控制产生工业固体废物及危险废物的建设项目建设。对建设项目危险废物处置方案不符合环保要求或者缺乏可行性的，不得批准其环评文件。新建项目要严格执行《建设项目危险废物环境影响评价指南》及《危险废物处置工程技术导则》开展环境影响评价，对产废量较大、技术落后的企业加快其提升改造或者关停退出，加快淘汰落后产能，减少固体废物源头产生量。</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市生态环境局岱山分局、县经信局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6</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加快推进清洁生产审核工作</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加快推进全县企业清洁生产审核，实施清洁生产技术改造，推动固废源头减量。未来几年，实施清洁生产的工业企业总数年度增长率不低于</w:t>
            </w:r>
            <w:r>
              <w:rPr>
                <w:rFonts w:ascii="Times New Roman" w:hAnsi="Times New Roman" w:eastAsia="仿宋" w:cs="Times New Roman"/>
                <w:sz w:val="22"/>
                <w:szCs w:val="22"/>
              </w:rPr>
              <w:t>5%</w:t>
            </w:r>
            <w:r>
              <w:rPr>
                <w:rFonts w:hint="eastAsia" w:ascii="Times New Roman" w:hAnsi="Times New Roman" w:eastAsia="仿宋" w:cs="仿宋"/>
                <w:sz w:val="22"/>
                <w:szCs w:val="22"/>
              </w:rPr>
              <w:t>，直到所有工业企业均完成清洁生产。</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7</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开发应用工业固废减量化工艺技术</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大力推进治理技术创新，重点突破废水、废气污染防治过程中的固体废物减量化问题。支持企业与科研机构组建创新联合体，加强关键共性技术攻关和成果转化应用。到</w:t>
            </w:r>
            <w:r>
              <w:rPr>
                <w:rFonts w:ascii="Times New Roman" w:hAnsi="Times New Roman" w:eastAsia="仿宋" w:cs="Times New Roman"/>
                <w:sz w:val="22"/>
                <w:szCs w:val="22"/>
              </w:rPr>
              <w:t>2021</w:t>
            </w:r>
            <w:r>
              <w:rPr>
                <w:rFonts w:hint="eastAsia" w:ascii="Times New Roman" w:hAnsi="Times New Roman" w:eastAsia="仿宋" w:cs="仿宋"/>
                <w:sz w:val="22"/>
                <w:szCs w:val="22"/>
              </w:rPr>
              <w:t>年，进一步提升工业企业废水预处理能力，提高废水回用比例；强化废水分质分流处理，引入污泥源头减量的生化治理工艺技术，从源头减少污泥产生。</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县发改局、市生态环境局岱山分局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落实的一般工业固废分类管理制度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舟山市一般工业固体废物源头管理和分类制度，严禁一般工业固体废物直接纳入生活垃圾收运体系，督促企业做好一般工业固体废物产生种类、属性、数量、去向信息填报，规范与生活垃圾性状相近的工业垃圾进入生活垃圾处置单位协同处置的准入口。</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9</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落实舟山市危险废物规范化管理制度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通过专项调查、日常监督执法、规范化考核等方式，将危险废物分类贮存的规范化管理纳入环境保护考核指标体系中，综合运用通报批评、挂牌督办、约谈政府负责人等措施，督促地方政府与相关部门落实监管责任，全面提升危险废物规范化管理水平。</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10</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加强工业固废贮存场所的规范化建设</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严格落实工业固体废物产生者的主体责任，细化</w:t>
            </w:r>
            <w:r>
              <w:rPr>
                <w:rFonts w:ascii="Times New Roman" w:hAnsi="Times New Roman" w:eastAsia="仿宋" w:cs="Times New Roman"/>
                <w:sz w:val="22"/>
                <w:szCs w:val="22"/>
              </w:rPr>
              <w:t>“</w:t>
            </w:r>
            <w:r>
              <w:rPr>
                <w:rFonts w:hint="eastAsia" w:ascii="Times New Roman" w:hAnsi="Times New Roman" w:eastAsia="仿宋" w:cs="仿宋"/>
                <w:sz w:val="22"/>
                <w:szCs w:val="22"/>
              </w:rPr>
              <w:t>一厂一策</w:t>
            </w:r>
            <w:r>
              <w:rPr>
                <w:rFonts w:ascii="Times New Roman" w:hAnsi="Times New Roman" w:eastAsia="仿宋" w:cs="Times New Roman"/>
                <w:sz w:val="22"/>
                <w:szCs w:val="22"/>
              </w:rPr>
              <w:t>”</w:t>
            </w:r>
            <w:r>
              <w:rPr>
                <w:rFonts w:hint="eastAsia" w:ascii="Times New Roman" w:hAnsi="Times New Roman" w:eastAsia="仿宋" w:cs="仿宋"/>
                <w:sz w:val="22"/>
                <w:szCs w:val="22"/>
              </w:rPr>
              <w:t>分类处置方案，开展专项排查，督促企业建设符合标准的工业固体废物贮存场所、做好台账记录和年度工业固体废物申报登记等管理要求。</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11</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健全一般工业固体废物收运体系</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完善一般工业固废收运体系，建立健全</w:t>
            </w:r>
            <w:r>
              <w:rPr>
                <w:rFonts w:ascii="Times New Roman" w:hAnsi="Times New Roman" w:eastAsia="仿宋" w:cs="Times New Roman"/>
                <w:sz w:val="22"/>
                <w:szCs w:val="22"/>
              </w:rPr>
              <w:t>“</w:t>
            </w:r>
            <w:r>
              <w:rPr>
                <w:rFonts w:hint="eastAsia" w:ascii="Times New Roman" w:hAnsi="Times New Roman" w:eastAsia="仿宋" w:cs="仿宋"/>
                <w:sz w:val="22"/>
                <w:szCs w:val="22"/>
              </w:rPr>
              <w:t>精准化源头分类、专业化二次分拣、智能化高效清运、最大化资源利用、集中化统一处置</w:t>
            </w:r>
            <w:r>
              <w:rPr>
                <w:rFonts w:ascii="Times New Roman" w:hAnsi="Times New Roman" w:eastAsia="仿宋" w:cs="Times New Roman"/>
                <w:sz w:val="22"/>
                <w:szCs w:val="22"/>
              </w:rPr>
              <w:t>”</w:t>
            </w:r>
            <w:r>
              <w:rPr>
                <w:rFonts w:hint="eastAsia" w:ascii="Times New Roman" w:hAnsi="Times New Roman" w:eastAsia="仿宋" w:cs="仿宋"/>
                <w:sz w:val="22"/>
                <w:szCs w:val="22"/>
              </w:rPr>
              <w:t>的一般工业固体废物统一收运工作模式。落实舟山市一般工业固体废物收贮运一体化建设方案，</w:t>
            </w:r>
            <w:r>
              <w:rPr>
                <w:rFonts w:ascii="Times New Roman" w:hAnsi="Times New Roman" w:eastAsia="仿宋" w:cs="Times New Roman"/>
                <w:sz w:val="22"/>
                <w:szCs w:val="22"/>
              </w:rPr>
              <w:t>2020</w:t>
            </w:r>
            <w:r>
              <w:rPr>
                <w:rFonts w:hint="eastAsia" w:ascii="Times New Roman" w:hAnsi="Times New Roman" w:eastAsia="仿宋" w:cs="仿宋"/>
                <w:sz w:val="22"/>
                <w:szCs w:val="22"/>
              </w:rPr>
              <w:t>年年底前部署启动一般工业固体废物收储运一体化项目建设工作，力争到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年全面建成。</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12</w:t>
            </w:r>
          </w:p>
        </w:tc>
        <w:tc>
          <w:tcPr>
            <w:tcW w:w="1951" w:type="dxa"/>
            <w:vMerge w:val="restart"/>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落实小微企业危废及实验室废物集中收集处置制度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指导小微产废企业及开展申报登记、管理计划备案、转移联单、信息系统填报等相关管理工作，着力解决小微产废企业危险废物收集转运不及时、处置出路不通畅的问题，到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年，建立覆盖全县小微企业危险废物集中统一收运体系。</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13</w:t>
            </w:r>
          </w:p>
        </w:tc>
        <w:tc>
          <w:tcPr>
            <w:tcW w:w="1951" w:type="dxa"/>
            <w:vMerge w:val="continue"/>
            <w:vAlign w:val="center"/>
          </w:tcPr>
          <w:p>
            <w:pPr>
              <w:pStyle w:val="35"/>
              <w:rPr>
                <w:rFonts w:ascii="Times New Roman" w:hAnsi="Times New Roman" w:eastAsia="仿宋" w:cs="Times New Roman"/>
                <w:sz w:val="22"/>
                <w:szCs w:val="22"/>
              </w:rPr>
            </w:pP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建立覆盖辖区内教育、科研、医疗卫生、检测机构等实验室废弃物统一收运体系。到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年，实现实验室废物统一收运</w:t>
            </w:r>
            <w:r>
              <w:rPr>
                <w:rFonts w:ascii="Times New Roman" w:hAnsi="Times New Roman" w:eastAsia="仿宋" w:cs="Times New Roman"/>
                <w:sz w:val="22"/>
                <w:szCs w:val="22"/>
              </w:rPr>
              <w:t>100%</w:t>
            </w:r>
            <w:r>
              <w:rPr>
                <w:rFonts w:hint="eastAsia" w:ascii="Times New Roman" w:hAnsi="Times New Roman" w:eastAsia="仿宋" w:cs="仿宋"/>
                <w:sz w:val="22"/>
                <w:szCs w:val="22"/>
              </w:rPr>
              <w:t>覆盖。</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县教育局、县经信局、市生态环境局岱山分局、县卫生健康局、县市场监管局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14</w:t>
            </w:r>
          </w:p>
        </w:tc>
        <w:tc>
          <w:tcPr>
            <w:tcW w:w="1951" w:type="dxa"/>
            <w:vMerge w:val="restart"/>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落实固体废物运输管理办法</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落实危险废物转运联合监管机制，进一步加强危废运输车辆和从业人员的管理，严格执行危险废物转移交接记录制度，实现危险废物运输转移联单和电子运单互联率</w:t>
            </w:r>
            <w:r>
              <w:rPr>
                <w:rFonts w:ascii="Times New Roman" w:hAnsi="Times New Roman" w:eastAsia="仿宋" w:cs="Times New Roman"/>
                <w:sz w:val="22"/>
                <w:szCs w:val="22"/>
              </w:rPr>
              <w:t>100%</w:t>
            </w:r>
            <w:r>
              <w:rPr>
                <w:rFonts w:hint="eastAsia" w:ascii="Times New Roman" w:hAnsi="Times New Roman" w:eastAsia="仿宋" w:cs="仿宋"/>
                <w:sz w:val="22"/>
                <w:szCs w:val="22"/>
              </w:rPr>
              <w:t>。对特定危险废物，鼓励通过探索危险废物运输管理新模式，允许在城市建成区采用满足防杨散、防遗撒、防渗漏要求的运输方式。</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县交通运输局（港航分局）、县公安局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15</w:t>
            </w:r>
          </w:p>
        </w:tc>
        <w:tc>
          <w:tcPr>
            <w:tcW w:w="1951" w:type="dxa"/>
            <w:vMerge w:val="continue"/>
            <w:vAlign w:val="center"/>
          </w:tcPr>
          <w:p>
            <w:pPr>
              <w:pStyle w:val="35"/>
              <w:rPr>
                <w:rFonts w:ascii="Times New Roman" w:hAnsi="Times New Roman" w:eastAsia="仿宋" w:cs="Times New Roman"/>
                <w:sz w:val="22"/>
                <w:szCs w:val="22"/>
              </w:rPr>
            </w:pP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生态环境主管部门同交通运输主管部门、港口主管部门、海事管理机构落实危险废物管理名录与危险货物运输品名的对接管理，协同推进危险废物运输管理工作。</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县交通运输局（港航分局）、岱山海事处</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16</w:t>
            </w:r>
          </w:p>
        </w:tc>
        <w:tc>
          <w:tcPr>
            <w:tcW w:w="1951" w:type="dxa"/>
            <w:vMerge w:val="continue"/>
            <w:vAlign w:val="center"/>
          </w:tcPr>
          <w:p>
            <w:pPr>
              <w:pStyle w:val="35"/>
              <w:rPr>
                <w:rFonts w:ascii="Times New Roman" w:hAnsi="Times New Roman" w:eastAsia="仿宋" w:cs="Times New Roman"/>
                <w:sz w:val="22"/>
                <w:szCs w:val="22"/>
              </w:rPr>
            </w:pP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对危险废物转运处置的疏堵结合。保障省市内危险废物合法转移，原则上废油漆桶、废矿物油和含矿物油类废物等省市内处置能力富余量较大的不出省，填埋类的以及经利用处置后新产生须填埋的危险废物不入县。</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18</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落实一般工业固废综合利用适用技术目录</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重点深入推进船舶修造等行业产生的废钢、废砂等工业固废综合利用及处理技术产业化推广，提高工业固废综合利用技术水平，推进工业固体废物综合利用产业发展。</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19</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加快补齐工业固废处置能力缺口</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推进岱山经济开发区污水处理厂工业污泥堆肥项目建设，提升污泥处置能力。</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岱山经济技术开发区管委会</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加强固废物流及资金流的管理</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严控产废单位将处置费用直接交付运输单位或个人并委托其全权处置固体废物的行为。鼓励委托第三方机构对重点企业固体废物物流、资金流情况开展审计。</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21</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落实固体废物违法有奖举报制度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积极落实固体废物违法有奖举报制度，对于查实存在非法倾倒工业固体废物或医疗废物、非法转移处置危险废物、其他涉及工业固体废物或者医疗废物的环境违法行为，对违法企业做出行政处罚决定后，给予举报人</w:t>
            </w:r>
            <w:r>
              <w:rPr>
                <w:rFonts w:ascii="Times New Roman" w:hAnsi="Times New Roman" w:eastAsia="仿宋" w:cs="Times New Roman"/>
                <w:sz w:val="22"/>
                <w:szCs w:val="22"/>
              </w:rPr>
              <w:t>5000</w:t>
            </w:r>
            <w:r>
              <w:rPr>
                <w:rFonts w:hint="eastAsia" w:ascii="Times New Roman" w:hAnsi="Times New Roman" w:eastAsia="仿宋" w:cs="仿宋"/>
                <w:sz w:val="22"/>
                <w:szCs w:val="22"/>
              </w:rPr>
              <w:t>元以上</w:t>
            </w:r>
            <w:r>
              <w:rPr>
                <w:rFonts w:ascii="Times New Roman" w:hAnsi="Times New Roman" w:eastAsia="仿宋" w:cs="Times New Roman"/>
                <w:sz w:val="22"/>
                <w:szCs w:val="22"/>
              </w:rPr>
              <w:t>50000</w:t>
            </w:r>
            <w:r>
              <w:rPr>
                <w:rFonts w:hint="eastAsia" w:ascii="Times New Roman" w:hAnsi="Times New Roman" w:eastAsia="仿宋" w:cs="仿宋"/>
                <w:sz w:val="22"/>
                <w:szCs w:val="22"/>
              </w:rPr>
              <w:t>元以下的奖励，提高执法效率。</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22</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完善环境保护税收征管协作机制</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完善环境保护税收征管协作机制，对直接向环境排放固体废物的违法行为，依法查处并征收环境保护税。</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县税务局、市生态环境局岱山分局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县公安局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23</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落实环境违法黑名单和产业禁入制度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研究实施环境违法黑名单和产业禁入制度，形成环境执法高压震慑态势，对违法企业依据税收规定不给予相关税收减免优惠。</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市生态环境局岱山分局、县税务局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24</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推进非法固废倾倒点立体识别技术应用</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利用遥感高分辨信息技术、无人机、物联网等进行非法固废倾倒点识别。</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25</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全面组织应用省级信息系统</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提升管理信息化水平，全面实现工业固体废物管理台账、转移联单电子化。充分利用第二次全国污染源普查数据为基准底数，全面梳理岱山县工业固废产生单位名单并组织产废企业开展浙江省固体废物管理信息系统申报，切实提升企业入网率和应用率。</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26</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加强转运环节信息化监管能力建设</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推广信息监控、数据扫描、车载卫星定位系统和电子锁等手段，推动固体废物转运信息化监管能力建设。</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27</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落实危废产生情况核查制度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要求岱山县内危废产生量较大、实际情况和环评出入较大的企业委托有资质的第三方开展危险废物核查工作，摸清底数、提升管理、完善制度和设施。</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28</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探索建立可利用危险废物产品工艺管理和质量管理制度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根据市级统一部署，积极开展园区内危险废物</w:t>
            </w:r>
            <w:r>
              <w:rPr>
                <w:rFonts w:ascii="Times New Roman" w:hAnsi="Times New Roman" w:eastAsia="仿宋" w:cs="Times New Roman"/>
                <w:sz w:val="22"/>
                <w:szCs w:val="22"/>
              </w:rPr>
              <w:t>“</w:t>
            </w:r>
            <w:r>
              <w:rPr>
                <w:rFonts w:hint="eastAsia" w:ascii="Times New Roman" w:hAnsi="Times New Roman" w:eastAsia="仿宋" w:cs="仿宋"/>
                <w:sz w:val="22"/>
                <w:szCs w:val="22"/>
              </w:rPr>
              <w:t>点对点</w:t>
            </w:r>
            <w:r>
              <w:rPr>
                <w:rFonts w:ascii="Times New Roman" w:hAnsi="Times New Roman" w:eastAsia="仿宋" w:cs="Times New Roman"/>
                <w:sz w:val="22"/>
                <w:szCs w:val="22"/>
              </w:rPr>
              <w:t>”</w:t>
            </w:r>
            <w:r>
              <w:rPr>
                <w:rFonts w:hint="eastAsia" w:ascii="Times New Roman" w:hAnsi="Times New Roman" w:eastAsia="仿宋" w:cs="仿宋"/>
                <w:sz w:val="22"/>
                <w:szCs w:val="22"/>
              </w:rPr>
              <w:t>利用及建设预处理点工作试点，探索建立可利用危险废物产品工艺管理和质量管理制度，加强对废矿物油、废渣等资源利用产品的质量标准、环境标准、适用范围的管理。</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市生态环境局岱山分局、县市场监管局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29</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落实固体废物处置生态补偿机制</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落实实施生态补偿机制，努力化解</w:t>
            </w:r>
            <w:r>
              <w:rPr>
                <w:rFonts w:ascii="Times New Roman" w:hAnsi="Times New Roman" w:eastAsia="仿宋" w:cs="Times New Roman"/>
                <w:sz w:val="22"/>
                <w:szCs w:val="22"/>
              </w:rPr>
              <w:t>“</w:t>
            </w:r>
            <w:r>
              <w:rPr>
                <w:rFonts w:hint="eastAsia" w:ascii="Times New Roman" w:hAnsi="Times New Roman" w:eastAsia="仿宋" w:cs="仿宋"/>
                <w:sz w:val="22"/>
                <w:szCs w:val="22"/>
              </w:rPr>
              <w:t>邻避效应</w:t>
            </w:r>
            <w:r>
              <w:rPr>
                <w:rFonts w:ascii="Times New Roman" w:hAnsi="Times New Roman" w:eastAsia="仿宋" w:cs="Times New Roman"/>
                <w:sz w:val="22"/>
                <w:szCs w:val="22"/>
              </w:rPr>
              <w:t>”</w:t>
            </w:r>
            <w:r>
              <w:rPr>
                <w:rFonts w:hint="eastAsia" w:ascii="Times New Roman" w:hAnsi="Times New Roman" w:eastAsia="仿宋" w:cs="仿宋"/>
                <w:sz w:val="22"/>
                <w:szCs w:val="22"/>
              </w:rPr>
              <w:t>。</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30</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完善危险废物处置收费机制</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在确保危险废物收集、运输、贮存、处置全流程监控，违法违规行为可追溯的前提下，在执行舟山市确定的危险废物处置收费价格基础上，通过调控供求关系，引导产废单位和利用处置单位合理协商确定收费标准。</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31</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完善企业环境信用评价制度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坚持污染物</w:t>
            </w:r>
            <w:r>
              <w:rPr>
                <w:rFonts w:ascii="Times New Roman" w:hAnsi="Times New Roman" w:eastAsia="仿宋" w:cs="Times New Roman"/>
                <w:sz w:val="22"/>
                <w:szCs w:val="22"/>
              </w:rPr>
              <w:t>“</w:t>
            </w:r>
            <w:r>
              <w:rPr>
                <w:rFonts w:hint="eastAsia" w:ascii="Times New Roman" w:hAnsi="Times New Roman" w:eastAsia="仿宋" w:cs="仿宋"/>
                <w:sz w:val="22"/>
                <w:szCs w:val="22"/>
              </w:rPr>
              <w:t>谁产生、谁负责</w:t>
            </w:r>
            <w:r>
              <w:rPr>
                <w:rFonts w:ascii="Times New Roman" w:hAnsi="Times New Roman" w:eastAsia="仿宋" w:cs="Times New Roman"/>
                <w:sz w:val="22"/>
                <w:szCs w:val="22"/>
              </w:rPr>
              <w:t>”</w:t>
            </w:r>
            <w:r>
              <w:rPr>
                <w:rFonts w:hint="eastAsia" w:ascii="Times New Roman" w:hAnsi="Times New Roman" w:eastAsia="仿宋" w:cs="仿宋"/>
                <w:sz w:val="22"/>
                <w:szCs w:val="22"/>
              </w:rPr>
              <w:t>、</w:t>
            </w:r>
            <w:r>
              <w:rPr>
                <w:rFonts w:ascii="Times New Roman" w:hAnsi="Times New Roman" w:eastAsia="仿宋" w:cs="Times New Roman"/>
                <w:sz w:val="22"/>
                <w:szCs w:val="22"/>
              </w:rPr>
              <w:t>“</w:t>
            </w:r>
            <w:r>
              <w:rPr>
                <w:rFonts w:hint="eastAsia" w:ascii="Times New Roman" w:hAnsi="Times New Roman" w:eastAsia="仿宋" w:cs="仿宋"/>
                <w:sz w:val="22"/>
                <w:szCs w:val="22"/>
              </w:rPr>
              <w:t>谁产生、谁治理</w:t>
            </w:r>
            <w:r>
              <w:rPr>
                <w:rFonts w:ascii="Times New Roman" w:hAnsi="Times New Roman" w:eastAsia="仿宋" w:cs="Times New Roman"/>
                <w:sz w:val="22"/>
                <w:szCs w:val="22"/>
              </w:rPr>
              <w:t>”</w:t>
            </w:r>
            <w:r>
              <w:rPr>
                <w:rFonts w:hint="eastAsia" w:ascii="Times New Roman" w:hAnsi="Times New Roman" w:eastAsia="仿宋" w:cs="仿宋"/>
                <w:sz w:val="22"/>
                <w:szCs w:val="22"/>
              </w:rPr>
              <w:t>的原则，针对信息平台上记录的企业固废信息，进行固废信用分评分，建立信用先行、监管有据的信用评分制度，实现风险可预警、过程可跟踪、事件可追溯、数据可统计、信用可评价、责任可认定。</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县经信局、县发改局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32</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落实工业危险废物</w:t>
            </w:r>
            <w:r>
              <w:rPr>
                <w:rFonts w:ascii="Times New Roman" w:hAnsi="Times New Roman" w:eastAsia="仿宋" w:cs="Times New Roman"/>
                <w:sz w:val="22"/>
                <w:szCs w:val="22"/>
              </w:rPr>
              <w:t>“</w:t>
            </w:r>
            <w:r>
              <w:rPr>
                <w:rFonts w:hint="eastAsia" w:ascii="Times New Roman" w:hAnsi="Times New Roman" w:eastAsia="仿宋" w:cs="仿宋"/>
                <w:sz w:val="22"/>
                <w:szCs w:val="22"/>
              </w:rPr>
              <w:t>动态清零</w:t>
            </w:r>
            <w:r>
              <w:rPr>
                <w:rFonts w:ascii="Times New Roman" w:hAnsi="Times New Roman" w:eastAsia="仿宋" w:cs="Times New Roman"/>
                <w:sz w:val="22"/>
                <w:szCs w:val="22"/>
              </w:rPr>
              <w:t>”</w:t>
            </w:r>
            <w:r>
              <w:rPr>
                <w:rFonts w:hint="eastAsia" w:ascii="Times New Roman" w:hAnsi="Times New Roman" w:eastAsia="仿宋" w:cs="仿宋"/>
                <w:sz w:val="22"/>
                <w:szCs w:val="22"/>
              </w:rPr>
              <w:t>工作</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落实工业危险废物产生者对</w:t>
            </w:r>
            <w:r>
              <w:rPr>
                <w:rFonts w:ascii="Times New Roman" w:hAnsi="Times New Roman" w:eastAsia="仿宋" w:cs="Times New Roman"/>
                <w:sz w:val="22"/>
                <w:szCs w:val="22"/>
              </w:rPr>
              <w:t>“</w:t>
            </w:r>
            <w:r>
              <w:rPr>
                <w:rFonts w:hint="eastAsia" w:ascii="Times New Roman" w:hAnsi="Times New Roman" w:eastAsia="仿宋" w:cs="仿宋"/>
                <w:sz w:val="22"/>
                <w:szCs w:val="22"/>
              </w:rPr>
              <w:t>动态清零</w:t>
            </w:r>
            <w:r>
              <w:rPr>
                <w:rFonts w:ascii="Times New Roman" w:hAnsi="Times New Roman" w:eastAsia="仿宋" w:cs="Times New Roman"/>
                <w:sz w:val="22"/>
                <w:szCs w:val="22"/>
              </w:rPr>
              <w:t>”</w:t>
            </w:r>
            <w:r>
              <w:rPr>
                <w:rFonts w:hint="eastAsia" w:ascii="Times New Roman" w:hAnsi="Times New Roman" w:eastAsia="仿宋" w:cs="仿宋"/>
                <w:sz w:val="22"/>
                <w:szCs w:val="22"/>
              </w:rPr>
              <w:t>工作的主体责任，并在年度危险废物规范化管理督查考核工作中对清零工作实施情况进行检查，在动态化清零的同时做到规范化清零，切实消除环境风险隐患，提高危险废物安全处置率。</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33</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培育环保产业发展</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鼓励专业化第三方机构从事固体废物资源化利用、环境污染治理与咨询服务，打造一批本地固体废物资源化利用骨干企业。</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县发改局、县经信局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34</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落实舟山市固体废物回收利用处置骨干企业评价标准</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根据舟山市固体废物回收利用处置骨干企业评价标准，按照相关标准展开骨干企业评选工作，到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年，完成</w:t>
            </w:r>
            <w:r>
              <w:rPr>
                <w:rFonts w:ascii="Times New Roman" w:hAnsi="Times New Roman" w:eastAsia="仿宋" w:cs="Times New Roman"/>
                <w:sz w:val="22"/>
                <w:szCs w:val="22"/>
              </w:rPr>
              <w:t>2</w:t>
            </w:r>
            <w:r>
              <w:rPr>
                <w:rFonts w:hint="eastAsia" w:ascii="Times New Roman" w:hAnsi="Times New Roman" w:eastAsia="仿宋" w:cs="仿宋"/>
                <w:sz w:val="22"/>
                <w:szCs w:val="22"/>
              </w:rPr>
              <w:t>个固废回收利用处置骨干企业的培育。</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市生态环境局岱山分局、县综合行政执法局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35</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落实工业固废资源化产品增值税收优惠政策及政府公共工程优先采购制度</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落实综合利用产品增值税优惠政策，落实政府公共工程优先采购综合利用产品的目录及标准，以推动一般工业固废的资源化利用。</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县税务局、县财政局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36</w:t>
            </w:r>
          </w:p>
        </w:tc>
        <w:tc>
          <w:tcPr>
            <w:tcW w:w="195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落实工业固体废物回收利用处置企业税收优惠政策和补贴政策</w:t>
            </w:r>
          </w:p>
        </w:tc>
        <w:tc>
          <w:tcPr>
            <w:tcW w:w="690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落实工业固体废物回收利用处置企业税收优惠政策和补贴政策，支持企业做大做强</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县税务局、县财政局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bl>
    <w:p>
      <w:pPr>
        <w:jc w:val="center"/>
        <w:rPr>
          <w:sz w:val="22"/>
          <w:szCs w:val="22"/>
        </w:rPr>
        <w:sectPr>
          <w:pgSz w:w="16838" w:h="11906" w:orient="landscape"/>
          <w:pgMar w:top="1800" w:right="1440" w:bottom="1800" w:left="1440" w:header="851" w:footer="992" w:gutter="0"/>
          <w:cols w:space="425" w:num="1"/>
          <w:docGrid w:type="lines" w:linePitch="381" w:charSpace="0"/>
        </w:sectPr>
      </w:pPr>
    </w:p>
    <w:p>
      <w:pPr>
        <w:keepNext/>
        <w:keepLines/>
        <w:spacing w:before="260" w:after="260" w:line="416" w:lineRule="auto"/>
        <w:outlineLvl w:val="1"/>
        <w:rPr>
          <w:b/>
          <w:bCs/>
          <w:sz w:val="32"/>
          <w:szCs w:val="32"/>
        </w:rPr>
      </w:pPr>
      <w:bookmarkStart w:id="7" w:name="_Toc43308211"/>
      <w:bookmarkStart w:id="8" w:name="_Toc43136621"/>
      <w:bookmarkStart w:id="9" w:name="_Toc43909907"/>
      <w:bookmarkStart w:id="10" w:name="_Toc43308214"/>
      <w:bookmarkStart w:id="11" w:name="_Toc43136624"/>
      <w:r>
        <w:rPr>
          <w:rFonts w:hint="eastAsia" w:cs="仿宋"/>
          <w:b/>
          <w:bCs/>
          <w:sz w:val="32"/>
          <w:szCs w:val="32"/>
        </w:rPr>
        <w:t>二、生活垃圾任务和进度安排</w:t>
      </w:r>
      <w:bookmarkEnd w:id="7"/>
      <w:bookmarkEnd w:id="8"/>
      <w:bookmarkEnd w:id="9"/>
    </w:p>
    <w:tbl>
      <w:tblPr>
        <w:tblStyle w:val="15"/>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867"/>
        <w:gridCol w:w="6946"/>
        <w:gridCol w:w="1701"/>
        <w:gridCol w:w="198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09"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序号</w:t>
            </w:r>
          </w:p>
        </w:tc>
        <w:tc>
          <w:tcPr>
            <w:tcW w:w="1867"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主要任务</w:t>
            </w:r>
          </w:p>
        </w:tc>
        <w:tc>
          <w:tcPr>
            <w:tcW w:w="6946"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主要内容</w:t>
            </w:r>
          </w:p>
        </w:tc>
        <w:tc>
          <w:tcPr>
            <w:tcW w:w="1701"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责任单位</w:t>
            </w:r>
          </w:p>
        </w:tc>
        <w:tc>
          <w:tcPr>
            <w:tcW w:w="1985"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配合单位</w:t>
            </w:r>
          </w:p>
        </w:tc>
        <w:tc>
          <w:tcPr>
            <w:tcW w:w="1166"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全面实施生活垃圾强制分类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到</w:t>
            </w:r>
            <w:r>
              <w:rPr>
                <w:rFonts w:ascii="Times New Roman" w:hAnsi="Times New Roman" w:eastAsia="仿宋" w:cs="Times New Roman"/>
                <w:sz w:val="22"/>
                <w:szCs w:val="22"/>
              </w:rPr>
              <w:t>2020</w:t>
            </w:r>
            <w:r>
              <w:rPr>
                <w:rFonts w:hint="eastAsia" w:ascii="Times New Roman" w:hAnsi="Times New Roman" w:eastAsia="仿宋" w:cs="仿宋"/>
                <w:sz w:val="22"/>
                <w:szCs w:val="22"/>
              </w:rPr>
              <w:t>年底，全县城镇建成高标准分类示范小区</w:t>
            </w:r>
            <w:r>
              <w:rPr>
                <w:rFonts w:ascii="Times New Roman" w:hAnsi="Times New Roman" w:eastAsia="仿宋" w:cs="Times New Roman"/>
                <w:sz w:val="22"/>
                <w:szCs w:val="22"/>
              </w:rPr>
              <w:t>7</w:t>
            </w:r>
            <w:r>
              <w:rPr>
                <w:rFonts w:hint="eastAsia" w:ascii="Times New Roman" w:hAnsi="Times New Roman" w:eastAsia="仿宋" w:cs="仿宋"/>
                <w:sz w:val="22"/>
                <w:szCs w:val="22"/>
              </w:rPr>
              <w:t>个；到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年底，高标准分类示范小区累计达到</w:t>
            </w:r>
            <w:r>
              <w:rPr>
                <w:rFonts w:ascii="Times New Roman" w:hAnsi="Times New Roman" w:eastAsia="仿宋" w:cs="Times New Roman"/>
                <w:sz w:val="22"/>
                <w:szCs w:val="22"/>
              </w:rPr>
              <w:t>13</w:t>
            </w:r>
            <w:r>
              <w:rPr>
                <w:rFonts w:hint="eastAsia" w:ascii="Times New Roman" w:hAnsi="Times New Roman" w:eastAsia="仿宋" w:cs="仿宋"/>
                <w:sz w:val="22"/>
                <w:szCs w:val="22"/>
              </w:rPr>
              <w:t>个以上。</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提高垃圾分类覆盖面</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全县城乡生活垃圾分类基本实现全覆盖。</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各乡镇政府</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严格落实</w:t>
            </w:r>
            <w:r>
              <w:rPr>
                <w:rFonts w:ascii="Times New Roman" w:hAnsi="Times New Roman" w:eastAsia="仿宋" w:cs="Times New Roman"/>
                <w:sz w:val="22"/>
                <w:szCs w:val="22"/>
              </w:rPr>
              <w:t>“</w:t>
            </w:r>
            <w:r>
              <w:rPr>
                <w:rFonts w:hint="eastAsia" w:ascii="Times New Roman" w:hAnsi="Times New Roman" w:eastAsia="仿宋" w:cs="仿宋"/>
                <w:sz w:val="22"/>
                <w:szCs w:val="22"/>
              </w:rPr>
              <w:t>限塑令</w:t>
            </w:r>
            <w:r>
              <w:rPr>
                <w:rFonts w:ascii="Times New Roman" w:hAnsi="Times New Roman" w:eastAsia="仿宋" w:cs="Times New Roman"/>
                <w:sz w:val="22"/>
                <w:szCs w:val="22"/>
              </w:rPr>
              <w:t>”</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全面深化</w:t>
            </w:r>
            <w:r>
              <w:rPr>
                <w:rFonts w:ascii="Times New Roman" w:hAnsi="Times New Roman" w:eastAsia="仿宋" w:cs="Times New Roman"/>
                <w:sz w:val="22"/>
                <w:szCs w:val="22"/>
              </w:rPr>
              <w:t>“</w:t>
            </w:r>
            <w:r>
              <w:rPr>
                <w:rFonts w:hint="eastAsia" w:ascii="Times New Roman" w:hAnsi="Times New Roman" w:eastAsia="仿宋" w:cs="仿宋"/>
                <w:sz w:val="22"/>
                <w:szCs w:val="22"/>
              </w:rPr>
              <w:t>限塑令</w:t>
            </w:r>
            <w:r>
              <w:rPr>
                <w:rFonts w:ascii="Times New Roman" w:hAnsi="Times New Roman" w:eastAsia="仿宋" w:cs="Times New Roman"/>
                <w:sz w:val="22"/>
                <w:szCs w:val="22"/>
              </w:rPr>
              <w:t>”</w:t>
            </w:r>
            <w:r>
              <w:rPr>
                <w:rFonts w:hint="eastAsia" w:ascii="Times New Roman" w:hAnsi="Times New Roman" w:eastAsia="仿宋" w:cs="仿宋"/>
                <w:sz w:val="22"/>
                <w:szCs w:val="22"/>
              </w:rPr>
              <w:t>整治，持续实施治理整顿，全县商场、超市、农贸市场</w:t>
            </w:r>
            <w:r>
              <w:rPr>
                <w:rFonts w:ascii="Times New Roman" w:hAnsi="Times New Roman" w:eastAsia="仿宋" w:cs="Times New Roman"/>
                <w:sz w:val="22"/>
                <w:szCs w:val="22"/>
              </w:rPr>
              <w:t>“</w:t>
            </w:r>
            <w:r>
              <w:rPr>
                <w:rFonts w:hint="eastAsia" w:ascii="Times New Roman" w:hAnsi="Times New Roman" w:eastAsia="仿宋" w:cs="仿宋"/>
                <w:sz w:val="22"/>
                <w:szCs w:val="22"/>
              </w:rPr>
              <w:t>限塑</w:t>
            </w:r>
            <w:r>
              <w:rPr>
                <w:rFonts w:ascii="Times New Roman" w:hAnsi="Times New Roman" w:eastAsia="仿宋" w:cs="Times New Roman"/>
                <w:sz w:val="22"/>
                <w:szCs w:val="22"/>
              </w:rPr>
              <w:t>”</w:t>
            </w:r>
            <w:r>
              <w:rPr>
                <w:rFonts w:hint="eastAsia" w:ascii="Times New Roman" w:hAnsi="Times New Roman" w:eastAsia="仿宋" w:cs="仿宋"/>
                <w:sz w:val="22"/>
                <w:szCs w:val="22"/>
              </w:rPr>
              <w:t>管理得到进一步加强，消费者、经营者拒绝使用不合格塑料袋，继续加强监督检查，推广使用菜篮子、布袋子、可降解的塑料袋，加强督查检查。</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县市场监管局</w:t>
            </w:r>
          </w:p>
        </w:tc>
        <w:tc>
          <w:tcPr>
            <w:tcW w:w="1985" w:type="dxa"/>
            <w:vAlign w:val="center"/>
          </w:tcPr>
          <w:p>
            <w:pPr>
              <w:pStyle w:val="35"/>
              <w:jc w:val="both"/>
              <w:rPr>
                <w:rFonts w:ascii="Times New Roman" w:hAnsi="Times New Roman" w:eastAsia="仿宋" w:cs="Times New Roman"/>
                <w:sz w:val="22"/>
                <w:szCs w:val="22"/>
              </w:rPr>
            </w:pPr>
            <w:r>
              <w:rPr>
                <w:rFonts w:hint="eastAsia" w:ascii="Times New Roman" w:hAnsi="Times New Roman" w:eastAsia="仿宋" w:cs="仿宋"/>
                <w:sz w:val="22"/>
                <w:szCs w:val="22"/>
              </w:rPr>
              <w:t>县发改局、县经信局、县市场管理服务中心、中国邮政集团公司浙江省岱山分公司</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全面减少一次性消费</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全县宾馆、酒店全面开展</w:t>
            </w:r>
            <w:r>
              <w:rPr>
                <w:rFonts w:ascii="Times New Roman" w:hAnsi="Times New Roman" w:eastAsia="仿宋" w:cs="Times New Roman"/>
                <w:sz w:val="22"/>
                <w:szCs w:val="22"/>
              </w:rPr>
              <w:t>“</w:t>
            </w:r>
            <w:r>
              <w:rPr>
                <w:rFonts w:hint="eastAsia" w:ascii="Times New Roman" w:hAnsi="Times New Roman" w:eastAsia="仿宋" w:cs="仿宋"/>
                <w:sz w:val="22"/>
                <w:szCs w:val="22"/>
              </w:rPr>
              <w:t>不主动提供一次性消费用品</w:t>
            </w:r>
            <w:r>
              <w:rPr>
                <w:rFonts w:ascii="Times New Roman" w:hAnsi="Times New Roman" w:eastAsia="仿宋" w:cs="Times New Roman"/>
                <w:sz w:val="22"/>
                <w:szCs w:val="22"/>
              </w:rPr>
              <w:t>”</w:t>
            </w:r>
            <w:r>
              <w:rPr>
                <w:rFonts w:hint="eastAsia" w:ascii="Times New Roman" w:hAnsi="Times New Roman" w:eastAsia="仿宋" w:cs="仿宋"/>
                <w:sz w:val="22"/>
                <w:szCs w:val="22"/>
              </w:rPr>
              <w:t>“公勺公筷”行动，倡导绿色消费，覆盖面达到</w:t>
            </w:r>
            <w:r>
              <w:rPr>
                <w:rFonts w:ascii="Times New Roman" w:hAnsi="Times New Roman" w:eastAsia="仿宋" w:cs="Times New Roman"/>
                <w:sz w:val="22"/>
                <w:szCs w:val="22"/>
              </w:rPr>
              <w:t>100%</w:t>
            </w:r>
            <w:r>
              <w:rPr>
                <w:rFonts w:hint="eastAsia" w:ascii="Times New Roman" w:hAnsi="Times New Roman" w:eastAsia="仿宋" w:cs="仿宋"/>
                <w:sz w:val="22"/>
                <w:szCs w:val="22"/>
              </w:rPr>
              <w:t>。</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县文化和广电旅游体育局、县经信局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各乡镇政府</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全面开展</w:t>
            </w:r>
            <w:r>
              <w:rPr>
                <w:rFonts w:ascii="Times New Roman" w:hAnsi="Times New Roman" w:eastAsia="仿宋" w:cs="Times New Roman"/>
                <w:sz w:val="22"/>
                <w:szCs w:val="22"/>
              </w:rPr>
              <w:t>“</w:t>
            </w:r>
            <w:r>
              <w:rPr>
                <w:rFonts w:hint="eastAsia" w:ascii="Times New Roman" w:hAnsi="Times New Roman" w:eastAsia="仿宋" w:cs="仿宋"/>
                <w:sz w:val="22"/>
                <w:szCs w:val="22"/>
              </w:rPr>
              <w:t>光盘</w:t>
            </w:r>
            <w:r>
              <w:rPr>
                <w:rFonts w:ascii="Times New Roman" w:hAnsi="Times New Roman" w:eastAsia="仿宋" w:cs="Times New Roman"/>
                <w:sz w:val="22"/>
                <w:szCs w:val="22"/>
              </w:rPr>
              <w:t>”</w:t>
            </w:r>
            <w:r>
              <w:rPr>
                <w:rFonts w:hint="eastAsia" w:ascii="Times New Roman" w:hAnsi="Times New Roman" w:eastAsia="仿宋" w:cs="仿宋"/>
                <w:sz w:val="22"/>
                <w:szCs w:val="22"/>
              </w:rPr>
              <w:t>行动</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全面开展</w:t>
            </w:r>
            <w:r>
              <w:rPr>
                <w:rFonts w:ascii="Times New Roman" w:hAnsi="Times New Roman" w:eastAsia="仿宋" w:cs="Times New Roman"/>
                <w:sz w:val="22"/>
                <w:szCs w:val="22"/>
              </w:rPr>
              <w:t>“</w:t>
            </w:r>
            <w:r>
              <w:rPr>
                <w:rFonts w:hint="eastAsia" w:ascii="Times New Roman" w:hAnsi="Times New Roman" w:eastAsia="仿宋" w:cs="仿宋"/>
                <w:sz w:val="22"/>
                <w:szCs w:val="22"/>
              </w:rPr>
              <w:t>光盘</w:t>
            </w:r>
            <w:r>
              <w:rPr>
                <w:rFonts w:ascii="Times New Roman" w:hAnsi="Times New Roman" w:eastAsia="仿宋" w:cs="Times New Roman"/>
                <w:sz w:val="22"/>
                <w:szCs w:val="22"/>
              </w:rPr>
              <w:t>”</w:t>
            </w:r>
            <w:r>
              <w:rPr>
                <w:rFonts w:hint="eastAsia" w:ascii="Times New Roman" w:hAnsi="Times New Roman" w:eastAsia="仿宋" w:cs="仿宋"/>
                <w:sz w:val="22"/>
                <w:szCs w:val="22"/>
              </w:rPr>
              <w:t>行动，落实文明餐桌宣传，劝导适量点餐，鼓励餐饮服务企业建立激励措施；在党政机关、国有企事业单位、学校食堂、宾馆酒店、餐饮企业开展“文明餐桌”、“公勺公筷”“光盘”行动，劝导适量点餐。</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县市场监管局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县委宣传部（精神文明指导中心）、县教育局、县经信局、县文化和广电旅游体育局、县机关事务管理中心、县国资办</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6</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推广使用绿色包装</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鼓励企业加强与高校、科研机构合作，加大可循环、可降解包装产品技术的研发，推广使用绿色包装材料，绿色包装材料应用比例不低于</w:t>
            </w:r>
            <w:r>
              <w:rPr>
                <w:rFonts w:ascii="Times New Roman" w:hAnsi="Times New Roman" w:eastAsia="仿宋" w:cs="Times New Roman"/>
                <w:sz w:val="22"/>
                <w:szCs w:val="22"/>
              </w:rPr>
              <w:t>50%</w:t>
            </w:r>
            <w:r>
              <w:rPr>
                <w:rFonts w:hint="eastAsia" w:ascii="Times New Roman" w:hAnsi="Times New Roman" w:eastAsia="仿宋" w:cs="仿宋"/>
                <w:sz w:val="22"/>
                <w:szCs w:val="22"/>
              </w:rPr>
              <w:t>。</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县发改局、市生态环境局岱山分局、县市场监管局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7</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推动实施绿色物流</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落实绿色环保可循环的快递行业发展政策，鼓励电子商务平台、快递企业与商品制造企业合作推进产品包装标准化、一体化融合，减少二次包装，平均每件快递包装耗材减少</w:t>
            </w:r>
            <w:r>
              <w:rPr>
                <w:rFonts w:ascii="Times New Roman" w:hAnsi="Times New Roman" w:eastAsia="仿宋" w:cs="Times New Roman"/>
                <w:sz w:val="22"/>
                <w:szCs w:val="22"/>
              </w:rPr>
              <w:t>10%</w:t>
            </w:r>
            <w:r>
              <w:rPr>
                <w:rFonts w:hint="eastAsia" w:ascii="Times New Roman" w:hAnsi="Times New Roman" w:eastAsia="仿宋" w:cs="仿宋"/>
                <w:sz w:val="22"/>
                <w:szCs w:val="22"/>
              </w:rPr>
              <w:t>以上。</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市邮政管理局统一牵头</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县经信局、县市场监管局、县邮政公司</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培育龙头骨干回收企业，提高低价值再生资源回收利用率</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到</w:t>
            </w:r>
            <w:r>
              <w:rPr>
                <w:rFonts w:ascii="Times New Roman" w:hAnsi="Times New Roman" w:eastAsia="仿宋" w:cs="Times New Roman"/>
                <w:sz w:val="22"/>
                <w:szCs w:val="22"/>
              </w:rPr>
              <w:t>2020</w:t>
            </w:r>
            <w:r>
              <w:rPr>
                <w:rFonts w:hint="eastAsia" w:ascii="Times New Roman" w:hAnsi="Times New Roman" w:eastAsia="仿宋" w:cs="仿宋"/>
                <w:sz w:val="22"/>
                <w:szCs w:val="22"/>
              </w:rPr>
              <w:t>年底，全县培育有实力的再生资源回收企业</w:t>
            </w:r>
            <w:r>
              <w:rPr>
                <w:rFonts w:ascii="Times New Roman" w:hAnsi="Times New Roman" w:eastAsia="仿宋" w:cs="Times New Roman"/>
                <w:sz w:val="22"/>
                <w:szCs w:val="22"/>
              </w:rPr>
              <w:t>1</w:t>
            </w:r>
            <w:r>
              <w:rPr>
                <w:rFonts w:hint="eastAsia" w:ascii="Times New Roman" w:hAnsi="Times New Roman" w:eastAsia="仿宋" w:cs="仿宋"/>
                <w:sz w:val="22"/>
                <w:szCs w:val="22"/>
              </w:rPr>
              <w:t>家以上，城乡生活垃圾回收利用率达到</w:t>
            </w:r>
            <w:r>
              <w:rPr>
                <w:rFonts w:ascii="Times New Roman" w:hAnsi="Times New Roman" w:eastAsia="仿宋" w:cs="Times New Roman"/>
                <w:sz w:val="22"/>
                <w:szCs w:val="22"/>
              </w:rPr>
              <w:t>45%</w:t>
            </w:r>
            <w:r>
              <w:rPr>
                <w:rFonts w:hint="eastAsia" w:ascii="Times New Roman" w:hAnsi="Times New Roman" w:eastAsia="仿宋" w:cs="仿宋"/>
                <w:sz w:val="22"/>
                <w:szCs w:val="22"/>
              </w:rPr>
              <w:t>以上，到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年城乡生活垃圾回收利用率达到</w:t>
            </w:r>
            <w:r>
              <w:rPr>
                <w:rFonts w:ascii="Times New Roman" w:hAnsi="Times New Roman" w:eastAsia="仿宋" w:cs="Times New Roman"/>
                <w:sz w:val="22"/>
                <w:szCs w:val="22"/>
              </w:rPr>
              <w:t>60%</w:t>
            </w:r>
            <w:r>
              <w:rPr>
                <w:rFonts w:hint="eastAsia" w:ascii="Times New Roman" w:hAnsi="Times New Roman" w:eastAsia="仿宋" w:cs="仿宋"/>
                <w:sz w:val="22"/>
                <w:szCs w:val="22"/>
              </w:rPr>
              <w:t>以上。</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县经信局、县农业农村局、县综合行政执法局</w:t>
            </w:r>
            <w:r>
              <w:rPr>
                <w:rFonts w:ascii="Times New Roman" w:hAnsi="Times New Roman" w:eastAsia="仿宋" w:cs="Times New Roman"/>
                <w:sz w:val="22"/>
                <w:szCs w:val="22"/>
              </w:rPr>
              <w:t xml:space="preserve"> </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9</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推广实施渔农村易腐垃圾就地资源化技术</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推广渔农村易腐垃圾就地资源化技术，实现渔农村易腐垃圾就地处置，减清运量</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10</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完善易腐垃圾收运处理体系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因地制宜、科学布局城镇和农村易腐垃圾收集设施，实现城乡易腐垃圾收集转运能力全覆盖</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11</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完善有害垃圾收集站点规划</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根据有害垃圾产生情况，制定有害垃圾站点规划，完善有害垃圾收储体系</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县住建局、县综合行政执法局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市生态环境局岱山分局、各乡镇</w:t>
            </w:r>
            <w:r>
              <w:rPr>
                <w:rFonts w:ascii="Times New Roman" w:hAnsi="Times New Roman" w:eastAsia="仿宋" w:cs="Times New Roman"/>
                <w:sz w:val="22"/>
                <w:szCs w:val="22"/>
              </w:rPr>
              <w:t xml:space="preserve"> </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12</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构建生活垃圾分类服务企业信用评价机制和生活垃圾强制分类环境信用体系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将单位和个人拒不履行生活垃圾分类和减量义务并被行政处罚的行为记录纳入舟山市信用信息系统。</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县综合行政执法局、各乡镇政府</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13</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落实推进《舟山市</w:t>
            </w:r>
            <w:r>
              <w:rPr>
                <w:rFonts w:ascii="Times New Roman" w:hAnsi="Times New Roman" w:eastAsia="仿宋" w:cs="Times New Roman"/>
                <w:sz w:val="22"/>
                <w:szCs w:val="22"/>
              </w:rPr>
              <w:t>2020</w:t>
            </w:r>
            <w:r>
              <w:rPr>
                <w:rFonts w:hint="eastAsia" w:ascii="Times New Roman" w:hAnsi="Times New Roman" w:eastAsia="仿宋" w:cs="仿宋"/>
                <w:sz w:val="22"/>
                <w:szCs w:val="22"/>
              </w:rPr>
              <w:t>年城镇生活垃圾分类行动计划》</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强化生活垃圾分类，推动生活垃圾分类实施</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县综合行政执法局、县农业农村</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各乡镇政府</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14</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探索建立生活垃圾处置收费制度</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探索建立</w:t>
            </w:r>
            <w:r>
              <w:rPr>
                <w:rFonts w:ascii="Times New Roman" w:hAnsi="Times New Roman" w:eastAsia="仿宋" w:cs="Times New Roman"/>
                <w:sz w:val="22"/>
                <w:szCs w:val="22"/>
              </w:rPr>
              <w:t>“</w:t>
            </w:r>
            <w:r>
              <w:rPr>
                <w:rFonts w:hint="eastAsia" w:ascii="Times New Roman" w:hAnsi="Times New Roman" w:eastAsia="仿宋" w:cs="仿宋"/>
                <w:sz w:val="22"/>
                <w:szCs w:val="22"/>
              </w:rPr>
              <w:t>谁产生、谁付费</w:t>
            </w:r>
            <w:r>
              <w:rPr>
                <w:rFonts w:ascii="Times New Roman" w:hAnsi="Times New Roman" w:eastAsia="仿宋" w:cs="Times New Roman"/>
                <w:sz w:val="22"/>
                <w:szCs w:val="22"/>
              </w:rPr>
              <w:t>”</w:t>
            </w:r>
            <w:r>
              <w:rPr>
                <w:rFonts w:hint="eastAsia" w:ascii="Times New Roman" w:hAnsi="Times New Roman" w:eastAsia="仿宋" w:cs="仿宋"/>
                <w:sz w:val="22"/>
                <w:szCs w:val="22"/>
              </w:rPr>
              <w:t>，</w:t>
            </w:r>
            <w:r>
              <w:rPr>
                <w:rFonts w:ascii="Times New Roman" w:hAnsi="Times New Roman" w:eastAsia="仿宋" w:cs="Times New Roman"/>
                <w:sz w:val="22"/>
                <w:szCs w:val="22"/>
              </w:rPr>
              <w:t>“</w:t>
            </w:r>
            <w:r>
              <w:rPr>
                <w:rFonts w:hint="eastAsia" w:ascii="Times New Roman" w:hAnsi="Times New Roman" w:eastAsia="仿宋" w:cs="仿宋"/>
                <w:sz w:val="22"/>
                <w:szCs w:val="22"/>
              </w:rPr>
              <w:t>多产生、多付费</w:t>
            </w:r>
            <w:r>
              <w:rPr>
                <w:rFonts w:ascii="Times New Roman" w:hAnsi="Times New Roman" w:eastAsia="仿宋" w:cs="Times New Roman"/>
                <w:sz w:val="22"/>
                <w:szCs w:val="22"/>
              </w:rPr>
              <w:t>”</w:t>
            </w:r>
            <w:r>
              <w:rPr>
                <w:rFonts w:hint="eastAsia" w:ascii="Times New Roman" w:hAnsi="Times New Roman" w:eastAsia="仿宋" w:cs="仿宋"/>
                <w:sz w:val="22"/>
                <w:szCs w:val="22"/>
              </w:rPr>
              <w:t>，</w:t>
            </w:r>
            <w:r>
              <w:rPr>
                <w:rFonts w:ascii="Times New Roman" w:hAnsi="Times New Roman" w:eastAsia="仿宋" w:cs="Times New Roman"/>
                <w:sz w:val="22"/>
                <w:szCs w:val="22"/>
              </w:rPr>
              <w:t>“</w:t>
            </w:r>
            <w:r>
              <w:rPr>
                <w:rFonts w:hint="eastAsia" w:ascii="Times New Roman" w:hAnsi="Times New Roman" w:eastAsia="仿宋" w:cs="仿宋"/>
                <w:sz w:val="22"/>
                <w:szCs w:val="22"/>
              </w:rPr>
              <w:t>少产生、少付费</w:t>
            </w:r>
            <w:r>
              <w:rPr>
                <w:rFonts w:ascii="Times New Roman" w:hAnsi="Times New Roman" w:eastAsia="仿宋" w:cs="Times New Roman"/>
                <w:sz w:val="22"/>
                <w:szCs w:val="22"/>
              </w:rPr>
              <w:t>”</w:t>
            </w:r>
            <w:r>
              <w:rPr>
                <w:rFonts w:hint="eastAsia" w:ascii="Times New Roman" w:hAnsi="Times New Roman" w:eastAsia="仿宋" w:cs="仿宋"/>
                <w:sz w:val="22"/>
                <w:szCs w:val="22"/>
              </w:rPr>
              <w:t>的垃圾收费制度；</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15</w:t>
            </w:r>
          </w:p>
        </w:tc>
        <w:tc>
          <w:tcPr>
            <w:tcW w:w="186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完善有害垃圾回收体系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依托全市有害垃圾集中回收处置体系实现资源共享，逐步建立覆盖全县的有害垃圾规范回收和综合处理网络，形成全县范围内有害垃圾的分类投放</w:t>
            </w:r>
            <w:r>
              <w:rPr>
                <w:rFonts w:ascii="Times New Roman" w:hAnsi="Times New Roman" w:eastAsia="仿宋" w:cs="Times New Roman"/>
                <w:sz w:val="22"/>
                <w:szCs w:val="22"/>
              </w:rPr>
              <w:t>—</w:t>
            </w:r>
            <w:r>
              <w:rPr>
                <w:rFonts w:hint="eastAsia" w:ascii="Times New Roman" w:hAnsi="Times New Roman" w:eastAsia="仿宋" w:cs="仿宋"/>
                <w:sz w:val="22"/>
                <w:szCs w:val="22"/>
              </w:rPr>
              <w:t>分类收集</w:t>
            </w:r>
            <w:r>
              <w:rPr>
                <w:rFonts w:ascii="Times New Roman" w:hAnsi="Times New Roman" w:eastAsia="仿宋" w:cs="Times New Roman"/>
                <w:sz w:val="22"/>
                <w:szCs w:val="22"/>
              </w:rPr>
              <w:t>—</w:t>
            </w:r>
            <w:r>
              <w:rPr>
                <w:rFonts w:hint="eastAsia" w:ascii="Times New Roman" w:hAnsi="Times New Roman" w:eastAsia="仿宋" w:cs="仿宋"/>
                <w:sz w:val="22"/>
                <w:szCs w:val="22"/>
              </w:rPr>
              <w:t>分类运输</w:t>
            </w:r>
            <w:r>
              <w:rPr>
                <w:rFonts w:ascii="Times New Roman" w:hAnsi="Times New Roman" w:eastAsia="仿宋" w:cs="Times New Roman"/>
                <w:sz w:val="22"/>
                <w:szCs w:val="22"/>
              </w:rPr>
              <w:t>—</w:t>
            </w:r>
            <w:r>
              <w:rPr>
                <w:rFonts w:hint="eastAsia" w:ascii="Times New Roman" w:hAnsi="Times New Roman" w:eastAsia="仿宋" w:cs="仿宋"/>
                <w:sz w:val="22"/>
                <w:szCs w:val="22"/>
              </w:rPr>
              <w:t>有害垃圾暂存</w:t>
            </w:r>
            <w:r>
              <w:rPr>
                <w:rFonts w:ascii="Times New Roman" w:hAnsi="Times New Roman" w:eastAsia="仿宋" w:cs="Times New Roman"/>
                <w:sz w:val="22"/>
                <w:szCs w:val="22"/>
              </w:rPr>
              <w:t>—</w:t>
            </w:r>
            <w:r>
              <w:rPr>
                <w:rFonts w:hint="eastAsia" w:ascii="Times New Roman" w:hAnsi="Times New Roman" w:eastAsia="仿宋" w:cs="仿宋"/>
                <w:sz w:val="22"/>
                <w:szCs w:val="22"/>
              </w:rPr>
              <w:t>分类处置的全系统建设。</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县综合行政执法局、市生态环境局岱山分局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各乡镇政府</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bl>
    <w:p>
      <w:pPr>
        <w:keepNext/>
        <w:keepLines/>
        <w:spacing w:before="260" w:after="260" w:line="240" w:lineRule="atLeast"/>
        <w:outlineLvl w:val="1"/>
        <w:rPr>
          <w:b/>
          <w:bCs/>
          <w:sz w:val="32"/>
          <w:szCs w:val="32"/>
        </w:rPr>
        <w:sectPr>
          <w:pgSz w:w="16838" w:h="11906" w:orient="landscape"/>
          <w:pgMar w:top="1800" w:right="1440" w:bottom="1800" w:left="1440" w:header="851" w:footer="992" w:gutter="0"/>
          <w:cols w:space="425" w:num="1"/>
          <w:docGrid w:type="lines" w:linePitch="312" w:charSpace="0"/>
        </w:sectPr>
      </w:pPr>
    </w:p>
    <w:p>
      <w:pPr>
        <w:keepNext/>
        <w:keepLines/>
        <w:spacing w:before="260" w:after="260" w:line="416" w:lineRule="auto"/>
        <w:outlineLvl w:val="1"/>
        <w:rPr>
          <w:b/>
          <w:bCs/>
          <w:sz w:val="32"/>
          <w:szCs w:val="32"/>
        </w:rPr>
      </w:pPr>
      <w:bookmarkStart w:id="12" w:name="_Toc43909908"/>
      <w:bookmarkStart w:id="13" w:name="_Toc43308212"/>
      <w:bookmarkStart w:id="14" w:name="_Toc43136622"/>
      <w:r>
        <w:rPr>
          <w:rFonts w:hint="eastAsia" w:cs="仿宋"/>
          <w:b/>
          <w:bCs/>
          <w:sz w:val="32"/>
          <w:szCs w:val="32"/>
        </w:rPr>
        <w:t>三、建筑垃圾任务和进度安排</w:t>
      </w:r>
      <w:bookmarkEnd w:id="12"/>
      <w:bookmarkEnd w:id="13"/>
      <w:bookmarkEnd w:id="14"/>
    </w:p>
    <w:tbl>
      <w:tblPr>
        <w:tblStyle w:val="15"/>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480"/>
        <w:gridCol w:w="1895"/>
        <w:gridCol w:w="6943"/>
        <w:gridCol w:w="1700"/>
        <w:gridCol w:w="1984"/>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blHeader/>
        </w:trPr>
        <w:tc>
          <w:tcPr>
            <w:tcW w:w="486" w:type="dxa"/>
            <w:gridSpan w:val="2"/>
            <w:shd w:val="clear" w:color="auto" w:fill="D9D9D9"/>
            <w:vAlign w:val="center"/>
          </w:tcPr>
          <w:p>
            <w:pPr>
              <w:pStyle w:val="35"/>
              <w:rPr>
                <w:rFonts w:ascii="Times New Roman" w:hAnsi="Times New Roman" w:eastAsia="仿宋" w:cs="Times New Roman"/>
                <w:b/>
                <w:bCs/>
                <w:sz w:val="22"/>
                <w:szCs w:val="22"/>
              </w:rPr>
            </w:pPr>
            <w:bookmarkStart w:id="15" w:name="_Hlk43234318"/>
            <w:r>
              <w:rPr>
                <w:rFonts w:hint="eastAsia" w:ascii="Times New Roman" w:hAnsi="Times New Roman" w:eastAsia="仿宋" w:cs="仿宋"/>
                <w:b/>
                <w:bCs/>
                <w:sz w:val="22"/>
                <w:szCs w:val="22"/>
              </w:rPr>
              <w:t>序号</w:t>
            </w:r>
          </w:p>
        </w:tc>
        <w:tc>
          <w:tcPr>
            <w:tcW w:w="1895"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主要任务</w:t>
            </w:r>
          </w:p>
        </w:tc>
        <w:tc>
          <w:tcPr>
            <w:tcW w:w="6943"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主要内容</w:t>
            </w:r>
          </w:p>
        </w:tc>
        <w:tc>
          <w:tcPr>
            <w:tcW w:w="1700"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责任单位</w:t>
            </w:r>
          </w:p>
        </w:tc>
        <w:tc>
          <w:tcPr>
            <w:tcW w:w="1984"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配合单位</w:t>
            </w:r>
          </w:p>
        </w:tc>
        <w:tc>
          <w:tcPr>
            <w:tcW w:w="1166"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gridSpan w:val="2"/>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w:t>
            </w:r>
          </w:p>
        </w:tc>
        <w:tc>
          <w:tcPr>
            <w:tcW w:w="189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建筑垃圾资源化利用技术</w:t>
            </w:r>
          </w:p>
        </w:tc>
        <w:tc>
          <w:tcPr>
            <w:tcW w:w="69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积极引入建筑垃圾资源化利用技术，对建筑垃圾进行资源化利用</w:t>
            </w:r>
          </w:p>
        </w:tc>
        <w:tc>
          <w:tcPr>
            <w:tcW w:w="170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县经信局、县综合行政执法局</w:t>
            </w:r>
          </w:p>
        </w:tc>
        <w:tc>
          <w:tcPr>
            <w:tcW w:w="198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县发改局、县自然资源和规划局、县交通运输局（港航分局）、市生态环境局岱山分局、县住建局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gridSpan w:val="2"/>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w:t>
            </w:r>
          </w:p>
        </w:tc>
        <w:tc>
          <w:tcPr>
            <w:tcW w:w="189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建筑垃圾处理设施建设</w:t>
            </w:r>
          </w:p>
        </w:tc>
        <w:tc>
          <w:tcPr>
            <w:tcW w:w="69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聚焦收运处置能力短板，提高建筑垃圾收集处置能力，根据岱山县实际情况，加快推进建筑垃圾中转站基础设施建设，实现建筑垃圾收集处置能力全覆盖。</w:t>
            </w:r>
          </w:p>
        </w:tc>
        <w:tc>
          <w:tcPr>
            <w:tcW w:w="170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县住建局、县综合行政执法局、</w:t>
            </w:r>
          </w:p>
        </w:tc>
        <w:tc>
          <w:tcPr>
            <w:tcW w:w="198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gridSpan w:val="2"/>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w:t>
            </w:r>
          </w:p>
        </w:tc>
        <w:tc>
          <w:tcPr>
            <w:tcW w:w="189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落实《舟山市建筑垃圾管理办法》</w:t>
            </w:r>
          </w:p>
        </w:tc>
        <w:tc>
          <w:tcPr>
            <w:tcW w:w="69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细化区域内建筑垃圾管理和处理行为，建立完善建筑垃圾消纳处置收费机制、收集转运准入制度和信用考核机制、资源化利用激励机制。</w:t>
            </w:r>
          </w:p>
        </w:tc>
        <w:tc>
          <w:tcPr>
            <w:tcW w:w="170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w:t>
            </w:r>
          </w:p>
        </w:tc>
        <w:tc>
          <w:tcPr>
            <w:tcW w:w="1984"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gridSpan w:val="2"/>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w:t>
            </w:r>
          </w:p>
        </w:tc>
        <w:tc>
          <w:tcPr>
            <w:tcW w:w="189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全力推进建筑垃圾智慧监管平台建设</w:t>
            </w:r>
          </w:p>
        </w:tc>
        <w:tc>
          <w:tcPr>
            <w:tcW w:w="69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对建筑垃圾从产生、运输、中转、消纳、资源化利用进行全过程监管</w:t>
            </w:r>
          </w:p>
        </w:tc>
        <w:tc>
          <w:tcPr>
            <w:tcW w:w="170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w:t>
            </w:r>
          </w:p>
        </w:tc>
        <w:tc>
          <w:tcPr>
            <w:tcW w:w="198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县大数据管理中心、市生态环境局岱山分局、县交通运输局（港航分局）、县住建局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gridSpan w:val="2"/>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w:t>
            </w:r>
          </w:p>
        </w:tc>
        <w:tc>
          <w:tcPr>
            <w:tcW w:w="189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建立建筑垃圾管理体制机制</w:t>
            </w:r>
          </w:p>
        </w:tc>
        <w:tc>
          <w:tcPr>
            <w:tcW w:w="69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将建筑垃圾管理职能纳入执法管理，由执法部门责辖区域范围内建筑垃圾管理和资源化利用工作。</w:t>
            </w:r>
          </w:p>
        </w:tc>
        <w:tc>
          <w:tcPr>
            <w:tcW w:w="170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w:t>
            </w:r>
          </w:p>
        </w:tc>
        <w:tc>
          <w:tcPr>
            <w:tcW w:w="1984"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gridSpan w:val="2"/>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6</w:t>
            </w:r>
          </w:p>
        </w:tc>
        <w:tc>
          <w:tcPr>
            <w:tcW w:w="189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建筑垃圾资源化综合利用产品相关优惠政策</w:t>
            </w:r>
          </w:p>
        </w:tc>
        <w:tc>
          <w:tcPr>
            <w:tcW w:w="69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对建筑垃圾处理企业出台实施相关优惠政策，出台相关建筑垃圾处理企业产品补贴目录</w:t>
            </w:r>
          </w:p>
        </w:tc>
        <w:tc>
          <w:tcPr>
            <w:tcW w:w="170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98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县发改局、县财政局、县自然资源和规划局、县经信局、市生态环境局岱山分局、县综合行政执法局、</w:t>
            </w:r>
            <w:r>
              <w:fldChar w:fldCharType="begin"/>
            </w:r>
            <w:r>
              <w:instrText xml:space="preserve"> HYPERLINK "http://zsscjg.zhoushan.gov.cn/" \t "http://www.zhoushan.gov.cn/col/col1275904/_blank" \o "市市场监督管理局" </w:instrText>
            </w:r>
            <w:r>
              <w:fldChar w:fldCharType="separate"/>
            </w:r>
            <w:r>
              <w:rPr>
                <w:rFonts w:hint="eastAsia" w:ascii="Times New Roman" w:hAnsi="Times New Roman" w:eastAsia="仿宋" w:cs="仿宋"/>
                <w:sz w:val="22"/>
                <w:szCs w:val="22"/>
              </w:rPr>
              <w:t>县市场监督管理局</w:t>
            </w:r>
            <w:r>
              <w:rPr>
                <w:rFonts w:hint="eastAsia" w:ascii="Times New Roman" w:hAnsi="Times New Roman" w:eastAsia="仿宋" w:cs="仿宋"/>
                <w:sz w:val="22"/>
                <w:szCs w:val="22"/>
              </w:rPr>
              <w:fldChar w:fldCharType="end"/>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Pr>
        <w:tc>
          <w:tcPr>
            <w:tcW w:w="480"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7</w:t>
            </w:r>
          </w:p>
        </w:tc>
        <w:tc>
          <w:tcPr>
            <w:tcW w:w="189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绿色建筑推广工程和建筑工业化发展</w:t>
            </w:r>
          </w:p>
        </w:tc>
        <w:tc>
          <w:tcPr>
            <w:tcW w:w="69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新建民用建筑按二星级及以上绿色建筑强制性标准建设的建筑面积占比达到</w:t>
            </w:r>
            <w:r>
              <w:rPr>
                <w:rFonts w:ascii="Times New Roman" w:hAnsi="Times New Roman" w:eastAsia="仿宋" w:cs="Times New Roman"/>
                <w:sz w:val="22"/>
                <w:szCs w:val="22"/>
              </w:rPr>
              <w:t>11%</w:t>
            </w:r>
            <w:r>
              <w:rPr>
                <w:rFonts w:hint="eastAsia" w:ascii="Times New Roman" w:hAnsi="Times New Roman" w:eastAsia="仿宋" w:cs="仿宋"/>
                <w:sz w:val="22"/>
                <w:szCs w:val="22"/>
              </w:rPr>
              <w:t>以上；累计可再生能源建筑应用面积</w:t>
            </w:r>
            <w:r>
              <w:rPr>
                <w:rFonts w:ascii="Times New Roman" w:hAnsi="Times New Roman" w:eastAsia="仿宋" w:cs="Times New Roman"/>
                <w:sz w:val="22"/>
                <w:szCs w:val="22"/>
              </w:rPr>
              <w:t>20</w:t>
            </w:r>
            <w:r>
              <w:rPr>
                <w:rFonts w:hint="eastAsia" w:ascii="Times New Roman" w:hAnsi="Times New Roman" w:eastAsia="仿宋" w:cs="仿宋"/>
                <w:sz w:val="22"/>
                <w:szCs w:val="22"/>
              </w:rPr>
              <w:t>万平方米以上。全县装配式建筑占新建建筑面积比例达到</w:t>
            </w:r>
            <w:r>
              <w:rPr>
                <w:rFonts w:ascii="Times New Roman" w:hAnsi="Times New Roman" w:eastAsia="仿宋" w:cs="Times New Roman"/>
                <w:sz w:val="22"/>
                <w:szCs w:val="22"/>
              </w:rPr>
              <w:t>10%</w:t>
            </w:r>
            <w:r>
              <w:rPr>
                <w:rFonts w:hint="eastAsia" w:ascii="Times New Roman" w:hAnsi="Times New Roman" w:eastAsia="仿宋" w:cs="仿宋"/>
                <w:sz w:val="22"/>
                <w:szCs w:val="22"/>
              </w:rPr>
              <w:t>，岱山县中心城区（近期中心城区范围详见《舟山市岱山县绿色建筑专项规划（</w:t>
            </w:r>
            <w:r>
              <w:rPr>
                <w:rFonts w:ascii="Times New Roman" w:hAnsi="Times New Roman" w:eastAsia="仿宋" w:cs="Times New Roman"/>
                <w:sz w:val="22"/>
                <w:szCs w:val="22"/>
              </w:rPr>
              <w:t>2017-2025</w:t>
            </w:r>
            <w:r>
              <w:rPr>
                <w:rFonts w:hint="eastAsia" w:ascii="Times New Roman" w:hAnsi="Times New Roman" w:eastAsia="仿宋" w:cs="仿宋"/>
                <w:sz w:val="22"/>
                <w:szCs w:val="22"/>
              </w:rPr>
              <w:t>年）》中所划区域范围）内新建住宅（除拆迁安置小区外）全面实行全装修，实现成品交房。</w:t>
            </w:r>
          </w:p>
        </w:tc>
        <w:tc>
          <w:tcPr>
            <w:tcW w:w="170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县住建局</w:t>
            </w:r>
          </w:p>
        </w:tc>
        <w:tc>
          <w:tcPr>
            <w:tcW w:w="1984"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6" w:type="dxa"/>
        </w:trPr>
        <w:tc>
          <w:tcPr>
            <w:tcW w:w="480"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w:t>
            </w:r>
          </w:p>
        </w:tc>
        <w:tc>
          <w:tcPr>
            <w:tcW w:w="189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推进落实《中共岱山县委岱山县人民政府办公室关于进一步推进建筑工业化发展的实施意见》</w:t>
            </w:r>
          </w:p>
        </w:tc>
        <w:tc>
          <w:tcPr>
            <w:tcW w:w="69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推进岱山县建筑工业化发展，促进建筑业转型升级和持续健康发展。</w:t>
            </w:r>
          </w:p>
        </w:tc>
        <w:tc>
          <w:tcPr>
            <w:tcW w:w="170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198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县住建局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bookmarkEnd w:id="15"/>
    </w:tbl>
    <w:p>
      <w:pPr>
        <w:keepNext/>
        <w:keepLines/>
        <w:spacing w:before="260" w:after="260" w:line="240" w:lineRule="atLeast"/>
        <w:outlineLvl w:val="1"/>
        <w:rPr>
          <w:b/>
          <w:bCs/>
          <w:sz w:val="32"/>
          <w:szCs w:val="32"/>
        </w:rPr>
        <w:sectPr>
          <w:pgSz w:w="16838" w:h="11906" w:orient="landscape"/>
          <w:pgMar w:top="1800" w:right="1440" w:bottom="1800" w:left="1440" w:header="851" w:footer="992" w:gutter="0"/>
          <w:cols w:space="425" w:num="1"/>
          <w:docGrid w:type="lines" w:linePitch="312" w:charSpace="0"/>
        </w:sectPr>
      </w:pPr>
    </w:p>
    <w:p>
      <w:pPr>
        <w:keepNext/>
        <w:keepLines/>
        <w:spacing w:before="260" w:after="260" w:line="415" w:lineRule="auto"/>
        <w:outlineLvl w:val="1"/>
        <w:rPr>
          <w:b/>
          <w:bCs/>
          <w:sz w:val="32"/>
          <w:szCs w:val="32"/>
        </w:rPr>
      </w:pPr>
      <w:bookmarkStart w:id="16" w:name="_Toc43909909"/>
      <w:r>
        <w:rPr>
          <w:rFonts w:hint="eastAsia" w:cs="仿宋"/>
          <w:b/>
          <w:bCs/>
          <w:sz w:val="32"/>
          <w:szCs w:val="32"/>
        </w:rPr>
        <w:t>四、农业废弃物任务和进度安排</w:t>
      </w:r>
      <w:bookmarkEnd w:id="16"/>
    </w:p>
    <w:tbl>
      <w:tblPr>
        <w:tblStyle w:val="15"/>
        <w:tblW w:w="1417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872"/>
        <w:gridCol w:w="6946"/>
        <w:gridCol w:w="1701"/>
        <w:gridCol w:w="198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blHeader/>
        </w:trPr>
        <w:tc>
          <w:tcPr>
            <w:tcW w:w="504"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序号</w:t>
            </w:r>
          </w:p>
        </w:tc>
        <w:tc>
          <w:tcPr>
            <w:tcW w:w="1872"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主要任务</w:t>
            </w:r>
          </w:p>
        </w:tc>
        <w:tc>
          <w:tcPr>
            <w:tcW w:w="6946"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主要内容</w:t>
            </w:r>
          </w:p>
        </w:tc>
        <w:tc>
          <w:tcPr>
            <w:tcW w:w="1701"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责任单位</w:t>
            </w:r>
          </w:p>
        </w:tc>
        <w:tc>
          <w:tcPr>
            <w:tcW w:w="1985"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配合单位</w:t>
            </w:r>
          </w:p>
        </w:tc>
        <w:tc>
          <w:tcPr>
            <w:tcW w:w="1166"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推动肥药两制改革</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新建省级</w:t>
            </w:r>
            <w:r>
              <w:rPr>
                <w:rFonts w:ascii="Times New Roman" w:hAnsi="Times New Roman" w:eastAsia="仿宋" w:cs="Times New Roman"/>
                <w:sz w:val="22"/>
                <w:szCs w:val="22"/>
              </w:rPr>
              <w:t>“</w:t>
            </w:r>
            <w:r>
              <w:rPr>
                <w:rFonts w:hint="eastAsia" w:ascii="Times New Roman" w:hAnsi="Times New Roman" w:eastAsia="仿宋" w:cs="仿宋"/>
                <w:sz w:val="22"/>
                <w:szCs w:val="22"/>
              </w:rPr>
              <w:t>肥药两制</w:t>
            </w:r>
            <w:r>
              <w:rPr>
                <w:rFonts w:ascii="Times New Roman" w:hAnsi="Times New Roman" w:eastAsia="仿宋" w:cs="Times New Roman"/>
                <w:sz w:val="22"/>
                <w:szCs w:val="22"/>
              </w:rPr>
              <w:t>”</w:t>
            </w:r>
            <w:r>
              <w:rPr>
                <w:rFonts w:hint="eastAsia" w:ascii="Times New Roman" w:hAnsi="Times New Roman" w:eastAsia="仿宋" w:cs="仿宋"/>
                <w:sz w:val="22"/>
                <w:szCs w:val="22"/>
              </w:rPr>
              <w:t>改革示范农资店</w:t>
            </w:r>
            <w:r>
              <w:rPr>
                <w:rFonts w:ascii="Times New Roman" w:hAnsi="Times New Roman" w:eastAsia="仿宋" w:cs="Times New Roman"/>
                <w:sz w:val="22"/>
                <w:szCs w:val="22"/>
              </w:rPr>
              <w:t>10</w:t>
            </w:r>
            <w:r>
              <w:rPr>
                <w:rFonts w:hint="eastAsia" w:ascii="Times New Roman" w:hAnsi="Times New Roman" w:eastAsia="仿宋" w:cs="仿宋"/>
                <w:sz w:val="22"/>
                <w:szCs w:val="22"/>
              </w:rPr>
              <w:t>家，先行县省级规模以上生产经营主体化肥、农药定额使用覆盖率达到</w:t>
            </w:r>
            <w:r>
              <w:rPr>
                <w:rFonts w:ascii="Times New Roman" w:hAnsi="Times New Roman" w:eastAsia="仿宋" w:cs="Times New Roman"/>
                <w:sz w:val="22"/>
                <w:szCs w:val="22"/>
              </w:rPr>
              <w:t>90%</w:t>
            </w:r>
            <w:r>
              <w:rPr>
                <w:rFonts w:hint="eastAsia" w:ascii="Times New Roman" w:hAnsi="Times New Roman" w:eastAsia="仿宋" w:cs="仿宋"/>
                <w:sz w:val="22"/>
                <w:szCs w:val="22"/>
              </w:rPr>
              <w:t>；创建省级绿色防控示范区</w:t>
            </w:r>
            <w:r>
              <w:rPr>
                <w:rFonts w:ascii="Times New Roman" w:hAnsi="Times New Roman" w:eastAsia="仿宋" w:cs="Times New Roman"/>
                <w:sz w:val="22"/>
                <w:szCs w:val="22"/>
              </w:rPr>
              <w:t>1</w:t>
            </w:r>
            <w:r>
              <w:rPr>
                <w:rFonts w:hint="eastAsia" w:ascii="Times New Roman" w:hAnsi="Times New Roman" w:eastAsia="仿宋" w:cs="仿宋"/>
                <w:sz w:val="22"/>
                <w:szCs w:val="22"/>
              </w:rPr>
              <w:t>个，推广使用商品有机肥</w:t>
            </w:r>
            <w:r>
              <w:rPr>
                <w:rFonts w:ascii="Times New Roman" w:hAnsi="Times New Roman" w:eastAsia="仿宋" w:cs="Times New Roman"/>
                <w:sz w:val="22"/>
                <w:szCs w:val="22"/>
              </w:rPr>
              <w:t>0.4</w:t>
            </w:r>
            <w:r>
              <w:rPr>
                <w:rFonts w:hint="eastAsia" w:ascii="Times New Roman" w:hAnsi="Times New Roman" w:eastAsia="仿宋" w:cs="仿宋"/>
                <w:sz w:val="22"/>
                <w:szCs w:val="22"/>
              </w:rPr>
              <w:t>万吨，不合理施用化肥减量</w:t>
            </w:r>
            <w:r>
              <w:rPr>
                <w:rFonts w:ascii="Times New Roman" w:hAnsi="Times New Roman" w:eastAsia="仿宋" w:cs="Times New Roman"/>
                <w:sz w:val="22"/>
                <w:szCs w:val="22"/>
              </w:rPr>
              <w:t>5</w:t>
            </w:r>
            <w:r>
              <w:rPr>
                <w:rFonts w:hint="eastAsia" w:ascii="Times New Roman" w:hAnsi="Times New Roman" w:eastAsia="仿宋" w:cs="仿宋"/>
                <w:sz w:val="22"/>
                <w:szCs w:val="22"/>
              </w:rPr>
              <w:t>吨，农药减量</w:t>
            </w:r>
            <w:r>
              <w:rPr>
                <w:rFonts w:ascii="Times New Roman" w:hAnsi="Times New Roman" w:eastAsia="仿宋" w:cs="Times New Roman"/>
                <w:sz w:val="22"/>
                <w:szCs w:val="22"/>
              </w:rPr>
              <w:t>1.2</w:t>
            </w:r>
            <w:r>
              <w:rPr>
                <w:rFonts w:hint="eastAsia" w:ascii="Times New Roman" w:hAnsi="Times New Roman" w:eastAsia="仿宋" w:cs="仿宋"/>
                <w:sz w:val="22"/>
                <w:szCs w:val="22"/>
              </w:rPr>
              <w:t>吨，化肥使用强度</w:t>
            </w:r>
            <w:r>
              <w:rPr>
                <w:rFonts w:ascii="Times New Roman" w:hAnsi="Times New Roman" w:eastAsia="仿宋" w:cs="Times New Roman"/>
                <w:sz w:val="22"/>
                <w:szCs w:val="22"/>
              </w:rPr>
              <w:t>=410</w:t>
            </w:r>
            <w:r>
              <w:rPr>
                <w:rFonts w:hint="eastAsia" w:ascii="Times New Roman" w:hAnsi="Times New Roman" w:eastAsia="仿宋" w:cs="仿宋"/>
                <w:sz w:val="22"/>
                <w:szCs w:val="22"/>
              </w:rPr>
              <w:t>千克</w:t>
            </w:r>
            <w:r>
              <w:rPr>
                <w:rFonts w:ascii="Times New Roman" w:hAnsi="Times New Roman" w:eastAsia="仿宋" w:cs="Times New Roman"/>
                <w:sz w:val="22"/>
                <w:szCs w:val="22"/>
              </w:rPr>
              <w:t>/</w:t>
            </w:r>
            <w:r>
              <w:rPr>
                <w:rFonts w:hint="eastAsia" w:ascii="Times New Roman" w:hAnsi="Times New Roman" w:eastAsia="仿宋" w:cs="仿宋"/>
                <w:sz w:val="22"/>
                <w:szCs w:val="22"/>
              </w:rPr>
              <w:t>公顷，农药施用强度</w:t>
            </w:r>
            <w:r>
              <w:rPr>
                <w:rFonts w:ascii="Times New Roman" w:hAnsi="Times New Roman" w:eastAsia="仿宋" w:cs="Times New Roman"/>
                <w:sz w:val="22"/>
                <w:szCs w:val="22"/>
              </w:rPr>
              <w:t>=0.17</w:t>
            </w:r>
            <w:r>
              <w:rPr>
                <w:rFonts w:hint="eastAsia" w:ascii="Times New Roman" w:hAnsi="Times New Roman" w:eastAsia="仿宋" w:cs="仿宋"/>
                <w:sz w:val="22"/>
                <w:szCs w:val="22"/>
              </w:rPr>
              <w:t>千克</w:t>
            </w:r>
            <w:r>
              <w:rPr>
                <w:rFonts w:ascii="Times New Roman" w:hAnsi="Times New Roman" w:eastAsia="仿宋" w:cs="Times New Roman"/>
                <w:sz w:val="22"/>
                <w:szCs w:val="22"/>
              </w:rPr>
              <w:t>/</w:t>
            </w:r>
            <w:r>
              <w:rPr>
                <w:rFonts w:hint="eastAsia" w:ascii="Times New Roman" w:hAnsi="Times New Roman" w:eastAsia="仿宋" w:cs="仿宋"/>
                <w:sz w:val="22"/>
                <w:szCs w:val="22"/>
              </w:rPr>
              <w:t>亩。</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化肥减量增效工程</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主要包括农田氮磷生态拦截沟渠示范项目、水肥一体化项目、有机肥采购施用项目。</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农药减量增效工程</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主要包括安装频振式杀虫灯、推广使用黄板、生物农药等达到农药减量效果。</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环保型饲料研究</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继续推广畜禽粪便多技术生态种养循环模式，通过对规模化养殖场采用干清粪工艺、加入环保型饲料等方式进行粪便源头减量的研究和推广</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科学制定废旧农膜回收补贴政策</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落实农膜以旧换新补贴制度、可降解地膜使用补贴政策，鼓励和引导农业生产经营者和农民回收废弃农膜。</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6</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构建农作物秸秆多元化利用体系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集成推广农作物秸秆综合利用模式，推进农作物秸秆还田肥料化、能源化、原料化、饲料化、食用菌基料化等资源化利用。</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县农业农村局、县经信局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7</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完善废旧农膜统计制度</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针对废旧农膜建立产生、处置和和资源化利用量统计方法，摸清底数。</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县农业农村局、县经信局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农作物秸秆综合利用工程</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继续推进秸秆全量利用，就地还田的利用方式，针对目前存在的虫害、新田插秧难的问题，可邀请专家咨询并开展专题研究</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9</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秸秆综合利用多技术研究</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因地制宜地开展秸秆综合利用多技术研究，对于效果较好的技术逐步扩大规模，力争实现技术示范及推广应用，有效促进秸秆收集社会化服务和燃料化利用。</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10</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畜禽排泄物资源化利用</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重点推进畜禽粪污资源化利用，着力推动岱山县岱山县联达牧场畜禽排泄物资源化利用工程、岱山县衢山镇病死动物收集点建设。</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11</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再生资源回收公司开展农膜回收业务拓展</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落实全县再生资源回收体系中的再生资源公司，开展可再次利用的农膜回收业务</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供销社、市生态环境局岱山分局、县农业农村局、县综合行政执法局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12</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科学落实废弃农药包装物回收奖励政策</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落实农药包装物废弃物回收奖励、使用者押金返还等制度，引导农药使用者主动交回农药包装废弃物。</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13</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提升畜禽养殖场污染防治能力</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实施畜禽养殖场改造，推广雨污分流、干湿分离和设施化处理技术，从源头上减少污染的产生，便于养殖污染物的后续处理利用。</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14</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提升废弃农药包装物处置能力</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加快落实市域内废弃农业废弃物处置企业，补齐农药废弃物、包装物的处置短板。</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15</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完善病死动物处置流程管理办法及政策机制</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明确病死猪收集、处置流程全过程监管。</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16</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制定废旧农膜回收利用处置管理实施意见</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建立农膜回收处理实施办法，明确相关单位职责，加强有效监管，建立回收、运输处置利用、监管体系，对提出补贴指导性意见</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县农业农村局、县供销社</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17</w:t>
            </w:r>
          </w:p>
        </w:tc>
        <w:tc>
          <w:tcPr>
            <w:tcW w:w="187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落实农药废弃包装物回收、处置管理办法</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落实农药废弃包装物回收、处置</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bl>
    <w:p>
      <w:pPr>
        <w:ind w:firstLine="560" w:firstLineChars="200"/>
        <w:rPr>
          <w:b/>
          <w:bCs/>
          <w:sz w:val="32"/>
          <w:szCs w:val="32"/>
        </w:rPr>
        <w:sectPr>
          <w:pgSz w:w="16838" w:h="11906" w:orient="landscape"/>
          <w:pgMar w:top="1800" w:right="1440" w:bottom="1800" w:left="1440" w:header="851" w:footer="992" w:gutter="0"/>
          <w:cols w:space="425" w:num="1"/>
          <w:docGrid w:type="lines" w:linePitch="312" w:charSpace="0"/>
        </w:sectPr>
      </w:pPr>
      <w:r>
        <w:t xml:space="preserve"> </w:t>
      </w:r>
    </w:p>
    <w:p>
      <w:pPr>
        <w:keepNext/>
        <w:keepLines/>
        <w:spacing w:before="260" w:after="260" w:line="240" w:lineRule="atLeast"/>
        <w:outlineLvl w:val="1"/>
        <w:rPr>
          <w:b/>
          <w:bCs/>
          <w:sz w:val="32"/>
          <w:szCs w:val="32"/>
        </w:rPr>
      </w:pPr>
      <w:bookmarkStart w:id="17" w:name="_Toc43909910"/>
      <w:r>
        <w:rPr>
          <w:rFonts w:hint="eastAsia" w:cs="仿宋"/>
          <w:b/>
          <w:bCs/>
          <w:sz w:val="32"/>
          <w:szCs w:val="32"/>
        </w:rPr>
        <w:t>五、医疗机构废弃物任务和进度安排</w:t>
      </w:r>
      <w:bookmarkEnd w:id="10"/>
      <w:bookmarkEnd w:id="11"/>
      <w:bookmarkEnd w:id="17"/>
    </w:p>
    <w:tbl>
      <w:tblPr>
        <w:tblStyle w:val="15"/>
        <w:tblW w:w="1417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877"/>
        <w:gridCol w:w="6946"/>
        <w:gridCol w:w="1701"/>
        <w:gridCol w:w="198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9"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序号</w:t>
            </w:r>
          </w:p>
        </w:tc>
        <w:tc>
          <w:tcPr>
            <w:tcW w:w="1877"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主要任务</w:t>
            </w:r>
          </w:p>
        </w:tc>
        <w:tc>
          <w:tcPr>
            <w:tcW w:w="6946"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主要内容</w:t>
            </w:r>
          </w:p>
        </w:tc>
        <w:tc>
          <w:tcPr>
            <w:tcW w:w="1701"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责任单位</w:t>
            </w:r>
          </w:p>
        </w:tc>
        <w:tc>
          <w:tcPr>
            <w:tcW w:w="1985"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配合单位</w:t>
            </w:r>
          </w:p>
        </w:tc>
        <w:tc>
          <w:tcPr>
            <w:tcW w:w="1166" w:type="dxa"/>
            <w:shd w:val="clear" w:color="auto" w:fill="D8D8D8"/>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w:t>
            </w:r>
          </w:p>
        </w:tc>
        <w:tc>
          <w:tcPr>
            <w:tcW w:w="187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加强医疗机构内部废弃物源头分类和管理</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根据《关于在医疗机构推进生活垃圾分类管理的通知》（国卫办医发</w:t>
            </w:r>
            <w:r>
              <w:rPr>
                <w:rFonts w:ascii="Times New Roman" w:hAnsi="Times New Roman" w:eastAsia="仿宋" w:cs="Times New Roman"/>
                <w:sz w:val="22"/>
                <w:szCs w:val="22"/>
              </w:rPr>
              <w:t>[2017]30</w:t>
            </w:r>
            <w:r>
              <w:rPr>
                <w:rFonts w:hint="eastAsia" w:ascii="Times New Roman" w:hAnsi="Times New Roman" w:eastAsia="仿宋" w:cs="仿宋"/>
                <w:sz w:val="22"/>
                <w:szCs w:val="22"/>
              </w:rPr>
              <w:t>号）标准，进一步落实《舟山市公立医院垃圾分类实施方案》（舟卫发</w:t>
            </w:r>
            <w:r>
              <w:rPr>
                <w:rFonts w:ascii="Times New Roman" w:hAnsi="Times New Roman" w:eastAsia="仿宋" w:cs="Times New Roman"/>
                <w:sz w:val="22"/>
                <w:szCs w:val="22"/>
              </w:rPr>
              <w:t>[2019]90</w:t>
            </w:r>
            <w:r>
              <w:rPr>
                <w:rFonts w:hint="eastAsia" w:ascii="Times New Roman" w:hAnsi="Times New Roman" w:eastAsia="仿宋" w:cs="仿宋"/>
                <w:sz w:val="22"/>
                <w:szCs w:val="22"/>
              </w:rPr>
              <w:t>号），加强医疗机构中的可回收物进行分类处置。</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县卫生健康局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县经信局、市生态环境局岱山分局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w:t>
            </w:r>
          </w:p>
        </w:tc>
        <w:tc>
          <w:tcPr>
            <w:tcW w:w="187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完善医疗卫生机构可回收物的市场体系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落实舟山市医疗卫生机构可回收物管理要求，确保辖区内医疗机构输液瓶</w:t>
            </w:r>
            <w:r>
              <w:rPr>
                <w:rFonts w:ascii="Times New Roman" w:hAnsi="Times New Roman" w:eastAsia="仿宋" w:cs="Times New Roman"/>
                <w:sz w:val="22"/>
                <w:szCs w:val="22"/>
              </w:rPr>
              <w:t>(</w:t>
            </w:r>
            <w:r>
              <w:rPr>
                <w:rFonts w:hint="eastAsia" w:ascii="Times New Roman" w:hAnsi="Times New Roman" w:eastAsia="仿宋" w:cs="仿宋"/>
                <w:sz w:val="22"/>
                <w:szCs w:val="22"/>
              </w:rPr>
              <w:t>袋</w:t>
            </w:r>
            <w:r>
              <w:rPr>
                <w:rFonts w:ascii="Times New Roman" w:hAnsi="Times New Roman" w:eastAsia="仿宋" w:cs="Times New Roman"/>
                <w:sz w:val="22"/>
                <w:szCs w:val="22"/>
              </w:rPr>
              <w:t>)</w:t>
            </w:r>
            <w:r>
              <w:rPr>
                <w:rFonts w:hint="eastAsia" w:ascii="Times New Roman" w:hAnsi="Times New Roman" w:eastAsia="仿宋" w:cs="仿宋"/>
                <w:sz w:val="22"/>
                <w:szCs w:val="22"/>
              </w:rPr>
              <w:t>回收和利用全覆盖。到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年底，岱山县医疗卫生机构可回收物资源回收率达到</w:t>
            </w:r>
            <w:r>
              <w:rPr>
                <w:rFonts w:ascii="Times New Roman" w:hAnsi="Times New Roman" w:eastAsia="仿宋" w:cs="Times New Roman"/>
                <w:sz w:val="22"/>
                <w:szCs w:val="22"/>
              </w:rPr>
              <w:t>80%</w:t>
            </w:r>
            <w:r>
              <w:rPr>
                <w:rFonts w:hint="eastAsia" w:ascii="Times New Roman" w:hAnsi="Times New Roman" w:eastAsia="仿宋" w:cs="仿宋"/>
                <w:sz w:val="22"/>
                <w:szCs w:val="22"/>
              </w:rPr>
              <w:t>以上。</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县卫生健康局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w:t>
            </w:r>
          </w:p>
        </w:tc>
        <w:tc>
          <w:tcPr>
            <w:tcW w:w="187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加强医疗废物处置收费机制</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完善医疗废物处置价格形成机制和收费方式。</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县卫生健康局、市生态环境局岱山分局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w:t>
            </w:r>
          </w:p>
        </w:tc>
        <w:tc>
          <w:tcPr>
            <w:tcW w:w="187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落实医疗机构可回收物的回收利用体系建设</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按照</w:t>
            </w:r>
            <w:r>
              <w:rPr>
                <w:rFonts w:ascii="Times New Roman" w:hAnsi="Times New Roman" w:eastAsia="仿宋" w:cs="Times New Roman"/>
                <w:sz w:val="22"/>
                <w:szCs w:val="22"/>
              </w:rPr>
              <w:t>“</w:t>
            </w:r>
            <w:r>
              <w:rPr>
                <w:rFonts w:hint="eastAsia" w:ascii="Times New Roman" w:hAnsi="Times New Roman" w:eastAsia="仿宋" w:cs="仿宋"/>
                <w:sz w:val="22"/>
                <w:szCs w:val="22"/>
              </w:rPr>
              <w:t>闭环管理、定点定向、全程追溯</w:t>
            </w:r>
            <w:r>
              <w:rPr>
                <w:rFonts w:ascii="Times New Roman" w:hAnsi="Times New Roman" w:eastAsia="仿宋" w:cs="Times New Roman"/>
                <w:sz w:val="22"/>
                <w:szCs w:val="22"/>
              </w:rPr>
              <w:t>”</w:t>
            </w:r>
            <w:r>
              <w:rPr>
                <w:rFonts w:hint="eastAsia" w:ascii="Times New Roman" w:hAnsi="Times New Roman" w:eastAsia="仿宋" w:cs="仿宋"/>
                <w:sz w:val="22"/>
                <w:szCs w:val="22"/>
              </w:rPr>
              <w:t>的原则，落实医疗机构处理以及企业回收和利用的工作流程、技术规范和要求。</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县卫生健康局、市生态环境局岱山分局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w:t>
            </w:r>
          </w:p>
        </w:tc>
        <w:tc>
          <w:tcPr>
            <w:tcW w:w="187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建立医疗废物长效监管机制</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规范医疗卫生机构医疗废物内部管理和医疗废物处置经营单位管理，实现全过程监管；建立医疗废物管理信息共享机制、联合检查机制，定期对医疗卫生机构、医疗废物集中处置单位开展联合检查。</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市生态环境局岱山分局、县经信局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县卫生健康局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6</w:t>
            </w:r>
          </w:p>
        </w:tc>
        <w:tc>
          <w:tcPr>
            <w:tcW w:w="187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医疗废物</w:t>
            </w:r>
            <w:r>
              <w:rPr>
                <w:rFonts w:ascii="Times New Roman" w:hAnsi="Times New Roman" w:eastAsia="仿宋" w:cs="Times New Roman"/>
                <w:sz w:val="22"/>
                <w:szCs w:val="22"/>
              </w:rPr>
              <w:t>“</w:t>
            </w:r>
            <w:r>
              <w:rPr>
                <w:rFonts w:hint="eastAsia" w:ascii="Times New Roman" w:hAnsi="Times New Roman" w:eastAsia="仿宋" w:cs="仿宋"/>
                <w:sz w:val="22"/>
                <w:szCs w:val="22"/>
              </w:rPr>
              <w:t>互联网</w:t>
            </w:r>
            <w:r>
              <w:rPr>
                <w:rFonts w:ascii="Times New Roman" w:hAnsi="Times New Roman" w:eastAsia="仿宋" w:cs="Times New Roman"/>
                <w:sz w:val="22"/>
                <w:szCs w:val="22"/>
              </w:rPr>
              <w:t>+”</w:t>
            </w:r>
            <w:r>
              <w:rPr>
                <w:rFonts w:hint="eastAsia" w:ascii="Times New Roman" w:hAnsi="Times New Roman" w:eastAsia="仿宋" w:cs="仿宋"/>
                <w:sz w:val="22"/>
                <w:szCs w:val="22"/>
              </w:rPr>
              <w:t>监督技术体系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推进</w:t>
            </w:r>
            <w:r>
              <w:rPr>
                <w:rFonts w:ascii="Times New Roman" w:hAnsi="Times New Roman" w:eastAsia="仿宋" w:cs="Times New Roman"/>
                <w:sz w:val="22"/>
                <w:szCs w:val="22"/>
              </w:rPr>
              <w:t>“</w:t>
            </w:r>
            <w:r>
              <w:rPr>
                <w:rFonts w:hint="eastAsia" w:ascii="Times New Roman" w:hAnsi="Times New Roman" w:eastAsia="仿宋" w:cs="仿宋"/>
                <w:sz w:val="22"/>
                <w:szCs w:val="22"/>
              </w:rPr>
              <w:t>互联网</w:t>
            </w:r>
            <w:r>
              <w:rPr>
                <w:rFonts w:ascii="Times New Roman" w:hAnsi="Times New Roman" w:eastAsia="仿宋" w:cs="Times New Roman"/>
                <w:sz w:val="22"/>
                <w:szCs w:val="22"/>
              </w:rPr>
              <w:t>+”</w:t>
            </w:r>
            <w:r>
              <w:rPr>
                <w:rFonts w:hint="eastAsia" w:ascii="Times New Roman" w:hAnsi="Times New Roman" w:eastAsia="仿宋" w:cs="仿宋"/>
                <w:sz w:val="22"/>
                <w:szCs w:val="22"/>
              </w:rPr>
              <w:t>智慧监管，全面实现与省级医疗废物智慧监管平台对接，以形成可追溯的医疗废物监管大闭环，实现全过程精准监管。</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县卫生康健局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116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7</w:t>
            </w:r>
          </w:p>
        </w:tc>
        <w:tc>
          <w:tcPr>
            <w:tcW w:w="187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完善医疗废物收运体系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全面推行医疗废物</w:t>
            </w:r>
            <w:r>
              <w:rPr>
                <w:rFonts w:ascii="Times New Roman" w:hAnsi="Times New Roman" w:eastAsia="仿宋" w:cs="Times New Roman"/>
                <w:sz w:val="22"/>
                <w:szCs w:val="22"/>
              </w:rPr>
              <w:t>“</w:t>
            </w:r>
            <w:r>
              <w:rPr>
                <w:rFonts w:hint="eastAsia" w:ascii="Times New Roman" w:hAnsi="Times New Roman" w:eastAsia="仿宋" w:cs="仿宋"/>
                <w:sz w:val="22"/>
                <w:szCs w:val="22"/>
              </w:rPr>
              <w:t>小箱进大箱</w:t>
            </w:r>
            <w:r>
              <w:rPr>
                <w:rFonts w:ascii="Times New Roman" w:hAnsi="Times New Roman" w:eastAsia="仿宋" w:cs="Times New Roman"/>
                <w:sz w:val="22"/>
                <w:szCs w:val="22"/>
              </w:rPr>
              <w:t>”</w:t>
            </w:r>
            <w:r>
              <w:rPr>
                <w:rFonts w:hint="eastAsia" w:ascii="Times New Roman" w:hAnsi="Times New Roman" w:eastAsia="仿宋" w:cs="仿宋"/>
                <w:sz w:val="22"/>
                <w:szCs w:val="22"/>
              </w:rPr>
              <w:t>，加大政府补贴和财政投入，建立完善城乡（海岛）医疗废物收运体系，优化收运路线，合理安排收运时间和频次，提高收运效率，确保城区医疗废物</w:t>
            </w:r>
            <w:r>
              <w:rPr>
                <w:rFonts w:ascii="Times New Roman" w:hAnsi="Times New Roman" w:eastAsia="仿宋" w:cs="Times New Roman"/>
                <w:sz w:val="22"/>
                <w:szCs w:val="22"/>
              </w:rPr>
              <w:t>48</w:t>
            </w:r>
            <w:r>
              <w:rPr>
                <w:rFonts w:hint="eastAsia" w:ascii="Times New Roman" w:hAnsi="Times New Roman" w:eastAsia="仿宋" w:cs="仿宋"/>
                <w:sz w:val="22"/>
                <w:szCs w:val="22"/>
              </w:rPr>
              <w:t>小时内得到妥善处置，实现医疗废物集中收集网络体系全覆盖。</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县卫生健康局</w:t>
            </w:r>
          </w:p>
        </w:tc>
        <w:tc>
          <w:tcPr>
            <w:tcW w:w="1985"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县财政局、市生态环境局岱山分局</w:t>
            </w: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w:t>
            </w:r>
          </w:p>
        </w:tc>
        <w:tc>
          <w:tcPr>
            <w:tcW w:w="187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开展医疗机构废弃物专项整治</w:t>
            </w:r>
          </w:p>
        </w:tc>
        <w:tc>
          <w:tcPr>
            <w:tcW w:w="694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在全县范围内开展医疗机构废弃物专项整治行动，重点整治医疗机构不规范分类和存贮、不规范登记和交接废弃物、虚报瞒报医疗废物产生量、非法倒卖医疗废物，医疗机构外医疗废物处置脱离闭环管理，以及有关企业违法违规回收和利用医疗机构废弃物等行为。</w:t>
            </w:r>
          </w:p>
        </w:tc>
        <w:tc>
          <w:tcPr>
            <w:tcW w:w="1701"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市生态环境局岱山分局、县卫生康健局</w:t>
            </w:r>
          </w:p>
        </w:tc>
        <w:tc>
          <w:tcPr>
            <w:tcW w:w="1985" w:type="dxa"/>
            <w:vAlign w:val="center"/>
          </w:tcPr>
          <w:p>
            <w:pPr>
              <w:pStyle w:val="35"/>
              <w:rPr>
                <w:rFonts w:ascii="Times New Roman" w:hAnsi="Times New Roman" w:eastAsia="仿宋" w:cs="Times New Roman"/>
                <w:sz w:val="22"/>
                <w:szCs w:val="22"/>
              </w:rPr>
            </w:pPr>
          </w:p>
        </w:tc>
        <w:tc>
          <w:tcPr>
            <w:tcW w:w="116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2021.06</w:t>
            </w:r>
          </w:p>
        </w:tc>
      </w:tr>
    </w:tbl>
    <w:p>
      <w:pPr>
        <w:rPr>
          <w:sz w:val="24"/>
          <w:szCs w:val="24"/>
        </w:rPr>
        <w:sectPr>
          <w:pgSz w:w="16838" w:h="11906" w:orient="landscape"/>
          <w:pgMar w:top="1800" w:right="1440" w:bottom="1800" w:left="1440" w:header="851" w:footer="992" w:gutter="0"/>
          <w:cols w:space="425" w:num="1"/>
          <w:docGrid w:type="lines" w:linePitch="312" w:charSpace="0"/>
        </w:sectPr>
      </w:pPr>
    </w:p>
    <w:p>
      <w:pPr>
        <w:keepNext/>
        <w:keepLines/>
        <w:spacing w:before="260" w:after="260" w:line="416" w:lineRule="auto"/>
        <w:outlineLvl w:val="1"/>
        <w:rPr>
          <w:b/>
          <w:bCs/>
          <w:sz w:val="32"/>
          <w:szCs w:val="32"/>
        </w:rPr>
      </w:pPr>
      <w:bookmarkStart w:id="18" w:name="_Toc43909911"/>
      <w:bookmarkStart w:id="19" w:name="_Toc43308216"/>
      <w:r>
        <w:rPr>
          <w:rFonts w:hint="eastAsia" w:cs="仿宋"/>
          <w:b/>
          <w:bCs/>
          <w:sz w:val="32"/>
          <w:szCs w:val="32"/>
        </w:rPr>
        <w:t>六、海洋废弃物任务和进度安排</w:t>
      </w:r>
      <w:bookmarkEnd w:id="18"/>
    </w:p>
    <w:tbl>
      <w:tblPr>
        <w:tblStyle w:val="15"/>
        <w:tblW w:w="1414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913"/>
        <w:gridCol w:w="6946"/>
        <w:gridCol w:w="1701"/>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blHeader/>
        </w:trPr>
        <w:tc>
          <w:tcPr>
            <w:tcW w:w="468" w:type="dxa"/>
            <w:shd w:val="clear" w:color="auto" w:fill="D9D9D9"/>
            <w:vAlign w:val="center"/>
          </w:tcPr>
          <w:p>
            <w:pPr>
              <w:jc w:val="center"/>
              <w:rPr>
                <w:b/>
                <w:bCs/>
                <w:sz w:val="22"/>
                <w:szCs w:val="22"/>
              </w:rPr>
            </w:pPr>
            <w:r>
              <w:rPr>
                <w:rFonts w:hint="eastAsia" w:cs="仿宋"/>
                <w:b/>
                <w:bCs/>
                <w:sz w:val="22"/>
                <w:szCs w:val="22"/>
              </w:rPr>
              <w:t>序号</w:t>
            </w:r>
          </w:p>
        </w:tc>
        <w:tc>
          <w:tcPr>
            <w:tcW w:w="1913" w:type="dxa"/>
            <w:shd w:val="clear" w:color="auto" w:fill="D9D9D9"/>
            <w:vAlign w:val="center"/>
          </w:tcPr>
          <w:p>
            <w:pPr>
              <w:jc w:val="center"/>
              <w:rPr>
                <w:b/>
                <w:bCs/>
                <w:sz w:val="22"/>
                <w:szCs w:val="22"/>
              </w:rPr>
            </w:pPr>
            <w:r>
              <w:rPr>
                <w:rFonts w:hint="eastAsia" w:cs="仿宋"/>
                <w:b/>
                <w:bCs/>
                <w:sz w:val="22"/>
                <w:szCs w:val="22"/>
              </w:rPr>
              <w:t>主要任务</w:t>
            </w:r>
          </w:p>
        </w:tc>
        <w:tc>
          <w:tcPr>
            <w:tcW w:w="6946" w:type="dxa"/>
            <w:shd w:val="clear" w:color="auto" w:fill="D9D9D9"/>
            <w:vAlign w:val="center"/>
          </w:tcPr>
          <w:p>
            <w:pPr>
              <w:jc w:val="center"/>
              <w:rPr>
                <w:b/>
                <w:bCs/>
                <w:sz w:val="22"/>
                <w:szCs w:val="22"/>
              </w:rPr>
            </w:pPr>
            <w:r>
              <w:rPr>
                <w:rFonts w:hint="eastAsia" w:cs="仿宋"/>
                <w:b/>
                <w:bCs/>
                <w:sz w:val="22"/>
                <w:szCs w:val="22"/>
              </w:rPr>
              <w:t>主要内容</w:t>
            </w:r>
          </w:p>
        </w:tc>
        <w:tc>
          <w:tcPr>
            <w:tcW w:w="1701" w:type="dxa"/>
            <w:shd w:val="clear" w:color="auto" w:fill="D9D9D9"/>
            <w:vAlign w:val="center"/>
          </w:tcPr>
          <w:p>
            <w:pPr>
              <w:jc w:val="center"/>
              <w:rPr>
                <w:b/>
                <w:bCs/>
                <w:sz w:val="22"/>
                <w:szCs w:val="22"/>
              </w:rPr>
            </w:pPr>
            <w:r>
              <w:rPr>
                <w:rFonts w:hint="eastAsia" w:cs="仿宋"/>
                <w:b/>
                <w:bCs/>
                <w:sz w:val="22"/>
                <w:szCs w:val="22"/>
              </w:rPr>
              <w:t>责任单位</w:t>
            </w:r>
          </w:p>
        </w:tc>
        <w:tc>
          <w:tcPr>
            <w:tcW w:w="1985" w:type="dxa"/>
            <w:shd w:val="clear" w:color="auto" w:fill="D9D9D9"/>
            <w:vAlign w:val="center"/>
          </w:tcPr>
          <w:p>
            <w:pPr>
              <w:jc w:val="center"/>
              <w:rPr>
                <w:b/>
                <w:bCs/>
                <w:sz w:val="22"/>
                <w:szCs w:val="22"/>
              </w:rPr>
            </w:pPr>
            <w:r>
              <w:rPr>
                <w:rFonts w:hint="eastAsia" w:cs="仿宋"/>
                <w:b/>
                <w:bCs/>
                <w:sz w:val="22"/>
                <w:szCs w:val="22"/>
              </w:rPr>
              <w:t>配合单位</w:t>
            </w:r>
          </w:p>
        </w:tc>
        <w:tc>
          <w:tcPr>
            <w:tcW w:w="1134" w:type="dxa"/>
            <w:shd w:val="clear" w:color="auto" w:fill="D9D9D9"/>
            <w:vAlign w:val="center"/>
          </w:tcPr>
          <w:p>
            <w:pPr>
              <w:jc w:val="center"/>
              <w:rPr>
                <w:b/>
                <w:bCs/>
                <w:sz w:val="22"/>
                <w:szCs w:val="22"/>
              </w:rPr>
            </w:pPr>
            <w:r>
              <w:rPr>
                <w:rFonts w:hint="eastAsia" w:cs="仿宋"/>
                <w:b/>
                <w:bCs/>
                <w:sz w:val="22"/>
                <w:szCs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 w:val="22"/>
                <w:szCs w:val="22"/>
              </w:rPr>
            </w:pPr>
            <w:r>
              <w:rPr>
                <w:b/>
                <w:bCs/>
                <w:sz w:val="22"/>
                <w:szCs w:val="22"/>
              </w:rPr>
              <w:t>1</w:t>
            </w:r>
          </w:p>
        </w:tc>
        <w:tc>
          <w:tcPr>
            <w:tcW w:w="1913" w:type="dxa"/>
            <w:vAlign w:val="center"/>
          </w:tcPr>
          <w:p>
            <w:pPr>
              <w:jc w:val="center"/>
              <w:rPr>
                <w:sz w:val="22"/>
                <w:szCs w:val="22"/>
              </w:rPr>
            </w:pPr>
            <w:r>
              <w:rPr>
                <w:rFonts w:hint="eastAsia" w:cs="仿宋"/>
                <w:sz w:val="22"/>
                <w:szCs w:val="22"/>
              </w:rPr>
              <w:t>提升港口码头公共设施建设</w:t>
            </w:r>
          </w:p>
        </w:tc>
        <w:tc>
          <w:tcPr>
            <w:tcW w:w="6946" w:type="dxa"/>
            <w:vAlign w:val="center"/>
          </w:tcPr>
          <w:p>
            <w:pPr>
              <w:jc w:val="center"/>
              <w:rPr>
                <w:sz w:val="22"/>
                <w:szCs w:val="22"/>
              </w:rPr>
            </w:pPr>
            <w:r>
              <w:rPr>
                <w:rFonts w:hint="eastAsia" w:cs="仿宋"/>
                <w:sz w:val="22"/>
                <w:szCs w:val="22"/>
              </w:rPr>
              <w:t>全面排查整改现有码头环保设施建设运行情况，建设与城市管网相连的船舶生活污水固定集中接收点，完成客运码头、公务码头、企业自备交通码头岸电设施改造。</w:t>
            </w:r>
          </w:p>
        </w:tc>
        <w:tc>
          <w:tcPr>
            <w:tcW w:w="1701" w:type="dxa"/>
            <w:vAlign w:val="center"/>
          </w:tcPr>
          <w:p>
            <w:pPr>
              <w:jc w:val="center"/>
              <w:rPr>
                <w:sz w:val="22"/>
                <w:szCs w:val="22"/>
              </w:rPr>
            </w:pPr>
            <w:r>
              <w:rPr>
                <w:rFonts w:hint="eastAsia" w:cs="仿宋"/>
                <w:sz w:val="22"/>
                <w:szCs w:val="22"/>
              </w:rPr>
              <w:t>县交通运输局（港航分局）</w:t>
            </w:r>
          </w:p>
        </w:tc>
        <w:tc>
          <w:tcPr>
            <w:tcW w:w="1985" w:type="dxa"/>
            <w:vAlign w:val="center"/>
          </w:tcPr>
          <w:p>
            <w:pPr>
              <w:jc w:val="center"/>
              <w:rPr>
                <w:sz w:val="22"/>
                <w:szCs w:val="22"/>
              </w:rPr>
            </w:pPr>
            <w:r>
              <w:rPr>
                <w:rFonts w:hint="eastAsia" w:cs="仿宋"/>
                <w:sz w:val="22"/>
                <w:szCs w:val="22"/>
              </w:rPr>
              <w:t>县住建局、县经信局、岱山海事处、市生态环境局岱山分局</w:t>
            </w:r>
          </w:p>
        </w:tc>
        <w:tc>
          <w:tcPr>
            <w:tcW w:w="1134" w:type="dxa"/>
            <w:vAlign w:val="center"/>
          </w:tcPr>
          <w:p>
            <w:pPr>
              <w:jc w:val="center"/>
              <w:rPr>
                <w:sz w:val="22"/>
                <w:szCs w:val="22"/>
              </w:rPr>
            </w:pPr>
            <w:r>
              <w:rPr>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 w:val="22"/>
                <w:szCs w:val="22"/>
              </w:rPr>
            </w:pPr>
            <w:r>
              <w:rPr>
                <w:b/>
                <w:bCs/>
                <w:sz w:val="22"/>
                <w:szCs w:val="22"/>
              </w:rPr>
              <w:t>2</w:t>
            </w:r>
          </w:p>
        </w:tc>
        <w:tc>
          <w:tcPr>
            <w:tcW w:w="1913" w:type="dxa"/>
            <w:vAlign w:val="center"/>
          </w:tcPr>
          <w:p>
            <w:pPr>
              <w:jc w:val="center"/>
              <w:rPr>
                <w:sz w:val="22"/>
                <w:szCs w:val="22"/>
              </w:rPr>
            </w:pPr>
            <w:r>
              <w:rPr>
                <w:rFonts w:hint="eastAsia" w:cs="仿宋"/>
                <w:sz w:val="22"/>
                <w:szCs w:val="22"/>
              </w:rPr>
              <w:t>配置船舶污染物收集或处置设施</w:t>
            </w:r>
          </w:p>
        </w:tc>
        <w:tc>
          <w:tcPr>
            <w:tcW w:w="6946" w:type="dxa"/>
            <w:vAlign w:val="center"/>
          </w:tcPr>
          <w:p>
            <w:pPr>
              <w:jc w:val="center"/>
              <w:rPr>
                <w:sz w:val="22"/>
                <w:szCs w:val="22"/>
              </w:rPr>
            </w:pPr>
            <w:r>
              <w:rPr>
                <w:rFonts w:hint="eastAsia" w:cs="仿宋"/>
                <w:sz w:val="22"/>
                <w:szCs w:val="22"/>
              </w:rPr>
              <w:t>按规定为新建船舶配置水污染物收集或处置装置；对不能实现处理装置污水达标排放或水污染物收集的岛际客船和</w:t>
            </w:r>
            <w:r>
              <w:rPr>
                <w:sz w:val="22"/>
                <w:szCs w:val="22"/>
              </w:rPr>
              <w:t>400</w:t>
            </w:r>
            <w:r>
              <w:rPr>
                <w:rFonts w:hint="eastAsia" w:cs="仿宋"/>
                <w:sz w:val="22"/>
                <w:szCs w:val="22"/>
              </w:rPr>
              <w:t>吨及以上船舶及时整改；确保垃圾实行分类收集、船舶环保设施设备有效运行、船舶水污染物排入接收设施交岸处置、配置的防污器材状况良好。</w:t>
            </w:r>
          </w:p>
        </w:tc>
        <w:tc>
          <w:tcPr>
            <w:tcW w:w="1701" w:type="dxa"/>
            <w:vAlign w:val="center"/>
          </w:tcPr>
          <w:p>
            <w:pPr>
              <w:jc w:val="center"/>
              <w:rPr>
                <w:sz w:val="22"/>
                <w:szCs w:val="22"/>
              </w:rPr>
            </w:pPr>
            <w:r>
              <w:rPr>
                <w:rFonts w:hint="eastAsia" w:cs="仿宋"/>
                <w:sz w:val="22"/>
                <w:szCs w:val="22"/>
              </w:rPr>
              <w:t>县交通运输局（港航分局）</w:t>
            </w:r>
          </w:p>
        </w:tc>
        <w:tc>
          <w:tcPr>
            <w:tcW w:w="1985" w:type="dxa"/>
            <w:vAlign w:val="center"/>
          </w:tcPr>
          <w:p>
            <w:pPr>
              <w:jc w:val="center"/>
              <w:rPr>
                <w:sz w:val="22"/>
                <w:szCs w:val="22"/>
              </w:rPr>
            </w:pPr>
            <w:r>
              <w:rPr>
                <w:rFonts w:hint="eastAsia" w:cs="仿宋"/>
                <w:sz w:val="22"/>
                <w:szCs w:val="22"/>
              </w:rPr>
              <w:t>岱山海事处</w:t>
            </w:r>
          </w:p>
        </w:tc>
        <w:tc>
          <w:tcPr>
            <w:tcW w:w="1134" w:type="dxa"/>
            <w:vAlign w:val="center"/>
          </w:tcPr>
          <w:p>
            <w:pPr>
              <w:jc w:val="center"/>
              <w:rPr>
                <w:sz w:val="22"/>
                <w:szCs w:val="22"/>
              </w:rPr>
            </w:pPr>
            <w:r>
              <w:rPr>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 w:val="22"/>
                <w:szCs w:val="22"/>
              </w:rPr>
            </w:pPr>
            <w:r>
              <w:rPr>
                <w:b/>
                <w:bCs/>
                <w:sz w:val="22"/>
                <w:szCs w:val="22"/>
              </w:rPr>
              <w:t>3</w:t>
            </w:r>
          </w:p>
        </w:tc>
        <w:tc>
          <w:tcPr>
            <w:tcW w:w="1913" w:type="dxa"/>
            <w:vAlign w:val="center"/>
          </w:tcPr>
          <w:p>
            <w:pPr>
              <w:jc w:val="center"/>
              <w:rPr>
                <w:sz w:val="22"/>
                <w:szCs w:val="22"/>
              </w:rPr>
            </w:pPr>
            <w:r>
              <w:rPr>
                <w:rFonts w:hint="eastAsia" w:cs="仿宋"/>
                <w:sz w:val="22"/>
                <w:szCs w:val="22"/>
              </w:rPr>
              <w:t>岛际客船生活污水系统改造</w:t>
            </w:r>
          </w:p>
        </w:tc>
        <w:tc>
          <w:tcPr>
            <w:tcW w:w="6946" w:type="dxa"/>
            <w:vAlign w:val="center"/>
          </w:tcPr>
          <w:p>
            <w:pPr>
              <w:jc w:val="center"/>
              <w:rPr>
                <w:sz w:val="22"/>
                <w:szCs w:val="22"/>
              </w:rPr>
            </w:pPr>
            <w:r>
              <w:rPr>
                <w:rFonts w:hint="eastAsia" w:cs="仿宋"/>
                <w:sz w:val="22"/>
                <w:szCs w:val="22"/>
              </w:rPr>
              <w:t>对本县符合条件的岛际客船全部按要求完成生活污水系统改造。</w:t>
            </w:r>
          </w:p>
        </w:tc>
        <w:tc>
          <w:tcPr>
            <w:tcW w:w="1701" w:type="dxa"/>
            <w:vAlign w:val="center"/>
          </w:tcPr>
          <w:p>
            <w:pPr>
              <w:jc w:val="center"/>
              <w:rPr>
                <w:sz w:val="22"/>
                <w:szCs w:val="22"/>
              </w:rPr>
            </w:pPr>
            <w:r>
              <w:rPr>
                <w:rFonts w:hint="eastAsia" w:cs="仿宋"/>
                <w:sz w:val="22"/>
                <w:szCs w:val="22"/>
              </w:rPr>
              <w:t>县交通运输局（港航分局）</w:t>
            </w:r>
          </w:p>
        </w:tc>
        <w:tc>
          <w:tcPr>
            <w:tcW w:w="1985" w:type="dxa"/>
            <w:vAlign w:val="center"/>
          </w:tcPr>
          <w:p>
            <w:pPr>
              <w:jc w:val="center"/>
              <w:rPr>
                <w:sz w:val="22"/>
                <w:szCs w:val="22"/>
              </w:rPr>
            </w:pPr>
            <w:r>
              <w:rPr>
                <w:rFonts w:hint="eastAsia" w:cs="仿宋"/>
                <w:sz w:val="22"/>
                <w:szCs w:val="22"/>
              </w:rPr>
              <w:t>岱山海事处</w:t>
            </w:r>
          </w:p>
        </w:tc>
        <w:tc>
          <w:tcPr>
            <w:tcW w:w="1134" w:type="dxa"/>
            <w:vAlign w:val="center"/>
          </w:tcPr>
          <w:p>
            <w:pPr>
              <w:jc w:val="center"/>
              <w:rPr>
                <w:sz w:val="22"/>
                <w:szCs w:val="22"/>
              </w:rPr>
            </w:pPr>
            <w:r>
              <w:rPr>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 w:val="22"/>
                <w:szCs w:val="22"/>
              </w:rPr>
            </w:pPr>
            <w:r>
              <w:rPr>
                <w:b/>
                <w:bCs/>
                <w:sz w:val="22"/>
                <w:szCs w:val="22"/>
              </w:rPr>
              <w:t>4</w:t>
            </w:r>
          </w:p>
        </w:tc>
        <w:tc>
          <w:tcPr>
            <w:tcW w:w="1913" w:type="dxa"/>
            <w:vAlign w:val="center"/>
          </w:tcPr>
          <w:p>
            <w:pPr>
              <w:jc w:val="center"/>
              <w:rPr>
                <w:sz w:val="22"/>
                <w:szCs w:val="22"/>
              </w:rPr>
            </w:pPr>
            <w:r>
              <w:rPr>
                <w:rFonts w:hint="eastAsia" w:cs="仿宋"/>
                <w:sz w:val="22"/>
                <w:szCs w:val="22"/>
              </w:rPr>
              <w:t>加大渔船生活污水处理装置覆盖面</w:t>
            </w:r>
          </w:p>
        </w:tc>
        <w:tc>
          <w:tcPr>
            <w:tcW w:w="6946" w:type="dxa"/>
            <w:vAlign w:val="center"/>
          </w:tcPr>
          <w:p>
            <w:pPr>
              <w:jc w:val="center"/>
              <w:rPr>
                <w:sz w:val="22"/>
                <w:szCs w:val="22"/>
              </w:rPr>
            </w:pPr>
            <w:r>
              <w:rPr>
                <w:rFonts w:hint="eastAsia" w:cs="仿宋"/>
                <w:sz w:val="22"/>
                <w:szCs w:val="22"/>
              </w:rPr>
              <w:t>加大渔船油污处理装置覆盖面，在县内</w:t>
            </w:r>
            <w:r>
              <w:rPr>
                <w:sz w:val="22"/>
                <w:szCs w:val="22"/>
              </w:rPr>
              <w:t>1300</w:t>
            </w:r>
            <w:r>
              <w:rPr>
                <w:rFonts w:hint="eastAsia" w:cs="仿宋"/>
                <w:sz w:val="22"/>
                <w:szCs w:val="22"/>
              </w:rPr>
              <w:t>余艘渔船上安装油污水分离器，县内</w:t>
            </w:r>
            <w:r>
              <w:rPr>
                <w:sz w:val="22"/>
                <w:szCs w:val="22"/>
              </w:rPr>
              <w:t>1800</w:t>
            </w:r>
            <w:r>
              <w:rPr>
                <w:rFonts w:hint="eastAsia" w:cs="仿宋"/>
                <w:sz w:val="22"/>
                <w:szCs w:val="22"/>
              </w:rPr>
              <w:t>余艘渔船全部配备垃圾分类桶，</w:t>
            </w:r>
            <w:r>
              <w:rPr>
                <w:sz w:val="22"/>
                <w:szCs w:val="22"/>
              </w:rPr>
              <w:t>2020</w:t>
            </w:r>
            <w:r>
              <w:rPr>
                <w:rFonts w:hint="eastAsia" w:cs="仿宋"/>
                <w:sz w:val="22"/>
                <w:szCs w:val="22"/>
              </w:rPr>
              <w:t>年底前力争实现渔船安装油污水分离器全覆盖。</w:t>
            </w:r>
          </w:p>
        </w:tc>
        <w:tc>
          <w:tcPr>
            <w:tcW w:w="1701" w:type="dxa"/>
            <w:vAlign w:val="center"/>
          </w:tcPr>
          <w:p>
            <w:pPr>
              <w:jc w:val="center"/>
              <w:rPr>
                <w:sz w:val="22"/>
                <w:szCs w:val="22"/>
              </w:rPr>
            </w:pPr>
            <w:r>
              <w:rPr>
                <w:rFonts w:hint="eastAsia" w:cs="仿宋"/>
                <w:sz w:val="22"/>
                <w:szCs w:val="22"/>
              </w:rPr>
              <w:t>县海洋与渔业局</w:t>
            </w:r>
          </w:p>
        </w:tc>
        <w:tc>
          <w:tcPr>
            <w:tcW w:w="1985" w:type="dxa"/>
            <w:vAlign w:val="center"/>
          </w:tcPr>
          <w:p>
            <w:pPr>
              <w:jc w:val="center"/>
              <w:rPr>
                <w:sz w:val="22"/>
                <w:szCs w:val="22"/>
              </w:rPr>
            </w:pPr>
            <w:r>
              <w:rPr>
                <w:rFonts w:hint="eastAsia" w:cs="仿宋"/>
                <w:sz w:val="22"/>
                <w:szCs w:val="22"/>
              </w:rPr>
              <w:t>市生态环境局岱山分局</w:t>
            </w:r>
          </w:p>
        </w:tc>
        <w:tc>
          <w:tcPr>
            <w:tcW w:w="1134" w:type="dxa"/>
            <w:vAlign w:val="center"/>
          </w:tcPr>
          <w:p>
            <w:pPr>
              <w:jc w:val="center"/>
              <w:rPr>
                <w:sz w:val="22"/>
                <w:szCs w:val="22"/>
              </w:rPr>
            </w:pPr>
            <w:r>
              <w:rPr>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 w:val="22"/>
                <w:szCs w:val="22"/>
              </w:rPr>
            </w:pPr>
            <w:r>
              <w:rPr>
                <w:b/>
                <w:bCs/>
                <w:sz w:val="22"/>
                <w:szCs w:val="22"/>
              </w:rPr>
              <w:t>5</w:t>
            </w:r>
          </w:p>
        </w:tc>
        <w:tc>
          <w:tcPr>
            <w:tcW w:w="1913" w:type="dxa"/>
            <w:vAlign w:val="center"/>
          </w:tcPr>
          <w:p>
            <w:pPr>
              <w:jc w:val="center"/>
              <w:rPr>
                <w:sz w:val="22"/>
                <w:szCs w:val="22"/>
              </w:rPr>
            </w:pPr>
            <w:r>
              <w:rPr>
                <w:rFonts w:hint="eastAsia" w:cs="仿宋"/>
                <w:sz w:val="22"/>
                <w:szCs w:val="22"/>
              </w:rPr>
              <w:t>落实《舟山市港口船舶水污染物接收、转运、处置联单及联合监管制度》</w:t>
            </w:r>
          </w:p>
        </w:tc>
        <w:tc>
          <w:tcPr>
            <w:tcW w:w="6946" w:type="dxa"/>
            <w:vAlign w:val="center"/>
          </w:tcPr>
          <w:p>
            <w:pPr>
              <w:jc w:val="center"/>
              <w:rPr>
                <w:sz w:val="22"/>
                <w:szCs w:val="22"/>
              </w:rPr>
            </w:pPr>
            <w:r>
              <w:rPr>
                <w:rFonts w:hint="eastAsia" w:cs="仿宋"/>
                <w:sz w:val="22"/>
                <w:szCs w:val="22"/>
              </w:rPr>
              <w:t>落实推进《舟山市港口船舶水污染物接收、转运、处置联单及联合监管制度》，开展联合监管行动。强化联合监管和信息联通，积极推进船舶水污染物接收转运处置全过程联单电子化管理，并按要求与省部建系统对接。</w:t>
            </w:r>
          </w:p>
        </w:tc>
        <w:tc>
          <w:tcPr>
            <w:tcW w:w="1701" w:type="dxa"/>
            <w:vAlign w:val="center"/>
          </w:tcPr>
          <w:p>
            <w:pPr>
              <w:jc w:val="center"/>
              <w:rPr>
                <w:sz w:val="22"/>
                <w:szCs w:val="22"/>
              </w:rPr>
            </w:pPr>
            <w:r>
              <w:rPr>
                <w:rFonts w:hint="eastAsia" w:cs="仿宋"/>
                <w:sz w:val="22"/>
                <w:szCs w:val="22"/>
              </w:rPr>
              <w:t>县交通运输局（港航分局）、岱山海事处</w:t>
            </w:r>
          </w:p>
        </w:tc>
        <w:tc>
          <w:tcPr>
            <w:tcW w:w="1985" w:type="dxa"/>
            <w:vAlign w:val="center"/>
          </w:tcPr>
          <w:p>
            <w:pPr>
              <w:jc w:val="center"/>
              <w:rPr>
                <w:sz w:val="22"/>
                <w:szCs w:val="22"/>
              </w:rPr>
            </w:pPr>
            <w:r>
              <w:rPr>
                <w:rFonts w:hint="eastAsia" w:cs="仿宋"/>
                <w:sz w:val="22"/>
                <w:szCs w:val="22"/>
              </w:rPr>
              <w:t>市生态环境局岱山分局、县综合行政执法局</w:t>
            </w:r>
          </w:p>
        </w:tc>
        <w:tc>
          <w:tcPr>
            <w:tcW w:w="1134" w:type="dxa"/>
            <w:vAlign w:val="center"/>
          </w:tcPr>
          <w:p>
            <w:pPr>
              <w:jc w:val="center"/>
              <w:rPr>
                <w:sz w:val="22"/>
                <w:szCs w:val="22"/>
              </w:rPr>
            </w:pPr>
            <w:r>
              <w:rPr>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 w:val="22"/>
                <w:szCs w:val="22"/>
              </w:rPr>
            </w:pPr>
            <w:r>
              <w:rPr>
                <w:b/>
                <w:bCs/>
                <w:sz w:val="22"/>
                <w:szCs w:val="22"/>
              </w:rPr>
              <w:t>6</w:t>
            </w:r>
          </w:p>
        </w:tc>
        <w:tc>
          <w:tcPr>
            <w:tcW w:w="1913" w:type="dxa"/>
            <w:vAlign w:val="center"/>
          </w:tcPr>
          <w:p>
            <w:pPr>
              <w:jc w:val="center"/>
              <w:rPr>
                <w:sz w:val="22"/>
                <w:szCs w:val="22"/>
              </w:rPr>
            </w:pPr>
            <w:r>
              <w:rPr>
                <w:rFonts w:hint="eastAsia" w:cs="仿宋"/>
                <w:sz w:val="22"/>
                <w:szCs w:val="22"/>
              </w:rPr>
              <w:t>建立失信联合惩戒对象名单管理制度</w:t>
            </w:r>
          </w:p>
        </w:tc>
        <w:tc>
          <w:tcPr>
            <w:tcW w:w="6946" w:type="dxa"/>
            <w:vAlign w:val="center"/>
          </w:tcPr>
          <w:p>
            <w:pPr>
              <w:jc w:val="center"/>
              <w:rPr>
                <w:sz w:val="22"/>
                <w:szCs w:val="22"/>
              </w:rPr>
            </w:pPr>
            <w:r>
              <w:rPr>
                <w:rFonts w:hint="eastAsia" w:cs="仿宋"/>
                <w:sz w:val="22"/>
                <w:szCs w:val="22"/>
              </w:rPr>
              <w:t>加强船舶防污染设施设备配备、使用情况的监督检查，依法严肃处罚，建立失信联合惩戒对象名单管理制度，每月对社会公布违法排污行为查处情况。</w:t>
            </w:r>
          </w:p>
        </w:tc>
        <w:tc>
          <w:tcPr>
            <w:tcW w:w="1701" w:type="dxa"/>
            <w:vAlign w:val="center"/>
          </w:tcPr>
          <w:p>
            <w:pPr>
              <w:jc w:val="center"/>
              <w:rPr>
                <w:sz w:val="22"/>
                <w:szCs w:val="22"/>
              </w:rPr>
            </w:pPr>
            <w:r>
              <w:rPr>
                <w:rFonts w:hint="eastAsia" w:cs="仿宋"/>
                <w:sz w:val="22"/>
                <w:szCs w:val="22"/>
              </w:rPr>
              <w:t>县交通运输局（港航分局）、岱山海事处</w:t>
            </w:r>
          </w:p>
        </w:tc>
        <w:tc>
          <w:tcPr>
            <w:tcW w:w="1985" w:type="dxa"/>
            <w:vAlign w:val="center"/>
          </w:tcPr>
          <w:p>
            <w:pPr>
              <w:jc w:val="center"/>
              <w:rPr>
                <w:sz w:val="22"/>
                <w:szCs w:val="22"/>
              </w:rPr>
            </w:pPr>
            <w:r>
              <w:rPr>
                <w:rFonts w:hint="eastAsia" w:cs="仿宋"/>
                <w:sz w:val="22"/>
                <w:szCs w:val="22"/>
              </w:rPr>
              <w:t>县经信局、市生态环境局岱山分局、县综合行政执法局</w:t>
            </w:r>
          </w:p>
        </w:tc>
        <w:tc>
          <w:tcPr>
            <w:tcW w:w="1134" w:type="dxa"/>
            <w:vAlign w:val="center"/>
          </w:tcPr>
          <w:p>
            <w:pPr>
              <w:jc w:val="center"/>
              <w:rPr>
                <w:sz w:val="22"/>
                <w:szCs w:val="22"/>
              </w:rPr>
            </w:pPr>
            <w:r>
              <w:rPr>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 w:val="22"/>
                <w:szCs w:val="22"/>
              </w:rPr>
            </w:pPr>
            <w:r>
              <w:rPr>
                <w:b/>
                <w:bCs/>
                <w:sz w:val="22"/>
                <w:szCs w:val="22"/>
              </w:rPr>
              <w:t>7</w:t>
            </w:r>
          </w:p>
        </w:tc>
        <w:tc>
          <w:tcPr>
            <w:tcW w:w="1913" w:type="dxa"/>
            <w:vAlign w:val="center"/>
          </w:tcPr>
          <w:p>
            <w:pPr>
              <w:jc w:val="center"/>
              <w:rPr>
                <w:sz w:val="22"/>
                <w:szCs w:val="22"/>
              </w:rPr>
            </w:pPr>
            <w:r>
              <w:rPr>
                <w:rFonts w:hint="eastAsia" w:cs="仿宋"/>
                <w:sz w:val="22"/>
                <w:szCs w:val="22"/>
              </w:rPr>
              <w:t>推进落实湾（滩）长长效管理制度</w:t>
            </w:r>
          </w:p>
        </w:tc>
        <w:tc>
          <w:tcPr>
            <w:tcW w:w="6946" w:type="dxa"/>
            <w:vAlign w:val="center"/>
          </w:tcPr>
          <w:p>
            <w:pPr>
              <w:jc w:val="center"/>
              <w:rPr>
                <w:sz w:val="22"/>
                <w:szCs w:val="22"/>
              </w:rPr>
            </w:pPr>
            <w:r>
              <w:rPr>
                <w:rFonts w:hint="eastAsia" w:cs="仿宋"/>
                <w:sz w:val="22"/>
                <w:szCs w:val="22"/>
              </w:rPr>
              <w:t>推进落实湾（滩）长长效管理制度，构建</w:t>
            </w:r>
            <w:r>
              <w:rPr>
                <w:sz w:val="22"/>
                <w:szCs w:val="22"/>
              </w:rPr>
              <w:t>“</w:t>
            </w:r>
            <w:r>
              <w:rPr>
                <w:rFonts w:hint="eastAsia" w:cs="仿宋"/>
                <w:sz w:val="22"/>
                <w:szCs w:val="22"/>
              </w:rPr>
              <w:t>海陆统筹、上下联动、协同共治</w:t>
            </w:r>
            <w:r>
              <w:rPr>
                <w:sz w:val="22"/>
                <w:szCs w:val="22"/>
              </w:rPr>
              <w:t>”</w:t>
            </w:r>
            <w:r>
              <w:rPr>
                <w:rFonts w:hint="eastAsia" w:cs="仿宋"/>
                <w:sz w:val="22"/>
                <w:szCs w:val="22"/>
              </w:rPr>
              <w:t>的海洋生态环境治理新模式。</w:t>
            </w:r>
          </w:p>
        </w:tc>
        <w:tc>
          <w:tcPr>
            <w:tcW w:w="1701" w:type="dxa"/>
            <w:vAlign w:val="center"/>
          </w:tcPr>
          <w:p>
            <w:pPr>
              <w:jc w:val="center"/>
              <w:rPr>
                <w:sz w:val="22"/>
                <w:szCs w:val="22"/>
              </w:rPr>
            </w:pPr>
            <w:r>
              <w:rPr>
                <w:rFonts w:hint="eastAsia" w:cs="仿宋"/>
                <w:sz w:val="22"/>
                <w:szCs w:val="22"/>
              </w:rPr>
              <w:t>治水办、县海洋与渔业局</w:t>
            </w:r>
          </w:p>
        </w:tc>
        <w:tc>
          <w:tcPr>
            <w:tcW w:w="1985" w:type="dxa"/>
            <w:vAlign w:val="center"/>
          </w:tcPr>
          <w:p>
            <w:pPr>
              <w:jc w:val="center"/>
              <w:rPr>
                <w:sz w:val="22"/>
                <w:szCs w:val="22"/>
              </w:rPr>
            </w:pPr>
            <w:r>
              <w:rPr>
                <w:rFonts w:hint="eastAsia" w:cs="仿宋"/>
                <w:sz w:val="22"/>
                <w:szCs w:val="22"/>
              </w:rPr>
              <w:t>市生态环境局岱山分局</w:t>
            </w:r>
          </w:p>
        </w:tc>
        <w:tc>
          <w:tcPr>
            <w:tcW w:w="1134" w:type="dxa"/>
            <w:vAlign w:val="center"/>
          </w:tcPr>
          <w:p>
            <w:pPr>
              <w:jc w:val="center"/>
              <w:rPr>
                <w:sz w:val="22"/>
                <w:szCs w:val="22"/>
              </w:rPr>
            </w:pPr>
            <w:r>
              <w:rPr>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 w:val="22"/>
                <w:szCs w:val="22"/>
              </w:rPr>
            </w:pPr>
            <w:r>
              <w:rPr>
                <w:b/>
                <w:bCs/>
                <w:sz w:val="22"/>
                <w:szCs w:val="22"/>
              </w:rPr>
              <w:t>8</w:t>
            </w:r>
          </w:p>
        </w:tc>
        <w:tc>
          <w:tcPr>
            <w:tcW w:w="1913" w:type="dxa"/>
            <w:vAlign w:val="center"/>
          </w:tcPr>
          <w:p>
            <w:pPr>
              <w:jc w:val="center"/>
              <w:rPr>
                <w:sz w:val="22"/>
                <w:szCs w:val="22"/>
              </w:rPr>
            </w:pPr>
            <w:r>
              <w:rPr>
                <w:rFonts w:hint="eastAsia" w:cs="仿宋"/>
                <w:sz w:val="22"/>
                <w:szCs w:val="22"/>
              </w:rPr>
              <w:t>推进水产养殖业绿色发展</w:t>
            </w:r>
          </w:p>
        </w:tc>
        <w:tc>
          <w:tcPr>
            <w:tcW w:w="6946" w:type="dxa"/>
            <w:vAlign w:val="center"/>
          </w:tcPr>
          <w:p>
            <w:pPr>
              <w:jc w:val="center"/>
              <w:rPr>
                <w:sz w:val="22"/>
                <w:szCs w:val="22"/>
              </w:rPr>
            </w:pPr>
            <w:r>
              <w:rPr>
                <w:rFonts w:hint="eastAsia" w:cs="仿宋"/>
                <w:sz w:val="22"/>
                <w:szCs w:val="22"/>
              </w:rPr>
              <w:t>积极建设国家绿色渔业实验基地，加速海洋渔业转型升级步伐，进行养殖</w:t>
            </w:r>
            <w:r>
              <w:rPr>
                <w:sz w:val="22"/>
                <w:szCs w:val="22"/>
              </w:rPr>
              <w:t>“</w:t>
            </w:r>
            <w:r>
              <w:rPr>
                <w:rFonts w:hint="eastAsia" w:cs="仿宋"/>
                <w:sz w:val="22"/>
                <w:szCs w:val="22"/>
              </w:rPr>
              <w:t>三区</w:t>
            </w:r>
            <w:r>
              <w:rPr>
                <w:sz w:val="22"/>
                <w:szCs w:val="22"/>
              </w:rPr>
              <w:t>”</w:t>
            </w:r>
            <w:r>
              <w:rPr>
                <w:rFonts w:hint="eastAsia" w:cs="仿宋"/>
                <w:sz w:val="22"/>
                <w:szCs w:val="22"/>
              </w:rPr>
              <w:t>），大力发展节水减排、多营养层次围塘养殖、池塘工程化循环水养殖和深远海抗风浪网箱。</w:t>
            </w:r>
          </w:p>
        </w:tc>
        <w:tc>
          <w:tcPr>
            <w:tcW w:w="1701" w:type="dxa"/>
            <w:vAlign w:val="center"/>
          </w:tcPr>
          <w:p>
            <w:pPr>
              <w:jc w:val="center"/>
              <w:rPr>
                <w:sz w:val="22"/>
                <w:szCs w:val="22"/>
              </w:rPr>
            </w:pPr>
            <w:r>
              <w:rPr>
                <w:rFonts w:hint="eastAsia" w:cs="仿宋"/>
                <w:sz w:val="22"/>
                <w:szCs w:val="22"/>
              </w:rPr>
              <w:t>县海洋与渔业局</w:t>
            </w:r>
          </w:p>
        </w:tc>
        <w:tc>
          <w:tcPr>
            <w:tcW w:w="1985" w:type="dxa"/>
            <w:vAlign w:val="center"/>
          </w:tcPr>
          <w:p>
            <w:pPr>
              <w:jc w:val="center"/>
              <w:rPr>
                <w:sz w:val="22"/>
                <w:szCs w:val="22"/>
              </w:rPr>
            </w:pPr>
          </w:p>
        </w:tc>
        <w:tc>
          <w:tcPr>
            <w:tcW w:w="1134" w:type="dxa"/>
            <w:vAlign w:val="center"/>
          </w:tcPr>
          <w:p>
            <w:pPr>
              <w:jc w:val="center"/>
              <w:rPr>
                <w:sz w:val="22"/>
                <w:szCs w:val="22"/>
              </w:rPr>
            </w:pPr>
            <w:r>
              <w:rPr>
                <w:sz w:val="22"/>
                <w:szCs w:val="22"/>
              </w:rPr>
              <w:t>2021.06</w:t>
            </w:r>
          </w:p>
        </w:tc>
      </w:tr>
    </w:tbl>
    <w:p>
      <w:pPr>
        <w:jc w:val="center"/>
        <w:rPr>
          <w:sz w:val="22"/>
          <w:szCs w:val="22"/>
        </w:rPr>
        <w:sectPr>
          <w:pgSz w:w="16838" w:h="11906" w:orient="landscape"/>
          <w:pgMar w:top="1800" w:right="1440" w:bottom="1800" w:left="1440" w:header="851" w:footer="992" w:gutter="0"/>
          <w:cols w:space="425" w:num="1"/>
          <w:docGrid w:type="lines" w:linePitch="381" w:charSpace="0"/>
        </w:sectPr>
      </w:pPr>
    </w:p>
    <w:p>
      <w:pPr>
        <w:keepNext/>
        <w:keepLines/>
        <w:spacing w:before="260" w:after="260" w:line="416" w:lineRule="auto"/>
        <w:outlineLvl w:val="1"/>
        <w:rPr>
          <w:b/>
          <w:bCs/>
          <w:sz w:val="32"/>
          <w:szCs w:val="32"/>
        </w:rPr>
      </w:pPr>
      <w:bookmarkStart w:id="20" w:name="_Toc43909912"/>
      <w:r>
        <w:rPr>
          <w:rFonts w:hint="eastAsia" w:cs="仿宋"/>
          <w:b/>
          <w:bCs/>
          <w:sz w:val="32"/>
          <w:szCs w:val="32"/>
        </w:rPr>
        <w:t>七、</w:t>
      </w:r>
      <w:r>
        <w:rPr>
          <w:b/>
          <w:bCs/>
          <w:sz w:val="32"/>
          <w:szCs w:val="32"/>
        </w:rPr>
        <w:t>“</w:t>
      </w:r>
      <w:r>
        <w:rPr>
          <w:rFonts w:hint="eastAsia" w:cs="仿宋"/>
          <w:b/>
          <w:bCs/>
          <w:sz w:val="32"/>
          <w:szCs w:val="32"/>
        </w:rPr>
        <w:t>废气无臭味</w:t>
      </w:r>
      <w:r>
        <w:rPr>
          <w:b/>
          <w:bCs/>
          <w:sz w:val="32"/>
          <w:szCs w:val="32"/>
        </w:rPr>
        <w:t>”</w:t>
      </w:r>
      <w:r>
        <w:rPr>
          <w:rFonts w:hint="eastAsia" w:cs="仿宋"/>
          <w:b/>
          <w:bCs/>
          <w:sz w:val="32"/>
          <w:szCs w:val="32"/>
        </w:rPr>
        <w:t>和</w:t>
      </w:r>
      <w:r>
        <w:rPr>
          <w:b/>
          <w:bCs/>
          <w:sz w:val="32"/>
          <w:szCs w:val="32"/>
        </w:rPr>
        <w:t>“</w:t>
      </w:r>
      <w:r>
        <w:rPr>
          <w:rFonts w:hint="eastAsia" w:cs="仿宋"/>
          <w:b/>
          <w:bCs/>
          <w:sz w:val="32"/>
          <w:szCs w:val="32"/>
        </w:rPr>
        <w:t>废水零直排</w:t>
      </w:r>
      <w:r>
        <w:rPr>
          <w:b/>
          <w:bCs/>
          <w:sz w:val="32"/>
          <w:szCs w:val="32"/>
        </w:rPr>
        <w:t>”</w:t>
      </w:r>
      <w:r>
        <w:rPr>
          <w:rFonts w:hint="eastAsia" w:cs="仿宋"/>
          <w:b/>
          <w:bCs/>
          <w:sz w:val="32"/>
          <w:szCs w:val="32"/>
        </w:rPr>
        <w:t>建设任务清单及进度安排</w:t>
      </w:r>
      <w:bookmarkEnd w:id="19"/>
      <w:bookmarkEnd w:id="20"/>
    </w:p>
    <w:tbl>
      <w:tblPr>
        <w:tblStyle w:val="15"/>
        <w:tblW w:w="1396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8"/>
        <w:gridCol w:w="1515"/>
        <w:gridCol w:w="6946"/>
        <w:gridCol w:w="1701"/>
        <w:gridCol w:w="198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blHeader/>
        </w:trPr>
        <w:tc>
          <w:tcPr>
            <w:tcW w:w="758" w:type="dxa"/>
            <w:shd w:val="clear" w:color="auto" w:fill="BFBFBF"/>
            <w:vAlign w:val="center"/>
          </w:tcPr>
          <w:p>
            <w:pPr>
              <w:adjustRightInd w:val="0"/>
              <w:snapToGrid w:val="0"/>
              <w:spacing w:line="360" w:lineRule="exact"/>
              <w:jc w:val="center"/>
              <w:rPr>
                <w:b/>
                <w:bCs/>
                <w:sz w:val="22"/>
                <w:szCs w:val="22"/>
              </w:rPr>
            </w:pPr>
            <w:r>
              <w:rPr>
                <w:rFonts w:hint="eastAsia" w:cs="仿宋"/>
                <w:b/>
                <w:bCs/>
                <w:sz w:val="22"/>
                <w:szCs w:val="22"/>
              </w:rPr>
              <w:t>序号</w:t>
            </w:r>
          </w:p>
        </w:tc>
        <w:tc>
          <w:tcPr>
            <w:tcW w:w="1515" w:type="dxa"/>
            <w:shd w:val="clear" w:color="auto" w:fill="BFBFBF"/>
            <w:vAlign w:val="center"/>
          </w:tcPr>
          <w:p>
            <w:pPr>
              <w:adjustRightInd w:val="0"/>
              <w:snapToGrid w:val="0"/>
              <w:spacing w:line="360" w:lineRule="exact"/>
              <w:jc w:val="center"/>
              <w:rPr>
                <w:b/>
                <w:bCs/>
                <w:sz w:val="22"/>
                <w:szCs w:val="22"/>
              </w:rPr>
            </w:pPr>
            <w:r>
              <w:rPr>
                <w:rFonts w:hint="eastAsia" w:cs="仿宋"/>
                <w:b/>
                <w:bCs/>
                <w:sz w:val="22"/>
                <w:szCs w:val="22"/>
              </w:rPr>
              <w:t>任务类别</w:t>
            </w:r>
          </w:p>
        </w:tc>
        <w:tc>
          <w:tcPr>
            <w:tcW w:w="6946" w:type="dxa"/>
            <w:shd w:val="clear" w:color="auto" w:fill="BFBFBF"/>
            <w:vAlign w:val="center"/>
          </w:tcPr>
          <w:p>
            <w:pPr>
              <w:adjustRightInd w:val="0"/>
              <w:snapToGrid w:val="0"/>
              <w:spacing w:line="360" w:lineRule="exact"/>
              <w:jc w:val="center"/>
              <w:rPr>
                <w:b/>
                <w:bCs/>
                <w:sz w:val="22"/>
                <w:szCs w:val="22"/>
              </w:rPr>
            </w:pPr>
            <w:r>
              <w:rPr>
                <w:rFonts w:hint="eastAsia" w:cs="仿宋"/>
                <w:b/>
                <w:bCs/>
                <w:sz w:val="22"/>
                <w:szCs w:val="22"/>
              </w:rPr>
              <w:t>具体要求</w:t>
            </w:r>
          </w:p>
        </w:tc>
        <w:tc>
          <w:tcPr>
            <w:tcW w:w="1701" w:type="dxa"/>
            <w:shd w:val="clear" w:color="auto" w:fill="BFBFBF"/>
            <w:vAlign w:val="center"/>
          </w:tcPr>
          <w:p>
            <w:pPr>
              <w:adjustRightInd w:val="0"/>
              <w:snapToGrid w:val="0"/>
              <w:spacing w:line="360" w:lineRule="exact"/>
              <w:jc w:val="center"/>
              <w:rPr>
                <w:b/>
                <w:bCs/>
                <w:sz w:val="22"/>
                <w:szCs w:val="22"/>
              </w:rPr>
            </w:pPr>
            <w:r>
              <w:rPr>
                <w:rFonts w:hint="eastAsia" w:cs="仿宋"/>
                <w:b/>
                <w:bCs/>
                <w:sz w:val="22"/>
                <w:szCs w:val="22"/>
              </w:rPr>
              <w:t>责任单位</w:t>
            </w:r>
          </w:p>
        </w:tc>
        <w:tc>
          <w:tcPr>
            <w:tcW w:w="1985" w:type="dxa"/>
            <w:shd w:val="clear" w:color="auto" w:fill="BFBFBF"/>
          </w:tcPr>
          <w:p>
            <w:pPr>
              <w:adjustRightInd w:val="0"/>
              <w:snapToGrid w:val="0"/>
              <w:spacing w:line="360" w:lineRule="exact"/>
              <w:jc w:val="center"/>
              <w:rPr>
                <w:b/>
                <w:bCs/>
                <w:sz w:val="22"/>
                <w:szCs w:val="22"/>
              </w:rPr>
            </w:pPr>
            <w:r>
              <w:rPr>
                <w:rFonts w:hint="eastAsia" w:cs="仿宋"/>
                <w:b/>
                <w:bCs/>
                <w:sz w:val="22"/>
                <w:szCs w:val="22"/>
              </w:rPr>
              <w:t>配合单位</w:t>
            </w:r>
          </w:p>
        </w:tc>
        <w:tc>
          <w:tcPr>
            <w:tcW w:w="1063" w:type="dxa"/>
            <w:shd w:val="clear" w:color="auto" w:fill="BFBFBF"/>
            <w:vAlign w:val="center"/>
          </w:tcPr>
          <w:p>
            <w:pPr>
              <w:adjustRightInd w:val="0"/>
              <w:snapToGrid w:val="0"/>
              <w:spacing w:line="360" w:lineRule="exact"/>
              <w:jc w:val="center"/>
              <w:rPr>
                <w:b/>
                <w:bCs/>
                <w:sz w:val="22"/>
                <w:szCs w:val="22"/>
              </w:rPr>
            </w:pPr>
            <w:r>
              <w:rPr>
                <w:rFonts w:hint="eastAsia" w:cs="仿宋"/>
                <w:b/>
                <w:bCs/>
                <w:sz w:val="22"/>
                <w:szCs w:val="2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vAlign w:val="center"/>
          </w:tcPr>
          <w:p>
            <w:pPr>
              <w:spacing w:line="360" w:lineRule="exact"/>
              <w:jc w:val="center"/>
              <w:rPr>
                <w:sz w:val="22"/>
                <w:szCs w:val="22"/>
              </w:rPr>
            </w:pPr>
            <w:r>
              <w:rPr>
                <w:sz w:val="22"/>
                <w:szCs w:val="22"/>
              </w:rPr>
              <w:t>1</w:t>
            </w:r>
          </w:p>
        </w:tc>
        <w:tc>
          <w:tcPr>
            <w:tcW w:w="1515" w:type="dxa"/>
            <w:vMerge w:val="restart"/>
            <w:vAlign w:val="center"/>
          </w:tcPr>
          <w:p>
            <w:pPr>
              <w:adjustRightInd w:val="0"/>
              <w:snapToGrid w:val="0"/>
              <w:spacing w:line="360" w:lineRule="exact"/>
              <w:jc w:val="center"/>
              <w:rPr>
                <w:sz w:val="22"/>
                <w:szCs w:val="22"/>
              </w:rPr>
            </w:pPr>
            <w:r>
              <w:rPr>
                <w:rFonts w:hint="eastAsia" w:cs="仿宋"/>
                <w:sz w:val="22"/>
                <w:szCs w:val="22"/>
              </w:rPr>
              <w:t>废水无直排</w:t>
            </w:r>
          </w:p>
        </w:tc>
        <w:tc>
          <w:tcPr>
            <w:tcW w:w="6946" w:type="dxa"/>
            <w:vAlign w:val="center"/>
          </w:tcPr>
          <w:p>
            <w:pPr>
              <w:pStyle w:val="36"/>
              <w:spacing w:line="360" w:lineRule="exact"/>
              <w:ind w:firstLine="361"/>
              <w:rPr>
                <w:rFonts w:ascii="Times New Roman" w:hAnsi="Times New Roman" w:eastAsia="仿宋" w:cs="Times New Roman"/>
                <w:sz w:val="22"/>
                <w:szCs w:val="22"/>
              </w:rPr>
            </w:pPr>
            <w:r>
              <w:rPr>
                <w:rFonts w:hint="eastAsia" w:ascii="Times New Roman" w:hAnsi="Times New Roman" w:eastAsia="仿宋" w:cs="仿宋"/>
                <w:sz w:val="22"/>
                <w:szCs w:val="22"/>
              </w:rPr>
              <w:t>到</w:t>
            </w:r>
            <w:r>
              <w:rPr>
                <w:rFonts w:ascii="Times New Roman" w:hAnsi="Times New Roman" w:eastAsia="仿宋" w:cs="Times New Roman"/>
                <w:sz w:val="22"/>
                <w:szCs w:val="22"/>
              </w:rPr>
              <w:t>2020</w:t>
            </w:r>
            <w:r>
              <w:rPr>
                <w:rFonts w:hint="eastAsia" w:ascii="Times New Roman" w:hAnsi="Times New Roman" w:eastAsia="仿宋" w:cs="仿宋"/>
                <w:sz w:val="22"/>
                <w:szCs w:val="22"/>
              </w:rPr>
              <w:t>年底，累计完成</w:t>
            </w:r>
            <w:r>
              <w:rPr>
                <w:rFonts w:ascii="Times New Roman" w:hAnsi="Times New Roman" w:eastAsia="仿宋" w:cs="Times New Roman"/>
                <w:sz w:val="22"/>
                <w:szCs w:val="22"/>
              </w:rPr>
              <w:t>15</w:t>
            </w:r>
            <w:r>
              <w:rPr>
                <w:rFonts w:hint="eastAsia" w:ascii="Times New Roman" w:hAnsi="Times New Roman" w:eastAsia="仿宋" w:cs="仿宋"/>
                <w:sz w:val="22"/>
                <w:szCs w:val="22"/>
              </w:rPr>
              <w:t>条</w:t>
            </w:r>
            <w:r>
              <w:rPr>
                <w:rFonts w:ascii="Times New Roman" w:hAnsi="Times New Roman" w:eastAsia="仿宋" w:cs="Times New Roman"/>
                <w:sz w:val="22"/>
                <w:szCs w:val="22"/>
              </w:rPr>
              <w:t>“</w:t>
            </w:r>
            <w:r>
              <w:rPr>
                <w:rFonts w:hint="eastAsia" w:ascii="Times New Roman" w:hAnsi="Times New Roman" w:eastAsia="仿宋" w:cs="仿宋"/>
                <w:sz w:val="22"/>
                <w:szCs w:val="22"/>
              </w:rPr>
              <w:t>品质河道</w:t>
            </w:r>
            <w:r>
              <w:rPr>
                <w:rFonts w:ascii="Times New Roman" w:hAnsi="Times New Roman" w:eastAsia="仿宋" w:cs="Times New Roman"/>
                <w:sz w:val="22"/>
                <w:szCs w:val="22"/>
              </w:rPr>
              <w:t>”</w:t>
            </w:r>
            <w:r>
              <w:rPr>
                <w:rFonts w:hint="eastAsia" w:ascii="Times New Roman" w:hAnsi="Times New Roman" w:eastAsia="仿宋" w:cs="仿宋"/>
                <w:sz w:val="22"/>
                <w:szCs w:val="22"/>
              </w:rPr>
              <w:t>创建；全面完成</w:t>
            </w:r>
            <w:r>
              <w:rPr>
                <w:rFonts w:ascii="Times New Roman" w:hAnsi="Times New Roman" w:eastAsia="仿宋" w:cs="Times New Roman"/>
                <w:sz w:val="22"/>
                <w:szCs w:val="22"/>
              </w:rPr>
              <w:t>7</w:t>
            </w:r>
            <w:r>
              <w:rPr>
                <w:rFonts w:hint="eastAsia" w:ascii="Times New Roman" w:hAnsi="Times New Roman" w:eastAsia="仿宋" w:cs="仿宋"/>
                <w:sz w:val="22"/>
                <w:szCs w:val="22"/>
              </w:rPr>
              <w:t>个乡镇和县经济开发区</w:t>
            </w:r>
            <w:r>
              <w:rPr>
                <w:rFonts w:ascii="Times New Roman" w:hAnsi="Times New Roman" w:eastAsia="仿宋" w:cs="Times New Roman"/>
                <w:sz w:val="22"/>
                <w:szCs w:val="22"/>
              </w:rPr>
              <w:t>“</w:t>
            </w:r>
            <w:r>
              <w:rPr>
                <w:rFonts w:hint="eastAsia" w:ascii="Times New Roman" w:hAnsi="Times New Roman" w:eastAsia="仿宋" w:cs="仿宋"/>
                <w:sz w:val="22"/>
                <w:szCs w:val="22"/>
              </w:rPr>
              <w:t>污水零直排区</w:t>
            </w:r>
            <w:r>
              <w:rPr>
                <w:rFonts w:ascii="Times New Roman" w:hAnsi="Times New Roman" w:eastAsia="仿宋" w:cs="Times New Roman"/>
                <w:sz w:val="22"/>
                <w:szCs w:val="22"/>
              </w:rPr>
              <w:t>”</w:t>
            </w:r>
            <w:r>
              <w:rPr>
                <w:rFonts w:hint="eastAsia" w:ascii="Times New Roman" w:hAnsi="Times New Roman" w:eastAsia="仿宋" w:cs="仿宋"/>
                <w:sz w:val="22"/>
                <w:szCs w:val="22"/>
              </w:rPr>
              <w:t>建设目标任务，全县力争率先达到省</w:t>
            </w:r>
            <w:r>
              <w:rPr>
                <w:rFonts w:ascii="Times New Roman" w:hAnsi="Times New Roman" w:eastAsia="仿宋" w:cs="Times New Roman"/>
                <w:sz w:val="22"/>
                <w:szCs w:val="22"/>
              </w:rPr>
              <w:t>“</w:t>
            </w:r>
            <w:r>
              <w:rPr>
                <w:rFonts w:hint="eastAsia" w:ascii="Times New Roman" w:hAnsi="Times New Roman" w:eastAsia="仿宋" w:cs="仿宋"/>
                <w:sz w:val="22"/>
                <w:szCs w:val="22"/>
              </w:rPr>
              <w:t>污水零直排区</w:t>
            </w:r>
            <w:r>
              <w:rPr>
                <w:rFonts w:ascii="Times New Roman" w:hAnsi="Times New Roman" w:eastAsia="仿宋" w:cs="Times New Roman"/>
                <w:sz w:val="22"/>
                <w:szCs w:val="22"/>
              </w:rPr>
              <w:t>”</w:t>
            </w:r>
            <w:r>
              <w:rPr>
                <w:rFonts w:hint="eastAsia" w:ascii="Times New Roman" w:hAnsi="Times New Roman" w:eastAsia="仿宋" w:cs="仿宋"/>
                <w:sz w:val="22"/>
                <w:szCs w:val="22"/>
              </w:rPr>
              <w:t>建设标准。</w:t>
            </w:r>
          </w:p>
        </w:tc>
        <w:tc>
          <w:tcPr>
            <w:tcW w:w="1701" w:type="dxa"/>
            <w:vAlign w:val="center"/>
          </w:tcPr>
          <w:p>
            <w:pPr>
              <w:spacing w:line="360" w:lineRule="exact"/>
              <w:jc w:val="center"/>
              <w:rPr>
                <w:sz w:val="22"/>
                <w:szCs w:val="22"/>
              </w:rPr>
            </w:pPr>
            <w:r>
              <w:rPr>
                <w:rFonts w:hint="eastAsia" w:cs="仿宋"/>
                <w:sz w:val="22"/>
                <w:szCs w:val="22"/>
              </w:rPr>
              <w:t>县治水办、县住建局</w:t>
            </w:r>
          </w:p>
        </w:tc>
        <w:tc>
          <w:tcPr>
            <w:tcW w:w="1985" w:type="dxa"/>
          </w:tcPr>
          <w:p>
            <w:pPr>
              <w:pStyle w:val="36"/>
              <w:spacing w:line="360" w:lineRule="exact"/>
              <w:rPr>
                <w:rFonts w:ascii="Times New Roman" w:hAnsi="Times New Roman" w:eastAsia="仿宋" w:cs="Times New Roman"/>
                <w:sz w:val="22"/>
                <w:szCs w:val="22"/>
              </w:rPr>
            </w:pPr>
            <w:r>
              <w:rPr>
                <w:rFonts w:hint="eastAsia" w:ascii="Times New Roman" w:hAnsi="Times New Roman" w:eastAsia="仿宋" w:cs="仿宋"/>
                <w:kern w:val="0"/>
                <w:sz w:val="22"/>
                <w:szCs w:val="22"/>
              </w:rPr>
              <w:t>高亭镇、衢山镇、</w:t>
            </w:r>
            <w:r>
              <w:rPr>
                <w:rFonts w:hint="eastAsia" w:ascii="Times New Roman" w:hAnsi="Times New Roman" w:eastAsia="仿宋" w:cs="仿宋"/>
                <w:sz w:val="22"/>
                <w:szCs w:val="22"/>
              </w:rPr>
              <w:t>岱山经济开发区管委会、县城投公司</w:t>
            </w:r>
          </w:p>
        </w:tc>
        <w:tc>
          <w:tcPr>
            <w:tcW w:w="1063" w:type="dxa"/>
            <w:vAlign w:val="center"/>
          </w:tcPr>
          <w:p>
            <w:pPr>
              <w:pStyle w:val="36"/>
              <w:spacing w:line="360" w:lineRule="exact"/>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vAlign w:val="center"/>
          </w:tcPr>
          <w:p>
            <w:pPr>
              <w:spacing w:line="360" w:lineRule="exact"/>
              <w:jc w:val="center"/>
              <w:rPr>
                <w:sz w:val="22"/>
                <w:szCs w:val="22"/>
              </w:rPr>
            </w:pPr>
            <w:r>
              <w:rPr>
                <w:sz w:val="22"/>
                <w:szCs w:val="22"/>
              </w:rPr>
              <w:t>2</w:t>
            </w:r>
          </w:p>
        </w:tc>
        <w:tc>
          <w:tcPr>
            <w:tcW w:w="1515" w:type="dxa"/>
            <w:vMerge w:val="continue"/>
            <w:vAlign w:val="center"/>
          </w:tcPr>
          <w:p>
            <w:pPr>
              <w:adjustRightInd w:val="0"/>
              <w:snapToGrid w:val="0"/>
              <w:spacing w:line="360" w:lineRule="exact"/>
              <w:jc w:val="center"/>
              <w:rPr>
                <w:sz w:val="22"/>
                <w:szCs w:val="22"/>
              </w:rPr>
            </w:pPr>
          </w:p>
        </w:tc>
        <w:tc>
          <w:tcPr>
            <w:tcW w:w="6946" w:type="dxa"/>
            <w:vAlign w:val="center"/>
          </w:tcPr>
          <w:p>
            <w:pPr>
              <w:pStyle w:val="36"/>
              <w:spacing w:line="360" w:lineRule="exact"/>
              <w:ind w:firstLine="361"/>
              <w:rPr>
                <w:rFonts w:ascii="Times New Roman" w:hAnsi="Times New Roman" w:eastAsia="仿宋" w:cs="Times New Roman"/>
                <w:sz w:val="22"/>
                <w:szCs w:val="22"/>
              </w:rPr>
            </w:pPr>
            <w:r>
              <w:rPr>
                <w:rFonts w:hint="eastAsia" w:ascii="Times New Roman" w:hAnsi="Times New Roman" w:eastAsia="仿宋" w:cs="仿宋"/>
                <w:sz w:val="22"/>
                <w:szCs w:val="22"/>
              </w:rPr>
              <w:t>加快推进生活污水收集管网建设，到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年底，城镇生活污水收集率力争达到</w:t>
            </w:r>
            <w:r>
              <w:rPr>
                <w:rFonts w:ascii="Times New Roman" w:hAnsi="Times New Roman" w:eastAsia="仿宋" w:cs="Times New Roman"/>
                <w:sz w:val="22"/>
                <w:szCs w:val="22"/>
              </w:rPr>
              <w:t>80%</w:t>
            </w:r>
            <w:r>
              <w:rPr>
                <w:rFonts w:hint="eastAsia" w:ascii="Times New Roman" w:hAnsi="Times New Roman" w:eastAsia="仿宋" w:cs="仿宋"/>
                <w:sz w:val="22"/>
                <w:szCs w:val="22"/>
              </w:rPr>
              <w:t>以上。</w:t>
            </w:r>
          </w:p>
        </w:tc>
        <w:tc>
          <w:tcPr>
            <w:tcW w:w="1701" w:type="dxa"/>
            <w:vAlign w:val="center"/>
          </w:tcPr>
          <w:p>
            <w:pPr>
              <w:spacing w:line="360" w:lineRule="exact"/>
              <w:jc w:val="center"/>
              <w:rPr>
                <w:sz w:val="22"/>
                <w:szCs w:val="22"/>
              </w:rPr>
            </w:pPr>
            <w:r>
              <w:rPr>
                <w:rFonts w:hint="eastAsia" w:cs="仿宋"/>
                <w:sz w:val="22"/>
                <w:szCs w:val="22"/>
              </w:rPr>
              <w:t>县住建局</w:t>
            </w:r>
          </w:p>
        </w:tc>
        <w:tc>
          <w:tcPr>
            <w:tcW w:w="1985" w:type="dxa"/>
          </w:tcPr>
          <w:p>
            <w:pPr>
              <w:pStyle w:val="36"/>
              <w:spacing w:line="360" w:lineRule="exact"/>
              <w:rPr>
                <w:rFonts w:ascii="Times New Roman" w:hAnsi="Times New Roman" w:eastAsia="仿宋" w:cs="Times New Roman"/>
                <w:sz w:val="22"/>
                <w:szCs w:val="22"/>
              </w:rPr>
            </w:pPr>
          </w:p>
        </w:tc>
        <w:tc>
          <w:tcPr>
            <w:tcW w:w="1063" w:type="dxa"/>
            <w:vAlign w:val="center"/>
          </w:tcPr>
          <w:p>
            <w:pPr>
              <w:pStyle w:val="36"/>
              <w:spacing w:line="360" w:lineRule="exact"/>
              <w:rPr>
                <w:rFonts w:ascii="Times New Roman" w:hAnsi="Times New Roman" w:eastAsia="仿宋" w:cs="Times New Roman"/>
                <w:sz w:val="22"/>
                <w:szCs w:val="22"/>
              </w:rPr>
            </w:pPr>
            <w:r>
              <w:rPr>
                <w:rFonts w:ascii="Times New Roman" w:hAnsi="Times New Roman" w:eastAsia="仿宋" w:cs="Times New Roman"/>
                <w:sz w:val="22"/>
                <w:szCs w:val="22"/>
              </w:rPr>
              <w:t>2021.06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vAlign w:val="center"/>
          </w:tcPr>
          <w:p>
            <w:pPr>
              <w:spacing w:line="360" w:lineRule="exact"/>
              <w:jc w:val="center"/>
              <w:rPr>
                <w:sz w:val="22"/>
                <w:szCs w:val="22"/>
              </w:rPr>
            </w:pPr>
            <w:r>
              <w:rPr>
                <w:sz w:val="22"/>
                <w:szCs w:val="22"/>
              </w:rPr>
              <w:t>3</w:t>
            </w:r>
          </w:p>
        </w:tc>
        <w:tc>
          <w:tcPr>
            <w:tcW w:w="1515" w:type="dxa"/>
            <w:vMerge w:val="restart"/>
            <w:vAlign w:val="center"/>
          </w:tcPr>
          <w:p>
            <w:pPr>
              <w:adjustRightInd w:val="0"/>
              <w:snapToGrid w:val="0"/>
              <w:spacing w:line="360" w:lineRule="exact"/>
              <w:jc w:val="center"/>
              <w:rPr>
                <w:sz w:val="22"/>
                <w:szCs w:val="22"/>
              </w:rPr>
            </w:pPr>
            <w:r>
              <w:rPr>
                <w:rFonts w:hint="eastAsia" w:cs="仿宋"/>
                <w:sz w:val="22"/>
                <w:szCs w:val="22"/>
              </w:rPr>
              <w:t>废气无臭味</w:t>
            </w:r>
          </w:p>
        </w:tc>
        <w:tc>
          <w:tcPr>
            <w:tcW w:w="6946" w:type="dxa"/>
            <w:vAlign w:val="center"/>
          </w:tcPr>
          <w:p>
            <w:pPr>
              <w:pStyle w:val="36"/>
              <w:spacing w:line="360" w:lineRule="exact"/>
              <w:ind w:firstLine="361"/>
              <w:rPr>
                <w:rFonts w:ascii="Times New Roman" w:hAnsi="Times New Roman" w:eastAsia="仿宋" w:cs="Times New Roman"/>
                <w:sz w:val="22"/>
                <w:szCs w:val="22"/>
              </w:rPr>
            </w:pPr>
            <w:r>
              <w:rPr>
                <w:rFonts w:hint="eastAsia" w:ascii="Times New Roman" w:hAnsi="Times New Roman" w:eastAsia="仿宋" w:cs="仿宋"/>
                <w:sz w:val="22"/>
                <w:szCs w:val="22"/>
              </w:rPr>
              <w:t>深入推进落实《岱山县打赢蓝天保卫战</w:t>
            </w:r>
            <w:r>
              <w:rPr>
                <w:rFonts w:ascii="Times New Roman" w:hAnsi="Times New Roman" w:eastAsia="仿宋" w:cs="Times New Roman"/>
                <w:sz w:val="22"/>
                <w:szCs w:val="22"/>
              </w:rPr>
              <w:t>2019—2020</w:t>
            </w:r>
            <w:r>
              <w:rPr>
                <w:rFonts w:hint="eastAsia" w:ascii="Times New Roman" w:hAnsi="Times New Roman" w:eastAsia="仿宋" w:cs="仿宋"/>
                <w:sz w:val="22"/>
                <w:szCs w:val="22"/>
              </w:rPr>
              <w:t>年行动计划》，到</w:t>
            </w:r>
            <w:r>
              <w:rPr>
                <w:rFonts w:ascii="Times New Roman" w:hAnsi="Times New Roman" w:eastAsia="仿宋" w:cs="Times New Roman"/>
                <w:sz w:val="22"/>
                <w:szCs w:val="22"/>
              </w:rPr>
              <w:t>2020</w:t>
            </w:r>
            <w:r>
              <w:rPr>
                <w:rFonts w:hint="eastAsia" w:ascii="Times New Roman" w:hAnsi="Times New Roman" w:eastAsia="仿宋" w:cs="仿宋"/>
                <w:sz w:val="22"/>
                <w:szCs w:val="22"/>
              </w:rPr>
              <w:t>年底，基本消除重点领域异味，空气优良天数占比完成省级下达目标，涉气信访投诉量保持负增长</w:t>
            </w:r>
          </w:p>
        </w:tc>
        <w:tc>
          <w:tcPr>
            <w:tcW w:w="1701" w:type="dxa"/>
            <w:vAlign w:val="center"/>
          </w:tcPr>
          <w:p>
            <w:pPr>
              <w:spacing w:line="360" w:lineRule="exact"/>
              <w:jc w:val="center"/>
              <w:rPr>
                <w:sz w:val="22"/>
                <w:szCs w:val="22"/>
              </w:rPr>
            </w:pPr>
            <w:r>
              <w:rPr>
                <w:rFonts w:hint="eastAsia" w:cs="仿宋"/>
                <w:sz w:val="22"/>
                <w:szCs w:val="22"/>
              </w:rPr>
              <w:t>市生态环境局岱山分局</w:t>
            </w:r>
          </w:p>
        </w:tc>
        <w:tc>
          <w:tcPr>
            <w:tcW w:w="1985" w:type="dxa"/>
          </w:tcPr>
          <w:p>
            <w:pPr>
              <w:pStyle w:val="36"/>
              <w:spacing w:line="360" w:lineRule="exact"/>
              <w:rPr>
                <w:rFonts w:ascii="Times New Roman" w:hAnsi="Times New Roman" w:eastAsia="仿宋" w:cs="Times New Roman"/>
                <w:sz w:val="22"/>
                <w:szCs w:val="22"/>
              </w:rPr>
            </w:pPr>
          </w:p>
        </w:tc>
        <w:tc>
          <w:tcPr>
            <w:tcW w:w="1063" w:type="dxa"/>
            <w:vAlign w:val="center"/>
          </w:tcPr>
          <w:p>
            <w:pPr>
              <w:pStyle w:val="36"/>
              <w:spacing w:line="360" w:lineRule="exact"/>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vAlign w:val="center"/>
          </w:tcPr>
          <w:p>
            <w:pPr>
              <w:spacing w:line="360" w:lineRule="exact"/>
              <w:jc w:val="center"/>
              <w:rPr>
                <w:sz w:val="22"/>
                <w:szCs w:val="22"/>
              </w:rPr>
            </w:pPr>
            <w:r>
              <w:rPr>
                <w:sz w:val="22"/>
                <w:szCs w:val="22"/>
              </w:rPr>
              <w:t>4</w:t>
            </w:r>
          </w:p>
        </w:tc>
        <w:tc>
          <w:tcPr>
            <w:tcW w:w="1515" w:type="dxa"/>
            <w:vMerge w:val="continue"/>
            <w:vAlign w:val="center"/>
          </w:tcPr>
          <w:p>
            <w:pPr>
              <w:adjustRightInd w:val="0"/>
              <w:snapToGrid w:val="0"/>
              <w:spacing w:line="360" w:lineRule="exact"/>
              <w:jc w:val="center"/>
              <w:rPr>
                <w:sz w:val="22"/>
                <w:szCs w:val="22"/>
              </w:rPr>
            </w:pPr>
          </w:p>
        </w:tc>
        <w:tc>
          <w:tcPr>
            <w:tcW w:w="6946" w:type="dxa"/>
            <w:vAlign w:val="center"/>
          </w:tcPr>
          <w:p>
            <w:pPr>
              <w:adjustRightInd w:val="0"/>
              <w:snapToGrid w:val="0"/>
              <w:spacing w:line="360" w:lineRule="exact"/>
              <w:jc w:val="center"/>
              <w:rPr>
                <w:sz w:val="22"/>
                <w:szCs w:val="22"/>
              </w:rPr>
            </w:pPr>
            <w:r>
              <w:rPr>
                <w:rFonts w:hint="eastAsia" w:cs="仿宋"/>
                <w:sz w:val="22"/>
                <w:szCs w:val="22"/>
              </w:rPr>
              <w:t>以工业废气重点治理项目为抓手，全面推进工业企业废气治理，建立完善</w:t>
            </w:r>
            <w:r>
              <w:rPr>
                <w:sz w:val="22"/>
                <w:szCs w:val="22"/>
              </w:rPr>
              <w:t>“</w:t>
            </w:r>
            <w:r>
              <w:rPr>
                <w:rFonts w:hint="eastAsia" w:cs="仿宋"/>
                <w:sz w:val="22"/>
                <w:szCs w:val="22"/>
              </w:rPr>
              <w:t>一厂一策一档</w:t>
            </w:r>
            <w:r>
              <w:rPr>
                <w:sz w:val="22"/>
                <w:szCs w:val="22"/>
              </w:rPr>
              <w:t>”</w:t>
            </w:r>
            <w:r>
              <w:rPr>
                <w:rFonts w:hint="eastAsia" w:cs="仿宋"/>
                <w:sz w:val="22"/>
                <w:szCs w:val="22"/>
              </w:rPr>
              <w:t>制度。</w:t>
            </w:r>
          </w:p>
        </w:tc>
        <w:tc>
          <w:tcPr>
            <w:tcW w:w="1701" w:type="dxa"/>
            <w:vAlign w:val="center"/>
          </w:tcPr>
          <w:p>
            <w:pPr>
              <w:adjustRightInd w:val="0"/>
              <w:snapToGrid w:val="0"/>
              <w:spacing w:line="360" w:lineRule="exact"/>
              <w:jc w:val="center"/>
              <w:rPr>
                <w:sz w:val="22"/>
                <w:szCs w:val="22"/>
              </w:rPr>
            </w:pPr>
            <w:r>
              <w:rPr>
                <w:rFonts w:hint="eastAsia" w:cs="仿宋"/>
                <w:sz w:val="22"/>
                <w:szCs w:val="22"/>
              </w:rPr>
              <w:t>市生态环境局岱山分局</w:t>
            </w:r>
          </w:p>
        </w:tc>
        <w:tc>
          <w:tcPr>
            <w:tcW w:w="1985" w:type="dxa"/>
            <w:vAlign w:val="center"/>
          </w:tcPr>
          <w:p>
            <w:pPr>
              <w:adjustRightInd w:val="0"/>
              <w:snapToGrid w:val="0"/>
              <w:spacing w:line="360" w:lineRule="exact"/>
              <w:jc w:val="center"/>
              <w:rPr>
                <w:sz w:val="22"/>
                <w:szCs w:val="22"/>
              </w:rPr>
            </w:pPr>
            <w:r>
              <w:rPr>
                <w:rFonts w:hint="eastAsia" w:cs="仿宋"/>
                <w:sz w:val="22"/>
                <w:szCs w:val="22"/>
              </w:rPr>
              <w:t>县经信局</w:t>
            </w:r>
          </w:p>
        </w:tc>
        <w:tc>
          <w:tcPr>
            <w:tcW w:w="1063" w:type="dxa"/>
            <w:vAlign w:val="center"/>
          </w:tcPr>
          <w:p>
            <w:pPr>
              <w:adjustRightInd w:val="0"/>
              <w:snapToGrid w:val="0"/>
              <w:spacing w:line="360" w:lineRule="exact"/>
              <w:jc w:val="center"/>
              <w:rPr>
                <w:sz w:val="22"/>
                <w:szCs w:val="22"/>
              </w:rPr>
            </w:pPr>
            <w:r>
              <w:rPr>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vAlign w:val="center"/>
          </w:tcPr>
          <w:p>
            <w:pPr>
              <w:spacing w:line="360" w:lineRule="exact"/>
              <w:jc w:val="center"/>
              <w:rPr>
                <w:sz w:val="22"/>
                <w:szCs w:val="22"/>
              </w:rPr>
            </w:pPr>
            <w:r>
              <w:rPr>
                <w:sz w:val="22"/>
                <w:szCs w:val="22"/>
              </w:rPr>
              <w:t>5</w:t>
            </w:r>
          </w:p>
        </w:tc>
        <w:tc>
          <w:tcPr>
            <w:tcW w:w="1515" w:type="dxa"/>
            <w:vMerge w:val="continue"/>
            <w:vAlign w:val="center"/>
          </w:tcPr>
          <w:p>
            <w:pPr>
              <w:adjustRightInd w:val="0"/>
              <w:snapToGrid w:val="0"/>
              <w:spacing w:line="360" w:lineRule="exact"/>
              <w:jc w:val="center"/>
              <w:rPr>
                <w:sz w:val="22"/>
                <w:szCs w:val="22"/>
              </w:rPr>
            </w:pPr>
          </w:p>
        </w:tc>
        <w:tc>
          <w:tcPr>
            <w:tcW w:w="6946" w:type="dxa"/>
            <w:vAlign w:val="center"/>
          </w:tcPr>
          <w:p>
            <w:pPr>
              <w:adjustRightInd w:val="0"/>
              <w:snapToGrid w:val="0"/>
              <w:spacing w:line="360" w:lineRule="exact"/>
              <w:jc w:val="center"/>
              <w:rPr>
                <w:sz w:val="22"/>
                <w:szCs w:val="22"/>
              </w:rPr>
            </w:pPr>
            <w:r>
              <w:rPr>
                <w:rFonts w:hint="eastAsia" w:cs="仿宋"/>
                <w:sz w:val="22"/>
                <w:szCs w:val="22"/>
              </w:rPr>
              <w:t>持续推进工业污染源全面达标排放，将烟气在线监测数据作为执法依据，加大超标处罚和联合惩戒力度，未达标排放的企业一律依法停产整治。</w:t>
            </w:r>
          </w:p>
        </w:tc>
        <w:tc>
          <w:tcPr>
            <w:tcW w:w="1701" w:type="dxa"/>
            <w:vAlign w:val="center"/>
          </w:tcPr>
          <w:p>
            <w:pPr>
              <w:adjustRightInd w:val="0"/>
              <w:snapToGrid w:val="0"/>
              <w:spacing w:line="360" w:lineRule="exact"/>
              <w:jc w:val="center"/>
              <w:rPr>
                <w:sz w:val="22"/>
                <w:szCs w:val="22"/>
              </w:rPr>
            </w:pPr>
            <w:r>
              <w:rPr>
                <w:rFonts w:hint="eastAsia" w:cs="仿宋"/>
                <w:sz w:val="22"/>
                <w:szCs w:val="22"/>
              </w:rPr>
              <w:t>市生态环境局岱山分局</w:t>
            </w:r>
          </w:p>
        </w:tc>
        <w:tc>
          <w:tcPr>
            <w:tcW w:w="1985" w:type="dxa"/>
            <w:vAlign w:val="center"/>
          </w:tcPr>
          <w:p>
            <w:pPr>
              <w:adjustRightInd w:val="0"/>
              <w:snapToGrid w:val="0"/>
              <w:spacing w:line="360" w:lineRule="exact"/>
              <w:jc w:val="center"/>
              <w:rPr>
                <w:sz w:val="22"/>
                <w:szCs w:val="22"/>
              </w:rPr>
            </w:pPr>
          </w:p>
        </w:tc>
        <w:tc>
          <w:tcPr>
            <w:tcW w:w="1063" w:type="dxa"/>
            <w:vAlign w:val="center"/>
          </w:tcPr>
          <w:p>
            <w:pPr>
              <w:adjustRightInd w:val="0"/>
              <w:snapToGrid w:val="0"/>
              <w:spacing w:line="360" w:lineRule="exact"/>
              <w:jc w:val="center"/>
              <w:rPr>
                <w:sz w:val="22"/>
                <w:szCs w:val="22"/>
              </w:rPr>
            </w:pPr>
            <w:r>
              <w:rPr>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vAlign w:val="center"/>
          </w:tcPr>
          <w:p>
            <w:pPr>
              <w:spacing w:line="360" w:lineRule="exact"/>
              <w:jc w:val="center"/>
              <w:rPr>
                <w:sz w:val="22"/>
                <w:szCs w:val="22"/>
              </w:rPr>
            </w:pPr>
          </w:p>
        </w:tc>
        <w:tc>
          <w:tcPr>
            <w:tcW w:w="1515" w:type="dxa"/>
            <w:vMerge w:val="continue"/>
            <w:vAlign w:val="center"/>
          </w:tcPr>
          <w:p>
            <w:pPr>
              <w:adjustRightInd w:val="0"/>
              <w:snapToGrid w:val="0"/>
              <w:spacing w:line="360" w:lineRule="exact"/>
              <w:jc w:val="center"/>
              <w:rPr>
                <w:sz w:val="22"/>
                <w:szCs w:val="22"/>
              </w:rPr>
            </w:pPr>
          </w:p>
        </w:tc>
        <w:tc>
          <w:tcPr>
            <w:tcW w:w="6946" w:type="dxa"/>
            <w:vAlign w:val="center"/>
          </w:tcPr>
          <w:p>
            <w:pPr>
              <w:adjustRightInd w:val="0"/>
              <w:snapToGrid w:val="0"/>
              <w:spacing w:line="360" w:lineRule="exact"/>
              <w:jc w:val="center"/>
              <w:rPr>
                <w:sz w:val="22"/>
                <w:szCs w:val="22"/>
              </w:rPr>
            </w:pPr>
            <w:r>
              <w:rPr>
                <w:rFonts w:hint="eastAsia" w:cs="仿宋"/>
                <w:sz w:val="22"/>
                <w:szCs w:val="22"/>
              </w:rPr>
              <w:t>建立覆盖所有固定污染源的企业排放许可制度，</w:t>
            </w:r>
            <w:r>
              <w:rPr>
                <w:sz w:val="22"/>
                <w:szCs w:val="22"/>
              </w:rPr>
              <w:t>2020</w:t>
            </w:r>
            <w:r>
              <w:rPr>
                <w:rFonts w:hint="eastAsia" w:cs="仿宋"/>
                <w:sz w:val="22"/>
                <w:szCs w:val="22"/>
              </w:rPr>
              <w:t>年底前，完成排污许可管理名录规定的行业许可证核发。</w:t>
            </w:r>
          </w:p>
        </w:tc>
        <w:tc>
          <w:tcPr>
            <w:tcW w:w="1701" w:type="dxa"/>
            <w:vAlign w:val="center"/>
          </w:tcPr>
          <w:p>
            <w:pPr>
              <w:adjustRightInd w:val="0"/>
              <w:snapToGrid w:val="0"/>
              <w:spacing w:line="360" w:lineRule="exact"/>
              <w:jc w:val="center"/>
              <w:rPr>
                <w:sz w:val="22"/>
                <w:szCs w:val="22"/>
              </w:rPr>
            </w:pPr>
            <w:r>
              <w:rPr>
                <w:rFonts w:hint="eastAsia" w:cs="仿宋"/>
                <w:sz w:val="22"/>
                <w:szCs w:val="22"/>
              </w:rPr>
              <w:t>市生态环境局岱山分局</w:t>
            </w:r>
          </w:p>
        </w:tc>
        <w:tc>
          <w:tcPr>
            <w:tcW w:w="1985" w:type="dxa"/>
            <w:vAlign w:val="center"/>
          </w:tcPr>
          <w:p>
            <w:pPr>
              <w:adjustRightInd w:val="0"/>
              <w:snapToGrid w:val="0"/>
              <w:spacing w:line="360" w:lineRule="exact"/>
              <w:jc w:val="center"/>
              <w:rPr>
                <w:sz w:val="22"/>
                <w:szCs w:val="22"/>
              </w:rPr>
            </w:pPr>
            <w:r>
              <w:rPr>
                <w:rFonts w:hint="eastAsia" w:cs="仿宋"/>
                <w:sz w:val="22"/>
                <w:szCs w:val="22"/>
              </w:rPr>
              <w:t>县经信局</w:t>
            </w:r>
          </w:p>
        </w:tc>
        <w:tc>
          <w:tcPr>
            <w:tcW w:w="1063" w:type="dxa"/>
            <w:vAlign w:val="center"/>
          </w:tcPr>
          <w:p>
            <w:pPr>
              <w:adjustRightInd w:val="0"/>
              <w:snapToGrid w:val="0"/>
              <w:spacing w:line="360" w:lineRule="exact"/>
              <w:jc w:val="center"/>
              <w:rPr>
                <w:sz w:val="22"/>
                <w:szCs w:val="22"/>
              </w:rPr>
            </w:pPr>
            <w:r>
              <w:rPr>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vAlign w:val="center"/>
          </w:tcPr>
          <w:p>
            <w:pPr>
              <w:spacing w:line="360" w:lineRule="exact"/>
              <w:jc w:val="center"/>
              <w:rPr>
                <w:sz w:val="22"/>
                <w:szCs w:val="22"/>
              </w:rPr>
            </w:pPr>
            <w:r>
              <w:rPr>
                <w:sz w:val="22"/>
                <w:szCs w:val="22"/>
              </w:rPr>
              <w:t>6</w:t>
            </w:r>
          </w:p>
        </w:tc>
        <w:tc>
          <w:tcPr>
            <w:tcW w:w="1515" w:type="dxa"/>
            <w:vMerge w:val="continue"/>
            <w:vAlign w:val="center"/>
          </w:tcPr>
          <w:p>
            <w:pPr>
              <w:adjustRightInd w:val="0"/>
              <w:snapToGrid w:val="0"/>
              <w:spacing w:line="360" w:lineRule="exact"/>
              <w:jc w:val="center"/>
              <w:rPr>
                <w:sz w:val="22"/>
                <w:szCs w:val="22"/>
              </w:rPr>
            </w:pPr>
          </w:p>
        </w:tc>
        <w:tc>
          <w:tcPr>
            <w:tcW w:w="6946" w:type="dxa"/>
            <w:vAlign w:val="center"/>
          </w:tcPr>
          <w:p>
            <w:pPr>
              <w:adjustRightInd w:val="0"/>
              <w:snapToGrid w:val="0"/>
              <w:spacing w:line="360" w:lineRule="exact"/>
              <w:jc w:val="center"/>
              <w:rPr>
                <w:sz w:val="22"/>
                <w:szCs w:val="22"/>
              </w:rPr>
            </w:pPr>
            <w:r>
              <w:rPr>
                <w:rFonts w:hint="eastAsia" w:cs="仿宋"/>
                <w:spacing w:val="-8"/>
                <w:sz w:val="22"/>
                <w:szCs w:val="22"/>
              </w:rPr>
              <w:t>全面推进各类工业园区废气治理。开展大气污染源排查，建立涉气排放企业清单，明确具体整治要求和重点整治项目，落实网格化管理。</w:t>
            </w:r>
            <w:r>
              <w:rPr>
                <w:spacing w:val="-8"/>
                <w:sz w:val="22"/>
                <w:szCs w:val="22"/>
              </w:rPr>
              <w:t>2020</w:t>
            </w:r>
            <w:r>
              <w:rPr>
                <w:rFonts w:hint="eastAsia" w:cs="仿宋"/>
                <w:spacing w:val="-8"/>
                <w:sz w:val="22"/>
                <w:szCs w:val="22"/>
              </w:rPr>
              <w:t>年底前，完成岱山经济开发区废气整治，园区内涉气企业废气收集、处理设施正常运行，废气收集率和排放达标率明显提升，企业环保档案管理规范完整，区域环境空气质量明显改善。</w:t>
            </w:r>
          </w:p>
        </w:tc>
        <w:tc>
          <w:tcPr>
            <w:tcW w:w="1701" w:type="dxa"/>
            <w:vAlign w:val="center"/>
          </w:tcPr>
          <w:p>
            <w:pPr>
              <w:adjustRightInd w:val="0"/>
              <w:snapToGrid w:val="0"/>
              <w:spacing w:line="360" w:lineRule="exact"/>
              <w:jc w:val="center"/>
              <w:rPr>
                <w:sz w:val="22"/>
                <w:szCs w:val="22"/>
              </w:rPr>
            </w:pPr>
            <w:r>
              <w:rPr>
                <w:rFonts w:hint="eastAsia" w:cs="仿宋"/>
                <w:sz w:val="22"/>
                <w:szCs w:val="22"/>
              </w:rPr>
              <w:t>市生态环境局岱山分局</w:t>
            </w:r>
          </w:p>
        </w:tc>
        <w:tc>
          <w:tcPr>
            <w:tcW w:w="1985" w:type="dxa"/>
            <w:vAlign w:val="center"/>
          </w:tcPr>
          <w:p>
            <w:pPr>
              <w:adjustRightInd w:val="0"/>
              <w:snapToGrid w:val="0"/>
              <w:spacing w:line="360" w:lineRule="exact"/>
              <w:jc w:val="center"/>
              <w:rPr>
                <w:sz w:val="22"/>
                <w:szCs w:val="22"/>
              </w:rPr>
            </w:pPr>
            <w:r>
              <w:rPr>
                <w:rFonts w:hint="eastAsia" w:cs="仿宋"/>
                <w:sz w:val="22"/>
                <w:szCs w:val="22"/>
              </w:rPr>
              <w:t>县发改局、县经信局、岱山经济开发区管委会、东沙镇政府、岱东镇政府</w:t>
            </w:r>
          </w:p>
        </w:tc>
        <w:tc>
          <w:tcPr>
            <w:tcW w:w="1063" w:type="dxa"/>
            <w:vAlign w:val="center"/>
          </w:tcPr>
          <w:p>
            <w:pPr>
              <w:adjustRightInd w:val="0"/>
              <w:snapToGrid w:val="0"/>
              <w:spacing w:line="360" w:lineRule="exact"/>
              <w:jc w:val="center"/>
              <w:rPr>
                <w:sz w:val="22"/>
                <w:szCs w:val="22"/>
              </w:rPr>
            </w:pPr>
            <w:r>
              <w:rPr>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758" w:type="dxa"/>
            <w:vAlign w:val="center"/>
          </w:tcPr>
          <w:p>
            <w:pPr>
              <w:spacing w:line="360" w:lineRule="exact"/>
              <w:jc w:val="center"/>
              <w:rPr>
                <w:sz w:val="22"/>
                <w:szCs w:val="22"/>
              </w:rPr>
            </w:pPr>
            <w:r>
              <w:rPr>
                <w:sz w:val="22"/>
                <w:szCs w:val="22"/>
              </w:rPr>
              <w:t>7</w:t>
            </w:r>
          </w:p>
        </w:tc>
        <w:tc>
          <w:tcPr>
            <w:tcW w:w="1515" w:type="dxa"/>
            <w:vMerge w:val="continue"/>
            <w:vAlign w:val="center"/>
          </w:tcPr>
          <w:p>
            <w:pPr>
              <w:adjustRightInd w:val="0"/>
              <w:snapToGrid w:val="0"/>
              <w:spacing w:line="360" w:lineRule="exact"/>
              <w:jc w:val="center"/>
              <w:rPr>
                <w:sz w:val="22"/>
                <w:szCs w:val="22"/>
              </w:rPr>
            </w:pPr>
          </w:p>
        </w:tc>
        <w:tc>
          <w:tcPr>
            <w:tcW w:w="6946" w:type="dxa"/>
            <w:vAlign w:val="center"/>
          </w:tcPr>
          <w:p>
            <w:pPr>
              <w:adjustRightInd w:val="0"/>
              <w:snapToGrid w:val="0"/>
              <w:spacing w:line="360" w:lineRule="exact"/>
              <w:jc w:val="center"/>
              <w:rPr>
                <w:sz w:val="22"/>
                <w:szCs w:val="22"/>
              </w:rPr>
            </w:pPr>
            <w:r>
              <w:rPr>
                <w:rFonts w:hint="eastAsia" w:cs="仿宋"/>
                <w:color w:val="0C0C0C"/>
                <w:sz w:val="22"/>
                <w:szCs w:val="22"/>
              </w:rPr>
              <w:t>推进岱山经济开发区循环化改造、规范发展和提质增效。大力推进企业清洁生产。积极推广集中供热，有条件的工业集聚区域建设集中</w:t>
            </w:r>
            <w:r>
              <w:rPr>
                <w:rFonts w:hint="eastAsia" w:cs="仿宋"/>
                <w:sz w:val="22"/>
                <w:szCs w:val="22"/>
                <w:shd w:val="solid" w:color="FFFFFF" w:fill="FFFFFF"/>
              </w:rPr>
              <w:t>喷涂中心，配备高效治污设施，替代企业独立喷涂工序</w:t>
            </w:r>
            <w:r>
              <w:rPr>
                <w:rFonts w:hint="eastAsia" w:cs="仿宋"/>
                <w:sz w:val="22"/>
                <w:szCs w:val="22"/>
              </w:rPr>
              <w:t>。</w:t>
            </w:r>
          </w:p>
        </w:tc>
        <w:tc>
          <w:tcPr>
            <w:tcW w:w="1701" w:type="dxa"/>
            <w:vAlign w:val="center"/>
          </w:tcPr>
          <w:p>
            <w:pPr>
              <w:adjustRightInd w:val="0"/>
              <w:snapToGrid w:val="0"/>
              <w:spacing w:line="360" w:lineRule="exact"/>
              <w:jc w:val="center"/>
              <w:rPr>
                <w:sz w:val="22"/>
                <w:szCs w:val="22"/>
              </w:rPr>
            </w:pPr>
            <w:r>
              <w:rPr>
                <w:rFonts w:hint="eastAsia" w:cs="仿宋"/>
                <w:color w:val="0C0C0C"/>
                <w:sz w:val="22"/>
                <w:szCs w:val="22"/>
              </w:rPr>
              <w:t>县发改局</w:t>
            </w:r>
          </w:p>
        </w:tc>
        <w:tc>
          <w:tcPr>
            <w:tcW w:w="1985" w:type="dxa"/>
            <w:vAlign w:val="center"/>
          </w:tcPr>
          <w:p>
            <w:pPr>
              <w:adjustRightInd w:val="0"/>
              <w:snapToGrid w:val="0"/>
              <w:spacing w:line="360" w:lineRule="exact"/>
              <w:jc w:val="center"/>
              <w:rPr>
                <w:sz w:val="22"/>
                <w:szCs w:val="22"/>
              </w:rPr>
            </w:pPr>
            <w:r>
              <w:rPr>
                <w:rFonts w:hint="eastAsia" w:cs="仿宋"/>
                <w:color w:val="0C0C0C"/>
                <w:sz w:val="22"/>
                <w:szCs w:val="22"/>
              </w:rPr>
              <w:t>县经信局、市生态环境局岱山分局、</w:t>
            </w:r>
            <w:r>
              <w:rPr>
                <w:rFonts w:hint="eastAsia" w:cs="仿宋"/>
                <w:sz w:val="22"/>
                <w:szCs w:val="22"/>
              </w:rPr>
              <w:t>岱山经济开发区管委会、各乡镇政府</w:t>
            </w:r>
          </w:p>
        </w:tc>
        <w:tc>
          <w:tcPr>
            <w:tcW w:w="1063" w:type="dxa"/>
            <w:vAlign w:val="center"/>
          </w:tcPr>
          <w:p>
            <w:pPr>
              <w:adjustRightInd w:val="0"/>
              <w:snapToGrid w:val="0"/>
              <w:spacing w:line="360" w:lineRule="exact"/>
              <w:jc w:val="center"/>
              <w:rPr>
                <w:sz w:val="22"/>
                <w:szCs w:val="22"/>
              </w:rPr>
            </w:pPr>
            <w:r>
              <w:rPr>
                <w:sz w:val="22"/>
                <w:szCs w:val="22"/>
              </w:rPr>
              <w:t>2020.12</w:t>
            </w:r>
          </w:p>
        </w:tc>
      </w:tr>
    </w:tbl>
    <w:p>
      <w:pPr>
        <w:pStyle w:val="3"/>
        <w:ind w:firstLine="31680"/>
        <w:rPr>
          <w:rFonts w:eastAsia="仿宋"/>
        </w:rPr>
      </w:pPr>
    </w:p>
    <w:p>
      <w:pPr>
        <w:spacing w:line="360" w:lineRule="auto"/>
        <w:jc w:val="left"/>
        <w:rPr>
          <w:rFonts w:ascii="仿宋"/>
          <w:b/>
          <w:bCs/>
        </w:rPr>
      </w:pPr>
    </w:p>
    <w:p>
      <w:pPr>
        <w:spacing w:line="360" w:lineRule="auto"/>
        <w:jc w:val="left"/>
        <w:rPr>
          <w:rFonts w:ascii="仿宋"/>
          <w:b/>
          <w:bCs/>
        </w:rPr>
      </w:pPr>
    </w:p>
    <w:p>
      <w:pPr>
        <w:spacing w:line="360" w:lineRule="auto"/>
        <w:jc w:val="left"/>
        <w:rPr>
          <w:rFonts w:ascii="仿宋"/>
          <w:b/>
          <w:bCs/>
        </w:rPr>
      </w:pPr>
    </w:p>
    <w:p>
      <w:pPr>
        <w:spacing w:line="360" w:lineRule="auto"/>
        <w:jc w:val="left"/>
        <w:rPr>
          <w:rFonts w:ascii="仿宋"/>
          <w:b/>
          <w:bCs/>
        </w:rPr>
      </w:pPr>
    </w:p>
    <w:p>
      <w:pPr>
        <w:spacing w:line="360" w:lineRule="auto"/>
        <w:jc w:val="left"/>
        <w:rPr>
          <w:rFonts w:ascii="仿宋"/>
          <w:b/>
          <w:bCs/>
        </w:rPr>
      </w:pPr>
    </w:p>
    <w:p>
      <w:pPr>
        <w:spacing w:line="360" w:lineRule="auto"/>
        <w:jc w:val="left"/>
        <w:rPr>
          <w:rFonts w:ascii="仿宋"/>
          <w:b/>
          <w:bCs/>
        </w:rPr>
      </w:pPr>
    </w:p>
    <w:p>
      <w:pPr>
        <w:spacing w:line="360" w:lineRule="auto"/>
        <w:jc w:val="left"/>
        <w:rPr>
          <w:rFonts w:ascii="仿宋"/>
          <w:b/>
          <w:bCs/>
        </w:rPr>
      </w:pPr>
    </w:p>
    <w:p>
      <w:pPr>
        <w:spacing w:line="360" w:lineRule="auto"/>
        <w:jc w:val="left"/>
        <w:rPr>
          <w:rFonts w:ascii="仿宋"/>
          <w:b/>
          <w:bCs/>
        </w:rPr>
      </w:pPr>
    </w:p>
    <w:p>
      <w:pPr>
        <w:pStyle w:val="32"/>
        <w:outlineLvl w:val="0"/>
        <w:rPr>
          <w:sz w:val="36"/>
          <w:szCs w:val="36"/>
        </w:rPr>
      </w:pPr>
      <w:r>
        <w:rPr>
          <w:rFonts w:hint="eastAsia" w:cs="仿宋"/>
          <w:sz w:val="36"/>
          <w:szCs w:val="36"/>
        </w:rPr>
        <w:t>附件</w:t>
      </w:r>
      <w:r>
        <w:rPr>
          <w:sz w:val="36"/>
          <w:szCs w:val="36"/>
        </w:rPr>
        <w:t>3</w:t>
      </w:r>
      <w:r>
        <w:rPr>
          <w:rFonts w:hint="eastAsia" w:cs="仿宋"/>
          <w:sz w:val="36"/>
          <w:szCs w:val="36"/>
        </w:rPr>
        <w:t>：岱山县</w:t>
      </w:r>
      <w:r>
        <w:rPr>
          <w:sz w:val="36"/>
          <w:szCs w:val="36"/>
        </w:rPr>
        <w:t>“</w:t>
      </w:r>
      <w:r>
        <w:rPr>
          <w:rFonts w:hint="eastAsia" w:cs="仿宋"/>
          <w:sz w:val="36"/>
          <w:szCs w:val="36"/>
        </w:rPr>
        <w:t>无废城市</w:t>
      </w:r>
      <w:r>
        <w:rPr>
          <w:sz w:val="36"/>
          <w:szCs w:val="36"/>
        </w:rPr>
        <w:t>”</w:t>
      </w:r>
      <w:r>
        <w:rPr>
          <w:rFonts w:hint="eastAsia" w:cs="仿宋"/>
          <w:sz w:val="36"/>
          <w:szCs w:val="36"/>
        </w:rPr>
        <w:t>建设工作项目清单</w:t>
      </w:r>
    </w:p>
    <w:tbl>
      <w:tblPr>
        <w:tblStyle w:val="15"/>
        <w:tblW w:w="140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22"/>
        <w:gridCol w:w="6440"/>
        <w:gridCol w:w="1434"/>
        <w:gridCol w:w="1543"/>
        <w:gridCol w:w="111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475"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序号</w:t>
            </w:r>
          </w:p>
        </w:tc>
        <w:tc>
          <w:tcPr>
            <w:tcW w:w="1822"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项目名称</w:t>
            </w:r>
          </w:p>
        </w:tc>
        <w:tc>
          <w:tcPr>
            <w:tcW w:w="6440"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项目规模</w:t>
            </w:r>
          </w:p>
        </w:tc>
        <w:tc>
          <w:tcPr>
            <w:tcW w:w="1434"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责任单位</w:t>
            </w:r>
          </w:p>
        </w:tc>
        <w:tc>
          <w:tcPr>
            <w:tcW w:w="1543"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预期效果</w:t>
            </w:r>
          </w:p>
        </w:tc>
        <w:tc>
          <w:tcPr>
            <w:tcW w:w="1116"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投资金额（万元）</w:t>
            </w:r>
          </w:p>
        </w:tc>
        <w:tc>
          <w:tcPr>
            <w:tcW w:w="1236" w:type="dxa"/>
            <w:shd w:val="clear" w:color="000000"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完成年限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岱山经济开发区污水处理厂污泥堆肥项目</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建设污泥堆肥发酵工艺线一条，设计处理能力</w:t>
            </w:r>
            <w:r>
              <w:rPr>
                <w:rFonts w:ascii="Times New Roman" w:hAnsi="Times New Roman" w:eastAsia="仿宋" w:cs="Times New Roman"/>
                <w:sz w:val="22"/>
                <w:szCs w:val="22"/>
              </w:rPr>
              <w:t>10</w:t>
            </w:r>
            <w:r>
              <w:rPr>
                <w:rFonts w:hint="eastAsia" w:ascii="Times New Roman" w:hAnsi="Times New Roman" w:eastAsia="仿宋" w:cs="仿宋"/>
                <w:sz w:val="22"/>
                <w:szCs w:val="22"/>
              </w:rPr>
              <w:t>吨</w:t>
            </w:r>
            <w:r>
              <w:rPr>
                <w:rFonts w:ascii="Times New Roman" w:hAnsi="Times New Roman" w:eastAsia="仿宋" w:cs="Times New Roman"/>
                <w:sz w:val="22"/>
                <w:szCs w:val="22"/>
              </w:rPr>
              <w:t>/</w:t>
            </w:r>
            <w:r>
              <w:rPr>
                <w:rFonts w:hint="eastAsia" w:ascii="Times New Roman" w:hAnsi="Times New Roman" w:eastAsia="仿宋" w:cs="仿宋"/>
                <w:sz w:val="22"/>
                <w:szCs w:val="22"/>
              </w:rPr>
              <w:t>天，年处理能力</w:t>
            </w:r>
            <w:r>
              <w:rPr>
                <w:rFonts w:ascii="Times New Roman" w:hAnsi="Times New Roman" w:eastAsia="仿宋" w:cs="Times New Roman"/>
                <w:sz w:val="22"/>
                <w:szCs w:val="22"/>
              </w:rPr>
              <w:t>3000</w:t>
            </w:r>
            <w:r>
              <w:rPr>
                <w:rFonts w:hint="eastAsia" w:ascii="Times New Roman" w:hAnsi="Times New Roman" w:eastAsia="仿宋" w:cs="仿宋"/>
                <w:sz w:val="22"/>
                <w:szCs w:val="22"/>
              </w:rPr>
              <w:t>吨</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岱山经济开发区管委会</w:t>
            </w:r>
          </w:p>
        </w:tc>
        <w:tc>
          <w:tcPr>
            <w:tcW w:w="15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提升污泥处置能力</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299</w:t>
            </w:r>
          </w:p>
        </w:tc>
        <w:tc>
          <w:tcPr>
            <w:tcW w:w="123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衢山岛资源利用示范基地项目</w:t>
            </w:r>
            <w:r>
              <w:rPr>
                <w:rFonts w:ascii="Times New Roman" w:hAnsi="Times New Roman" w:eastAsia="仿宋" w:cs="Times New Roman"/>
                <w:sz w:val="22"/>
                <w:szCs w:val="22"/>
              </w:rPr>
              <w:t> </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新建</w:t>
            </w:r>
            <w:r>
              <w:rPr>
                <w:rFonts w:ascii="Times New Roman" w:hAnsi="Times New Roman" w:eastAsia="仿宋" w:cs="Times New Roman"/>
                <w:sz w:val="22"/>
                <w:szCs w:val="22"/>
              </w:rPr>
              <w:t>100</w:t>
            </w:r>
            <w:r>
              <w:rPr>
                <w:rFonts w:hint="eastAsia" w:ascii="Times New Roman" w:hAnsi="Times New Roman" w:eastAsia="仿宋" w:cs="仿宋"/>
                <w:sz w:val="22"/>
                <w:szCs w:val="22"/>
              </w:rPr>
              <w:t>吨</w:t>
            </w:r>
            <w:r>
              <w:rPr>
                <w:rFonts w:ascii="Times New Roman" w:hAnsi="Times New Roman" w:eastAsia="仿宋" w:cs="Times New Roman"/>
                <w:sz w:val="22"/>
                <w:szCs w:val="22"/>
              </w:rPr>
              <w:t>/</w:t>
            </w:r>
            <w:r>
              <w:rPr>
                <w:rFonts w:hint="eastAsia" w:ascii="Times New Roman" w:hAnsi="Times New Roman" w:eastAsia="仿宋" w:cs="仿宋"/>
                <w:sz w:val="22"/>
                <w:szCs w:val="22"/>
              </w:rPr>
              <w:t>日的生活垃圾热解气化处理单元</w:t>
            </w:r>
            <w:r>
              <w:rPr>
                <w:rFonts w:ascii="Times New Roman" w:hAnsi="Times New Roman" w:eastAsia="仿宋" w:cs="Times New Roman"/>
                <w:sz w:val="22"/>
                <w:szCs w:val="22"/>
              </w:rPr>
              <w:t>+7</w:t>
            </w:r>
            <w:r>
              <w:rPr>
                <w:rFonts w:hint="eastAsia" w:ascii="Times New Roman" w:hAnsi="Times New Roman" w:eastAsia="仿宋" w:cs="仿宋"/>
                <w:sz w:val="22"/>
                <w:szCs w:val="22"/>
              </w:rPr>
              <w:t>万吨</w:t>
            </w:r>
            <w:r>
              <w:rPr>
                <w:rFonts w:ascii="Times New Roman" w:hAnsi="Times New Roman" w:eastAsia="仿宋" w:cs="Times New Roman"/>
                <w:sz w:val="22"/>
                <w:szCs w:val="22"/>
              </w:rPr>
              <w:t>/</w:t>
            </w:r>
            <w:r>
              <w:rPr>
                <w:rFonts w:hint="eastAsia" w:ascii="Times New Roman" w:hAnsi="Times New Roman" w:eastAsia="仿宋" w:cs="仿宋"/>
                <w:sz w:val="22"/>
                <w:szCs w:val="22"/>
              </w:rPr>
              <w:t>年的含油废物（干</w:t>
            </w:r>
            <w:r>
              <w:rPr>
                <w:rFonts w:ascii="Times New Roman" w:hAnsi="Times New Roman" w:eastAsia="仿宋" w:cs="Times New Roman"/>
                <w:sz w:val="22"/>
                <w:szCs w:val="22"/>
              </w:rPr>
              <w:t>/</w:t>
            </w:r>
            <w:r>
              <w:rPr>
                <w:rFonts w:hint="eastAsia" w:ascii="Times New Roman" w:hAnsi="Times New Roman" w:eastAsia="仿宋" w:cs="仿宋"/>
                <w:sz w:val="22"/>
                <w:szCs w:val="22"/>
              </w:rPr>
              <w:t>湿料）资源化利用单元</w:t>
            </w:r>
            <w:r>
              <w:rPr>
                <w:rFonts w:ascii="Times New Roman" w:hAnsi="Times New Roman" w:eastAsia="仿宋" w:cs="Times New Roman"/>
                <w:sz w:val="22"/>
                <w:szCs w:val="22"/>
              </w:rPr>
              <w:t>+1</w:t>
            </w:r>
            <w:r>
              <w:rPr>
                <w:rFonts w:hint="eastAsia" w:ascii="Times New Roman" w:hAnsi="Times New Roman" w:eastAsia="仿宋" w:cs="仿宋"/>
                <w:sz w:val="22"/>
                <w:szCs w:val="22"/>
              </w:rPr>
              <w:t>万吨</w:t>
            </w:r>
            <w:r>
              <w:rPr>
                <w:rFonts w:ascii="Times New Roman" w:hAnsi="Times New Roman" w:eastAsia="仿宋" w:cs="Times New Roman"/>
                <w:sz w:val="22"/>
                <w:szCs w:val="22"/>
              </w:rPr>
              <w:t>/</w:t>
            </w:r>
            <w:r>
              <w:rPr>
                <w:rFonts w:hint="eastAsia" w:ascii="Times New Roman" w:hAnsi="Times New Roman" w:eastAsia="仿宋" w:cs="仿宋"/>
                <w:sz w:val="22"/>
                <w:szCs w:val="22"/>
              </w:rPr>
              <w:t>日的污水（含垃圾渗滤液、含油污水）综合处理单元。</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衢山镇政府</w:t>
            </w:r>
          </w:p>
        </w:tc>
        <w:tc>
          <w:tcPr>
            <w:tcW w:w="15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实现我县危废综合利用处理能力零的突破</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12000</w:t>
            </w:r>
            <w:r>
              <w:rPr>
                <w:rFonts w:hint="eastAsia" w:ascii="Times New Roman" w:hAnsi="Times New Roman" w:eastAsia="仿宋" w:cs="仿宋"/>
                <w:sz w:val="22"/>
                <w:szCs w:val="22"/>
              </w:rPr>
              <w:t>　</w:t>
            </w:r>
          </w:p>
        </w:tc>
        <w:tc>
          <w:tcPr>
            <w:tcW w:w="1236"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后备规划项目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舟山市鱼山石化工程有限公司工业固体废物处置中心建设项目</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包括焚烧装置区和填埋处置区两个厂区：焚烧装置区主体工程包括污泥离心脱水减量、污泥干化减量、废物集中焚烧及配套工程。建设分期为一期、二期。一期：污泥离心脱水总处理规模</w:t>
            </w:r>
            <w:r>
              <w:rPr>
                <w:rFonts w:ascii="Times New Roman" w:hAnsi="Times New Roman" w:eastAsia="仿宋" w:cs="Times New Roman"/>
                <w:sz w:val="22"/>
                <w:szCs w:val="22"/>
              </w:rPr>
              <w:t>60t/h</w:t>
            </w:r>
            <w:r>
              <w:rPr>
                <w:rFonts w:hint="eastAsia" w:ascii="Times New Roman" w:hAnsi="Times New Roman" w:eastAsia="仿宋" w:cs="仿宋"/>
                <w:sz w:val="22"/>
                <w:szCs w:val="22"/>
              </w:rPr>
              <w:t>，污泥干化总处理规模</w:t>
            </w:r>
            <w:r>
              <w:rPr>
                <w:rFonts w:ascii="Times New Roman" w:hAnsi="Times New Roman" w:eastAsia="仿宋" w:cs="Times New Roman"/>
                <w:sz w:val="22"/>
                <w:szCs w:val="22"/>
              </w:rPr>
              <w:t>200t/d</w:t>
            </w:r>
            <w:r>
              <w:rPr>
                <w:rFonts w:hint="eastAsia" w:ascii="Times New Roman" w:hAnsi="Times New Roman" w:eastAsia="仿宋" w:cs="仿宋"/>
                <w:sz w:val="22"/>
                <w:szCs w:val="22"/>
              </w:rPr>
              <w:t>，焚烧装置总处</w:t>
            </w:r>
            <w:bookmarkStart w:id="22" w:name="_GoBack"/>
            <w:bookmarkEnd w:id="22"/>
            <w:r>
              <w:rPr>
                <w:rFonts w:hint="eastAsia" w:ascii="Times New Roman" w:hAnsi="Times New Roman" w:eastAsia="仿宋" w:cs="仿宋"/>
                <w:sz w:val="22"/>
                <w:szCs w:val="22"/>
              </w:rPr>
              <w:t>理规模</w:t>
            </w:r>
            <w:r>
              <w:rPr>
                <w:rFonts w:ascii="Times New Roman" w:hAnsi="Times New Roman" w:eastAsia="仿宋" w:cs="Times New Roman"/>
                <w:sz w:val="22"/>
                <w:szCs w:val="22"/>
              </w:rPr>
              <w:t>120t/d</w:t>
            </w:r>
            <w:r>
              <w:rPr>
                <w:rFonts w:hint="eastAsia" w:ascii="Times New Roman" w:hAnsi="Times New Roman" w:eastAsia="仿宋" w:cs="仿宋"/>
                <w:sz w:val="22"/>
                <w:szCs w:val="22"/>
              </w:rPr>
              <w:t>。二期：污泥离心脱水总处理规模</w:t>
            </w:r>
            <w:r>
              <w:rPr>
                <w:rFonts w:ascii="Times New Roman" w:hAnsi="Times New Roman" w:eastAsia="仿宋" w:cs="Times New Roman"/>
                <w:sz w:val="22"/>
                <w:szCs w:val="22"/>
              </w:rPr>
              <w:t>60t/h</w:t>
            </w:r>
            <w:r>
              <w:rPr>
                <w:rFonts w:hint="eastAsia" w:ascii="Times New Roman" w:hAnsi="Times New Roman" w:eastAsia="仿宋" w:cs="仿宋"/>
                <w:sz w:val="22"/>
                <w:szCs w:val="22"/>
              </w:rPr>
              <w:t>，污泥干化总处理规模</w:t>
            </w:r>
            <w:r>
              <w:rPr>
                <w:rFonts w:ascii="Times New Roman" w:hAnsi="Times New Roman" w:eastAsia="仿宋" w:cs="Times New Roman"/>
                <w:sz w:val="22"/>
                <w:szCs w:val="22"/>
              </w:rPr>
              <w:t>200t/d</w:t>
            </w:r>
            <w:r>
              <w:rPr>
                <w:rFonts w:hint="eastAsia" w:ascii="Times New Roman" w:hAnsi="Times New Roman" w:eastAsia="仿宋" w:cs="仿宋"/>
                <w:sz w:val="22"/>
                <w:szCs w:val="22"/>
              </w:rPr>
              <w:t>，焚烧装置总处理规模</w:t>
            </w:r>
            <w:r>
              <w:rPr>
                <w:rFonts w:ascii="Times New Roman" w:hAnsi="Times New Roman" w:eastAsia="仿宋" w:cs="Times New Roman"/>
                <w:sz w:val="22"/>
                <w:szCs w:val="22"/>
              </w:rPr>
              <w:t>120t/d</w:t>
            </w:r>
            <w:r>
              <w:rPr>
                <w:rFonts w:hint="eastAsia" w:ascii="Times New Roman" w:hAnsi="Times New Roman" w:eastAsia="仿宋" w:cs="仿宋"/>
                <w:sz w:val="22"/>
                <w:szCs w:val="22"/>
              </w:rPr>
              <w:t>。填埋处置区设有危险固体废弃物填埋场和一般工业固体废弃物填埋场两个填埋区，其中危废填埋场设计总库容</w:t>
            </w:r>
            <w:r>
              <w:rPr>
                <w:rFonts w:ascii="Times New Roman" w:hAnsi="Times New Roman" w:eastAsia="仿宋" w:cs="Times New Roman"/>
                <w:sz w:val="22"/>
                <w:szCs w:val="22"/>
              </w:rPr>
              <w:t>60</w:t>
            </w:r>
            <w:r>
              <w:rPr>
                <w:rFonts w:hint="eastAsia" w:ascii="Times New Roman" w:hAnsi="Times New Roman" w:eastAsia="仿宋" w:cs="仿宋"/>
                <w:sz w:val="22"/>
                <w:szCs w:val="22"/>
              </w:rPr>
              <w:t>万</w:t>
            </w:r>
            <w:r>
              <w:rPr>
                <w:rFonts w:ascii="Times New Roman" w:hAnsi="Times New Roman" w:eastAsia="仿宋" w:cs="Times New Roman"/>
                <w:sz w:val="22"/>
                <w:szCs w:val="22"/>
              </w:rPr>
              <w:t>m3</w:t>
            </w:r>
            <w:r>
              <w:rPr>
                <w:rFonts w:hint="eastAsia" w:ascii="Times New Roman" w:hAnsi="Times New Roman" w:eastAsia="仿宋" w:cs="仿宋"/>
                <w:sz w:val="22"/>
                <w:szCs w:val="22"/>
              </w:rPr>
              <w:t>，一般工业固体废弃物设计库容</w:t>
            </w:r>
            <w:r>
              <w:rPr>
                <w:rFonts w:ascii="Times New Roman" w:hAnsi="Times New Roman" w:eastAsia="仿宋" w:cs="Times New Roman"/>
                <w:sz w:val="22"/>
                <w:szCs w:val="22"/>
              </w:rPr>
              <w:t>10</w:t>
            </w:r>
            <w:r>
              <w:rPr>
                <w:rFonts w:hint="eastAsia" w:ascii="Times New Roman" w:hAnsi="Times New Roman" w:eastAsia="仿宋" w:cs="仿宋"/>
                <w:sz w:val="22"/>
                <w:szCs w:val="22"/>
              </w:rPr>
              <w:t>万</w:t>
            </w:r>
            <w:r>
              <w:rPr>
                <w:rFonts w:ascii="Times New Roman" w:hAnsi="Times New Roman" w:eastAsia="仿宋" w:cs="Times New Roman"/>
                <w:sz w:val="22"/>
                <w:szCs w:val="22"/>
              </w:rPr>
              <w:t>m3</w:t>
            </w:r>
            <w:r>
              <w:rPr>
                <w:rFonts w:hint="eastAsia" w:ascii="Times New Roman" w:hAnsi="Times New Roman" w:eastAsia="仿宋" w:cs="仿宋"/>
                <w:sz w:val="22"/>
                <w:szCs w:val="22"/>
              </w:rPr>
              <w:t>，总体填埋年限</w:t>
            </w:r>
            <w:r>
              <w:rPr>
                <w:rFonts w:ascii="Times New Roman" w:hAnsi="Times New Roman" w:eastAsia="仿宋" w:cs="Times New Roman"/>
                <w:sz w:val="22"/>
                <w:szCs w:val="22"/>
              </w:rPr>
              <w:t>20</w:t>
            </w:r>
            <w:r>
              <w:rPr>
                <w:rFonts w:hint="eastAsia" w:ascii="Times New Roman" w:hAnsi="Times New Roman" w:eastAsia="仿宋" w:cs="仿宋"/>
                <w:sz w:val="22"/>
                <w:szCs w:val="22"/>
              </w:rPr>
              <w:t>年。</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舟山市鱼山石化工程有限公司</w:t>
            </w:r>
          </w:p>
        </w:tc>
        <w:tc>
          <w:tcPr>
            <w:tcW w:w="15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提升危险废物处置能力</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41349</w:t>
            </w:r>
            <w:r>
              <w:rPr>
                <w:rFonts w:hint="eastAsia" w:ascii="Times New Roman" w:hAnsi="Times New Roman" w:eastAsia="仿宋" w:cs="仿宋"/>
                <w:sz w:val="22"/>
                <w:szCs w:val="22"/>
              </w:rPr>
              <w:t>　</w:t>
            </w:r>
          </w:p>
        </w:tc>
        <w:tc>
          <w:tcPr>
            <w:tcW w:w="123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岱山县垃圾中转站项目</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建设规模生活垃圾中转站（</w:t>
            </w:r>
            <w:r>
              <w:rPr>
                <w:rFonts w:ascii="Times New Roman" w:hAnsi="Times New Roman" w:eastAsia="仿宋" w:cs="Times New Roman"/>
                <w:sz w:val="22"/>
                <w:szCs w:val="22"/>
              </w:rPr>
              <w:t>300t/d</w:t>
            </w:r>
            <w:r>
              <w:rPr>
                <w:rFonts w:hint="eastAsia" w:ascii="Times New Roman" w:hAnsi="Times New Roman" w:eastAsia="仿宋" w:cs="仿宋"/>
                <w:sz w:val="22"/>
                <w:szCs w:val="22"/>
              </w:rPr>
              <w:t>）、综合处理车间（大件垃圾处理（</w:t>
            </w:r>
            <w:r>
              <w:rPr>
                <w:rFonts w:ascii="Times New Roman" w:hAnsi="Times New Roman" w:eastAsia="仿宋" w:cs="Times New Roman"/>
                <w:sz w:val="22"/>
                <w:szCs w:val="22"/>
              </w:rPr>
              <w:t>15t/d</w:t>
            </w:r>
            <w:r>
              <w:rPr>
                <w:rFonts w:hint="eastAsia" w:ascii="Times New Roman" w:hAnsi="Times New Roman" w:eastAsia="仿宋" w:cs="仿宋"/>
                <w:sz w:val="22"/>
                <w:szCs w:val="22"/>
              </w:rPr>
              <w:t>）、园林垃圾处理（</w:t>
            </w:r>
            <w:r>
              <w:rPr>
                <w:rFonts w:ascii="Times New Roman" w:hAnsi="Times New Roman" w:eastAsia="仿宋" w:cs="Times New Roman"/>
                <w:sz w:val="22"/>
                <w:szCs w:val="22"/>
              </w:rPr>
              <w:t>2t/d</w:t>
            </w:r>
            <w:r>
              <w:rPr>
                <w:rFonts w:hint="eastAsia" w:ascii="Times New Roman" w:hAnsi="Times New Roman" w:eastAsia="仿宋" w:cs="仿宋"/>
                <w:sz w:val="22"/>
                <w:szCs w:val="22"/>
              </w:rPr>
              <w:t>）、装修垃圾处理（</w:t>
            </w:r>
            <w:r>
              <w:rPr>
                <w:rFonts w:ascii="Times New Roman" w:hAnsi="Times New Roman" w:eastAsia="仿宋" w:cs="Times New Roman"/>
                <w:sz w:val="22"/>
                <w:szCs w:val="22"/>
              </w:rPr>
              <w:t>120t/d</w:t>
            </w:r>
            <w:r>
              <w:rPr>
                <w:rFonts w:hint="eastAsia" w:ascii="Times New Roman" w:hAnsi="Times New Roman" w:eastAsia="仿宋" w:cs="仿宋"/>
                <w:sz w:val="22"/>
                <w:szCs w:val="22"/>
              </w:rPr>
              <w:t>）、有害垃圾暂存间等）、渗滤液处理站（</w:t>
            </w:r>
            <w:r>
              <w:rPr>
                <w:rFonts w:ascii="Times New Roman" w:hAnsi="Times New Roman" w:eastAsia="仿宋" w:cs="Times New Roman"/>
                <w:sz w:val="22"/>
                <w:szCs w:val="22"/>
              </w:rPr>
              <w:t>50t/d</w:t>
            </w:r>
            <w:r>
              <w:rPr>
                <w:rFonts w:hint="eastAsia" w:ascii="Times New Roman" w:hAnsi="Times New Roman" w:eastAsia="仿宋" w:cs="仿宋"/>
                <w:sz w:val="22"/>
                <w:szCs w:val="22"/>
              </w:rPr>
              <w:t>）</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岱山县住建局</w:t>
            </w:r>
          </w:p>
        </w:tc>
        <w:tc>
          <w:tcPr>
            <w:tcW w:w="15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优化生活垃圾处理设施布局，提高收集转运效率</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8800</w:t>
            </w:r>
          </w:p>
        </w:tc>
        <w:tc>
          <w:tcPr>
            <w:tcW w:w="123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建筑垃圾循环利用项目</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建设一条建筑垃圾粉碎再生生产线，年处理建筑垃圾</w:t>
            </w:r>
            <w:r>
              <w:rPr>
                <w:rFonts w:ascii="Times New Roman" w:hAnsi="Times New Roman" w:eastAsia="仿宋" w:cs="Times New Roman"/>
                <w:sz w:val="22"/>
                <w:szCs w:val="22"/>
              </w:rPr>
              <w:t>4.5</w:t>
            </w:r>
            <w:r>
              <w:rPr>
                <w:rFonts w:hint="eastAsia" w:ascii="Times New Roman" w:hAnsi="Times New Roman" w:eastAsia="仿宋" w:cs="仿宋"/>
                <w:sz w:val="22"/>
                <w:szCs w:val="22"/>
              </w:rPr>
              <w:t>万吨。</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15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实现建筑垃圾的再生利用，提高处置能力和资源化利用率。</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300</w:t>
            </w:r>
          </w:p>
        </w:tc>
        <w:tc>
          <w:tcPr>
            <w:tcW w:w="123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6</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工业园区“污水零直排区”建设</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完成岱山经济开发区省级工业园区“污水零直排区”建设任务</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岱山经济开发区管委会</w:t>
            </w:r>
          </w:p>
        </w:tc>
        <w:tc>
          <w:tcPr>
            <w:tcW w:w="15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提高污水收集率</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w:t>
            </w:r>
          </w:p>
        </w:tc>
        <w:tc>
          <w:tcPr>
            <w:tcW w:w="123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7</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生活小区“污水零直排区”建设</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完成</w:t>
            </w:r>
            <w:r>
              <w:rPr>
                <w:rFonts w:ascii="Times New Roman" w:hAnsi="Times New Roman" w:eastAsia="仿宋" w:cs="Times New Roman"/>
                <w:sz w:val="22"/>
                <w:szCs w:val="22"/>
              </w:rPr>
              <w:t>8</w:t>
            </w:r>
            <w:r>
              <w:rPr>
                <w:rFonts w:hint="eastAsia" w:ascii="Times New Roman" w:hAnsi="Times New Roman" w:eastAsia="仿宋" w:cs="仿宋"/>
                <w:sz w:val="22"/>
                <w:szCs w:val="22"/>
              </w:rPr>
              <w:t>个生活小区“污水零直排区”建设</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县住建局</w:t>
            </w:r>
          </w:p>
        </w:tc>
        <w:tc>
          <w:tcPr>
            <w:tcW w:w="1543" w:type="dxa"/>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提高污水收集率</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w:t>
            </w:r>
          </w:p>
        </w:tc>
        <w:tc>
          <w:tcPr>
            <w:tcW w:w="123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乡镇“污水零直排区”建设</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完成</w:t>
            </w:r>
            <w:r>
              <w:rPr>
                <w:rFonts w:ascii="Times New Roman" w:hAnsi="Times New Roman" w:eastAsia="仿宋" w:cs="Times New Roman"/>
                <w:sz w:val="22"/>
                <w:szCs w:val="22"/>
              </w:rPr>
              <w:t>2</w:t>
            </w:r>
            <w:r>
              <w:rPr>
                <w:rFonts w:hint="eastAsia" w:ascii="Times New Roman" w:hAnsi="Times New Roman" w:eastAsia="仿宋" w:cs="仿宋"/>
                <w:sz w:val="22"/>
                <w:szCs w:val="22"/>
              </w:rPr>
              <w:t>个镇“污水零直排区”建设</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县治水办</w:t>
            </w:r>
          </w:p>
        </w:tc>
        <w:tc>
          <w:tcPr>
            <w:tcW w:w="1543" w:type="dxa"/>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提高污水收集率</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w:t>
            </w:r>
          </w:p>
        </w:tc>
        <w:tc>
          <w:tcPr>
            <w:tcW w:w="123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75"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9</w:t>
            </w:r>
          </w:p>
        </w:tc>
        <w:tc>
          <w:tcPr>
            <w:tcW w:w="1822"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工业废气治理</w:t>
            </w:r>
          </w:p>
        </w:tc>
        <w:tc>
          <w:tcPr>
            <w:tcW w:w="6440"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完成淘汰</w:t>
            </w:r>
            <w:r>
              <w:rPr>
                <w:rFonts w:ascii="Times New Roman" w:hAnsi="Times New Roman" w:eastAsia="仿宋" w:cs="Times New Roman"/>
                <w:sz w:val="22"/>
                <w:szCs w:val="22"/>
              </w:rPr>
              <w:t>10-35</w:t>
            </w:r>
            <w:r>
              <w:rPr>
                <w:rFonts w:hint="eastAsia" w:ascii="Times New Roman" w:hAnsi="Times New Roman" w:eastAsia="仿宋" w:cs="仿宋"/>
                <w:sz w:val="22"/>
                <w:szCs w:val="22"/>
              </w:rPr>
              <w:t>蒸吨</w:t>
            </w:r>
            <w:r>
              <w:rPr>
                <w:rFonts w:ascii="Times New Roman" w:hAnsi="Times New Roman" w:eastAsia="仿宋" w:cs="Times New Roman"/>
                <w:sz w:val="22"/>
                <w:szCs w:val="22"/>
              </w:rPr>
              <w:t>/</w:t>
            </w:r>
            <w:r>
              <w:rPr>
                <w:rFonts w:hint="eastAsia" w:ascii="Times New Roman" w:hAnsi="Times New Roman" w:eastAsia="仿宋" w:cs="仿宋"/>
                <w:sz w:val="22"/>
                <w:szCs w:val="22"/>
              </w:rPr>
              <w:t>小时燃煤锅炉任务</w:t>
            </w:r>
          </w:p>
        </w:tc>
        <w:tc>
          <w:tcPr>
            <w:tcW w:w="1434"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1543"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实现工业废气治理</w:t>
            </w:r>
          </w:p>
        </w:tc>
        <w:tc>
          <w:tcPr>
            <w:tcW w:w="111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w:t>
            </w:r>
          </w:p>
        </w:tc>
        <w:tc>
          <w:tcPr>
            <w:tcW w:w="1236"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2020.12</w:t>
            </w:r>
          </w:p>
        </w:tc>
      </w:tr>
    </w:tbl>
    <w:p/>
    <w:p>
      <w:pPr>
        <w:spacing w:line="360" w:lineRule="auto"/>
        <w:jc w:val="left"/>
        <w:rPr>
          <w:rFonts w:ascii="仿宋"/>
          <w:b/>
          <w:bCs/>
        </w:rPr>
      </w:pPr>
    </w:p>
    <w:p>
      <w:pPr>
        <w:spacing w:line="360" w:lineRule="auto"/>
        <w:jc w:val="left"/>
        <w:rPr>
          <w:rFonts w:ascii="仿宋"/>
          <w:b/>
          <w:bCs/>
        </w:rPr>
      </w:pPr>
    </w:p>
    <w:p>
      <w:pPr>
        <w:spacing w:line="360" w:lineRule="auto"/>
        <w:jc w:val="left"/>
        <w:rPr>
          <w:rFonts w:ascii="仿宋"/>
          <w:b/>
          <w:bCs/>
        </w:rPr>
      </w:pPr>
    </w:p>
    <w:p>
      <w:pPr>
        <w:pStyle w:val="32"/>
        <w:outlineLvl w:val="0"/>
        <w:rPr>
          <w:sz w:val="36"/>
          <w:szCs w:val="36"/>
        </w:rPr>
      </w:pPr>
      <w:r>
        <w:rPr>
          <w:rFonts w:hint="eastAsia" w:cs="仿宋"/>
          <w:sz w:val="36"/>
          <w:szCs w:val="36"/>
        </w:rPr>
        <w:t>附件</w:t>
      </w:r>
      <w:r>
        <w:rPr>
          <w:sz w:val="36"/>
          <w:szCs w:val="36"/>
        </w:rPr>
        <w:t>4</w:t>
      </w:r>
      <w:r>
        <w:rPr>
          <w:rFonts w:hint="eastAsia" w:cs="仿宋"/>
          <w:sz w:val="36"/>
          <w:szCs w:val="36"/>
        </w:rPr>
        <w:t>：岱山县</w:t>
      </w:r>
      <w:r>
        <w:rPr>
          <w:sz w:val="36"/>
          <w:szCs w:val="36"/>
        </w:rPr>
        <w:t>“</w:t>
      </w:r>
      <w:r>
        <w:rPr>
          <w:rFonts w:hint="eastAsia" w:cs="仿宋"/>
          <w:sz w:val="36"/>
          <w:szCs w:val="36"/>
        </w:rPr>
        <w:t>无废城市</w:t>
      </w:r>
      <w:r>
        <w:rPr>
          <w:sz w:val="36"/>
          <w:szCs w:val="36"/>
        </w:rPr>
        <w:t>”</w:t>
      </w:r>
      <w:r>
        <w:rPr>
          <w:rFonts w:hint="eastAsia" w:cs="仿宋"/>
          <w:sz w:val="36"/>
          <w:szCs w:val="36"/>
        </w:rPr>
        <w:t>建设工作责任清单</w:t>
      </w:r>
    </w:p>
    <w:tbl>
      <w:tblPr>
        <w:tblStyle w:val="15"/>
        <w:tblW w:w="13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7088"/>
        <w:gridCol w:w="2459"/>
        <w:gridCol w:w="292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blHeader/>
          <w:jc w:val="center"/>
        </w:trPr>
        <w:tc>
          <w:tcPr>
            <w:tcW w:w="704" w:type="dxa"/>
            <w:shd w:val="clear" w:color="auto" w:fill="D9D9D9"/>
            <w:vAlign w:val="center"/>
          </w:tcPr>
          <w:p>
            <w:pPr>
              <w:pStyle w:val="35"/>
              <w:rPr>
                <w:rFonts w:ascii="Times New Roman" w:hAnsi="Times New Roman" w:eastAsia="仿宋" w:cs="Times New Roman"/>
                <w:b/>
                <w:bCs/>
                <w:sz w:val="22"/>
                <w:szCs w:val="22"/>
              </w:rPr>
            </w:pPr>
            <w:bookmarkStart w:id="21" w:name="_Hlk43303051"/>
            <w:r>
              <w:rPr>
                <w:rFonts w:hint="eastAsia" w:ascii="Times New Roman" w:hAnsi="Times New Roman" w:eastAsia="仿宋" w:cs="仿宋"/>
                <w:b/>
                <w:bCs/>
                <w:sz w:val="22"/>
                <w:szCs w:val="22"/>
              </w:rPr>
              <w:t>序号</w:t>
            </w:r>
          </w:p>
        </w:tc>
        <w:tc>
          <w:tcPr>
            <w:tcW w:w="7088"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工作任务</w:t>
            </w:r>
          </w:p>
        </w:tc>
        <w:tc>
          <w:tcPr>
            <w:tcW w:w="2459"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责任单位</w:t>
            </w:r>
          </w:p>
        </w:tc>
        <w:tc>
          <w:tcPr>
            <w:tcW w:w="2927"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配合单位</w:t>
            </w:r>
          </w:p>
        </w:tc>
        <w:tc>
          <w:tcPr>
            <w:tcW w:w="770" w:type="dxa"/>
            <w:shd w:val="clear" w:color="auto" w:fill="D9D9D9"/>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一</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强化顶层设计引领，发挥政府宏观指导作用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建立</w:t>
            </w:r>
            <w:r>
              <w:rPr>
                <w:rFonts w:ascii="Times New Roman" w:hAnsi="Times New Roman" w:eastAsia="仿宋" w:cs="Times New Roman"/>
                <w:sz w:val="22"/>
                <w:szCs w:val="22"/>
              </w:rPr>
              <w:t>“</w:t>
            </w:r>
            <w:r>
              <w:rPr>
                <w:rFonts w:hint="eastAsia" w:ascii="Times New Roman" w:hAnsi="Times New Roman" w:eastAsia="仿宋" w:cs="仿宋"/>
                <w:sz w:val="22"/>
                <w:szCs w:val="22"/>
              </w:rPr>
              <w:t>无废城市</w:t>
            </w:r>
            <w:r>
              <w:rPr>
                <w:rFonts w:ascii="Times New Roman" w:hAnsi="Times New Roman" w:eastAsia="仿宋" w:cs="Times New Roman"/>
                <w:sz w:val="22"/>
                <w:szCs w:val="22"/>
              </w:rPr>
              <w:t>”</w:t>
            </w:r>
            <w:r>
              <w:rPr>
                <w:rFonts w:hint="eastAsia" w:ascii="Times New Roman" w:hAnsi="Times New Roman" w:eastAsia="仿宋" w:cs="仿宋"/>
                <w:sz w:val="22"/>
                <w:szCs w:val="22"/>
              </w:rPr>
              <w:t>建设工作领导小组，坚持高位统筹推动；建立目标指标体系，发挥导向引领作用；制定任务、责任及项目清单，明确各项具体举措。</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县政府</w:t>
            </w:r>
            <w:r>
              <w:rPr>
                <w:rFonts w:ascii="Times New Roman" w:hAnsi="Times New Roman" w:eastAsia="仿宋" w:cs="Times New Roman"/>
                <w:sz w:val="22"/>
                <w:szCs w:val="22"/>
              </w:rPr>
              <w:t xml:space="preserve"> </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县美丽岱山建设领导小组及各无废城市专项工作小组成员单位</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二</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全面抓好产废源头减量化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Merge w:val="restart"/>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抓好源头减量管理。鼓励工业固体废物产生量大的企业在场内开展综合利用处置，严格落实固体废物动态化清零要求。提高废水回用比例，强化废水分质分流处理，源头减少污泥产生。</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市生态环境局岱山分局、岱山经济开发区管委会</w:t>
            </w:r>
          </w:p>
        </w:tc>
        <w:tc>
          <w:tcPr>
            <w:tcW w:w="770"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Merge w:val="continue"/>
            <w:vAlign w:val="center"/>
          </w:tcPr>
          <w:p>
            <w:pPr>
              <w:pStyle w:val="35"/>
              <w:rPr>
                <w:rFonts w:ascii="Times New Roman" w:hAnsi="Times New Roman" w:eastAsia="仿宋" w:cs="Times New Roman"/>
                <w:sz w:val="22"/>
                <w:szCs w:val="22"/>
              </w:rPr>
            </w:pP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加快推进企业清洁生产，推动工业园区建设、循环化改造。</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县经信局、市生态环境局岱山分局</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加快形成绿色生产生活方式。推动循环性工业、生态农业、循环型服务业发展，构建循环经济产业链。</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县发改局、市生态环境局岱山分局、县农业农村局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2.3</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逐步推行生活垃圾处理收费制度，建立生活垃圾处理费用与产生量直接挂钩的差别化收费机制</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2.4</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深入推进</w:t>
            </w:r>
            <w:r>
              <w:rPr>
                <w:rFonts w:ascii="Times New Roman" w:hAnsi="Times New Roman" w:eastAsia="仿宋" w:cs="Times New Roman"/>
                <w:sz w:val="22"/>
                <w:szCs w:val="22"/>
              </w:rPr>
              <w:t>“</w:t>
            </w:r>
            <w:r>
              <w:rPr>
                <w:rFonts w:hint="eastAsia" w:ascii="Times New Roman" w:hAnsi="Times New Roman" w:eastAsia="仿宋" w:cs="仿宋"/>
                <w:sz w:val="22"/>
                <w:szCs w:val="22"/>
              </w:rPr>
              <w:t>肥药两制</w:t>
            </w:r>
            <w:r>
              <w:rPr>
                <w:rFonts w:ascii="Times New Roman" w:hAnsi="Times New Roman" w:eastAsia="仿宋" w:cs="Times New Roman"/>
                <w:sz w:val="22"/>
                <w:szCs w:val="22"/>
              </w:rPr>
              <w:t>”</w:t>
            </w:r>
            <w:r>
              <w:rPr>
                <w:rFonts w:hint="eastAsia" w:ascii="Times New Roman" w:hAnsi="Times New Roman" w:eastAsia="仿宋" w:cs="仿宋"/>
                <w:sz w:val="22"/>
                <w:szCs w:val="22"/>
              </w:rPr>
              <w:t>改革，减少化肥、农药等农业投入品使用量及其废弃物产生量。</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2927"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2.5</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推进快递包装绿色治理，提高符合标准的绿色包装材料应用比例</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市邮政管理局统一牵头</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2.6</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大力推广绿色建筑，推行绿色建造方式，提倡绿色构造、绿色施工、绿色室内装修。</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县住建局</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三</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全面落实分类贮存规范化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全面实施生活垃圾强制分类，到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年，全县城乡生活垃圾分类基本实现全覆盖，累计建成省、县级高标准生活垃圾分类示范小区</w:t>
            </w:r>
            <w:r>
              <w:rPr>
                <w:rFonts w:ascii="Times New Roman" w:hAnsi="Times New Roman" w:eastAsia="仿宋" w:cs="Times New Roman"/>
                <w:sz w:val="22"/>
                <w:szCs w:val="22"/>
              </w:rPr>
              <w:t>13</w:t>
            </w:r>
            <w:r>
              <w:rPr>
                <w:rFonts w:hint="eastAsia" w:ascii="Times New Roman" w:hAnsi="Times New Roman" w:eastAsia="仿宋" w:cs="仿宋"/>
                <w:sz w:val="22"/>
                <w:szCs w:val="22"/>
              </w:rPr>
              <w:t>个以上。</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县综合行政执法局、县农业农村局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各乡镇政府</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加强医疗废物源头分类管理。加强医疗机构医疗废物规范分类管理，推进对未被污染的一次性输液瓶（袋）规范化分类处置。</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县卫生健康局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县经信局、市生态环境局岱山分局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3.3</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提高工业固体废物分类贮存。制定一般工业固体废物源头管理和强制分类制度，严禁固体废物纳入生活垃圾收运体系，督促企业做好固体废物产生种类、属性、数量、去向等信息填报。增强工业危险废物分类贮存规范化管理水平，全面提升危险废物规范化管理达标率。</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四</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全面实现收集转运专业化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Merge w:val="restart"/>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建立完善的固体废物收集体系。建立健全精准化源头分类、专业化二次分拣、智能化高效清运、最大化资源利用、集中化统一处置的一般工业固体废物的治理体系。</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县经信局、市生态环境局岱山分局</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Merge w:val="continue"/>
            <w:vAlign w:val="center"/>
          </w:tcPr>
          <w:p>
            <w:pPr>
              <w:pStyle w:val="35"/>
              <w:rPr>
                <w:rFonts w:ascii="Times New Roman" w:hAnsi="Times New Roman" w:eastAsia="仿宋" w:cs="Times New Roman"/>
                <w:sz w:val="22"/>
                <w:szCs w:val="22"/>
              </w:rPr>
            </w:pP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全面推行医疗废物</w:t>
            </w:r>
            <w:r>
              <w:rPr>
                <w:rFonts w:ascii="Times New Roman" w:hAnsi="Times New Roman" w:eastAsia="仿宋" w:cs="Times New Roman"/>
                <w:sz w:val="22"/>
                <w:szCs w:val="22"/>
              </w:rPr>
              <w:t>“</w:t>
            </w:r>
            <w:r>
              <w:rPr>
                <w:rFonts w:hint="eastAsia" w:ascii="Times New Roman" w:hAnsi="Times New Roman" w:eastAsia="仿宋" w:cs="仿宋"/>
                <w:sz w:val="22"/>
                <w:szCs w:val="22"/>
              </w:rPr>
              <w:t>小箱进大箱</w:t>
            </w:r>
            <w:r>
              <w:rPr>
                <w:rFonts w:ascii="Times New Roman" w:hAnsi="Times New Roman" w:eastAsia="仿宋" w:cs="Times New Roman"/>
                <w:sz w:val="22"/>
                <w:szCs w:val="22"/>
              </w:rPr>
              <w:t>”</w:t>
            </w:r>
            <w:r>
              <w:rPr>
                <w:rFonts w:hint="eastAsia" w:ascii="Times New Roman" w:hAnsi="Times New Roman" w:eastAsia="仿宋" w:cs="仿宋"/>
                <w:sz w:val="22"/>
                <w:szCs w:val="22"/>
              </w:rPr>
              <w:t>行动实现医疗废物集中收集网络体系全覆盖</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县卫生健康局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县财政局、市生态环境局岱山分局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建立政府引导、企业主体、农户参与的农业废弃物收集体系，到</w:t>
            </w:r>
            <w:r>
              <w:rPr>
                <w:rFonts w:ascii="Times New Roman" w:hAnsi="Times New Roman" w:eastAsia="仿宋" w:cs="Times New Roman"/>
                <w:sz w:val="22"/>
                <w:szCs w:val="22"/>
              </w:rPr>
              <w:t>2020</w:t>
            </w:r>
            <w:r>
              <w:rPr>
                <w:rFonts w:hint="eastAsia" w:ascii="Times New Roman" w:hAnsi="Times New Roman" w:eastAsia="仿宋" w:cs="仿宋"/>
                <w:sz w:val="22"/>
                <w:szCs w:val="22"/>
              </w:rPr>
              <w:t>年，废旧农膜回收处理率达到</w:t>
            </w:r>
            <w:r>
              <w:rPr>
                <w:rFonts w:ascii="Times New Roman" w:hAnsi="Times New Roman" w:eastAsia="仿宋" w:cs="Times New Roman"/>
                <w:sz w:val="22"/>
                <w:szCs w:val="22"/>
              </w:rPr>
              <w:t>90%</w:t>
            </w:r>
            <w:r>
              <w:rPr>
                <w:rFonts w:hint="eastAsia" w:ascii="Times New Roman" w:hAnsi="Times New Roman" w:eastAsia="仿宋" w:cs="仿宋"/>
                <w:sz w:val="22"/>
                <w:szCs w:val="22"/>
              </w:rPr>
              <w:t>以上</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市生态环境局岱山分局、县综合行政执法局、县市场监管局、县供销社</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4.3</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持续完善病死猪无害化处理和农药包装废弃物回收制度，到</w:t>
            </w:r>
            <w:r>
              <w:rPr>
                <w:rFonts w:ascii="Times New Roman" w:hAnsi="Times New Roman" w:eastAsia="仿宋" w:cs="Times New Roman"/>
                <w:sz w:val="22"/>
                <w:szCs w:val="22"/>
              </w:rPr>
              <w:t>2020</w:t>
            </w:r>
            <w:r>
              <w:rPr>
                <w:rFonts w:hint="eastAsia" w:ascii="Times New Roman" w:hAnsi="Times New Roman" w:eastAsia="仿宋" w:cs="仿宋"/>
                <w:sz w:val="22"/>
                <w:szCs w:val="22"/>
              </w:rPr>
              <w:t>年，病死猪无害化集中处理率达到</w:t>
            </w:r>
            <w:r>
              <w:rPr>
                <w:rFonts w:ascii="Times New Roman" w:hAnsi="Times New Roman" w:eastAsia="仿宋" w:cs="Times New Roman"/>
                <w:sz w:val="22"/>
                <w:szCs w:val="22"/>
              </w:rPr>
              <w:t>90</w:t>
            </w:r>
            <w:r>
              <w:rPr>
                <w:rFonts w:hint="eastAsia" w:ascii="Times New Roman" w:hAnsi="Times New Roman" w:eastAsia="仿宋" w:cs="仿宋"/>
                <w:sz w:val="22"/>
                <w:szCs w:val="22"/>
              </w:rPr>
              <w:t>％以上，农药废弃包装物回收、处置率分别达到</w:t>
            </w:r>
            <w:r>
              <w:rPr>
                <w:rFonts w:ascii="Times New Roman" w:hAnsi="Times New Roman" w:eastAsia="仿宋" w:cs="Times New Roman"/>
                <w:sz w:val="22"/>
                <w:szCs w:val="22"/>
              </w:rPr>
              <w:t>80</w:t>
            </w:r>
            <w:r>
              <w:rPr>
                <w:rFonts w:hint="eastAsia" w:ascii="Times New Roman" w:hAnsi="Times New Roman" w:eastAsia="仿宋" w:cs="仿宋"/>
                <w:sz w:val="22"/>
                <w:szCs w:val="22"/>
              </w:rPr>
              <w:t>％和</w:t>
            </w:r>
            <w:r>
              <w:rPr>
                <w:rFonts w:ascii="Times New Roman" w:hAnsi="Times New Roman" w:eastAsia="仿宋" w:cs="Times New Roman"/>
                <w:sz w:val="22"/>
                <w:szCs w:val="22"/>
              </w:rPr>
              <w:t>90</w:t>
            </w:r>
            <w:r>
              <w:rPr>
                <w:rFonts w:hint="eastAsia" w:ascii="Times New Roman" w:hAnsi="Times New Roman" w:eastAsia="仿宋" w:cs="仿宋"/>
                <w:sz w:val="22"/>
                <w:szCs w:val="22"/>
              </w:rPr>
              <w:t>％以上</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县农业农村局、县供销社</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4.4</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大固体废物转运环节管控力度。加强运输车辆和从业人员管理，严格执行固体废物转移交接记录制度。对特定危险废物，鼓励通过探索危险废物运输管理新模式，允许在城市建成区内采用满足防扬散、防遗撒、防渗漏要求的运输方式。</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县交通运输局（港航分局）、县公安局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4.5</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对危险废物转运处置的疏堵结合，保障省县内危险废物合法转移。原则上废油漆桶、废矿物油和含矿物油类废物等省县内处置能力富余量较大的不出省，填埋类的以及经利用处置后新产生须填埋的危险废物不入县。</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4.6</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危险废物进出岱山的，荷载的危险废物种类须满足高速交警、交通运输、海事和港航等部门的管理要求。</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县交通运输局（港航分局）、岱山海事处</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4.7</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加强对港口船舶水污染物的接收和治理。不断提高船舶营运过程产生的含油污水、生活垃圾、一般固体废物、危险废物等污染物的接收、转运、处置能力</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市生态环境局岱山分局、县综合行政执法局、县海洋与渔业局、岱山海事处</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五</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全面促进资源利用最大化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4" w:hRule="atLeast"/>
          <w:jc w:val="center"/>
        </w:trPr>
        <w:tc>
          <w:tcPr>
            <w:tcW w:w="704" w:type="dxa"/>
            <w:vMerge w:val="restart"/>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大力拓宽工业固体废物综合利用渠道。大力发展循环经济，促进固体废物资源利用园区化、规模化和产业化。</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县经信局、市生态环境局岱山分局岱山经济开发区管委会</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Merge w:val="continue"/>
            <w:vAlign w:val="center"/>
          </w:tcPr>
          <w:p>
            <w:pPr>
              <w:pStyle w:val="35"/>
              <w:rPr>
                <w:rFonts w:ascii="Times New Roman" w:hAnsi="Times New Roman" w:eastAsia="仿宋" w:cs="Times New Roman"/>
                <w:sz w:val="22"/>
                <w:szCs w:val="22"/>
              </w:rPr>
            </w:pP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深入推进船舶修造等行业大宗工业固体废物综合利用及固体废物处理技术产业化推广。</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加快推动生活垃圾资源化利用。推广城乡生活垃圾可回收物利用、焚烧发电、生物处理等资源化利用方式。到</w:t>
            </w:r>
            <w:r>
              <w:rPr>
                <w:rFonts w:ascii="Times New Roman" w:hAnsi="Times New Roman" w:eastAsia="仿宋" w:cs="Times New Roman"/>
                <w:sz w:val="22"/>
                <w:szCs w:val="22"/>
              </w:rPr>
              <w:t>2020</w:t>
            </w:r>
            <w:r>
              <w:rPr>
                <w:rFonts w:hint="eastAsia" w:ascii="Times New Roman" w:hAnsi="Times New Roman" w:eastAsia="仿宋" w:cs="仿宋"/>
                <w:sz w:val="22"/>
                <w:szCs w:val="22"/>
              </w:rPr>
              <w:t>年底，全县培育有实力的再生资源回收企业</w:t>
            </w:r>
            <w:r>
              <w:rPr>
                <w:rFonts w:ascii="Times New Roman" w:hAnsi="Times New Roman" w:eastAsia="仿宋" w:cs="Times New Roman"/>
                <w:sz w:val="22"/>
                <w:szCs w:val="22"/>
              </w:rPr>
              <w:t>1</w:t>
            </w:r>
            <w:r>
              <w:rPr>
                <w:rFonts w:hint="eastAsia" w:ascii="Times New Roman" w:hAnsi="Times New Roman" w:eastAsia="仿宋" w:cs="仿宋"/>
                <w:sz w:val="22"/>
                <w:szCs w:val="22"/>
              </w:rPr>
              <w:t>家以上，城乡生活垃圾回收利用率达到</w:t>
            </w:r>
            <w:r>
              <w:rPr>
                <w:rFonts w:ascii="Times New Roman" w:hAnsi="Times New Roman" w:eastAsia="仿宋" w:cs="Times New Roman"/>
                <w:sz w:val="22"/>
                <w:szCs w:val="22"/>
              </w:rPr>
              <w:t>45%</w:t>
            </w:r>
            <w:r>
              <w:rPr>
                <w:rFonts w:hint="eastAsia" w:ascii="Times New Roman" w:hAnsi="Times New Roman" w:eastAsia="仿宋" w:cs="仿宋"/>
                <w:sz w:val="22"/>
                <w:szCs w:val="22"/>
              </w:rPr>
              <w:t>以上。</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县经信局、县农业农村局、县综合行政执法局</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5.3</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统筹推进建筑垃圾资源化利用。积极推动建筑垃圾精细化分类分质利用，完善收集、清运、分拣和再利用的一体化回收处置体系。健全建筑垃圾资源化利用产品标准体系，明确适用场景、应用领域等，提高建筑垃圾资源化再生产品质量</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县住建局、县综合行政执法局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县经信局、县市场监管局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5.4</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继续提升农业废弃物资源化利用水平。加强畜禽粪污处理设施长效运维，以种养循环、就近利用为重点，到</w:t>
            </w:r>
            <w:r>
              <w:rPr>
                <w:rFonts w:ascii="Times New Roman" w:hAnsi="Times New Roman" w:eastAsia="仿宋" w:cs="Times New Roman"/>
                <w:sz w:val="22"/>
                <w:szCs w:val="22"/>
              </w:rPr>
              <w:t>2020</w:t>
            </w:r>
            <w:r>
              <w:rPr>
                <w:rFonts w:hint="eastAsia" w:ascii="Times New Roman" w:hAnsi="Times New Roman" w:eastAsia="仿宋" w:cs="仿宋"/>
                <w:sz w:val="22"/>
                <w:szCs w:val="22"/>
              </w:rPr>
              <w:t>年，畜禽粪污综合利用率（无害化处置率）达到</w:t>
            </w:r>
            <w:r>
              <w:rPr>
                <w:rFonts w:ascii="Times New Roman" w:hAnsi="Times New Roman" w:eastAsia="仿宋" w:cs="Times New Roman"/>
                <w:sz w:val="22"/>
                <w:szCs w:val="22"/>
              </w:rPr>
              <w:t>95</w:t>
            </w:r>
            <w:r>
              <w:rPr>
                <w:rFonts w:hint="eastAsia" w:ascii="Times New Roman" w:hAnsi="Times New Roman" w:eastAsia="仿宋" w:cs="仿宋"/>
                <w:sz w:val="22"/>
                <w:szCs w:val="22"/>
              </w:rPr>
              <w:t>％以上。建立多途径的秸秆利用模式，到</w:t>
            </w:r>
            <w:r>
              <w:rPr>
                <w:rFonts w:ascii="Times New Roman" w:hAnsi="Times New Roman" w:eastAsia="仿宋" w:cs="Times New Roman"/>
                <w:sz w:val="22"/>
                <w:szCs w:val="22"/>
              </w:rPr>
              <w:t>2020</w:t>
            </w:r>
            <w:r>
              <w:rPr>
                <w:rFonts w:hint="eastAsia" w:ascii="Times New Roman" w:hAnsi="Times New Roman" w:eastAsia="仿宋" w:cs="仿宋"/>
                <w:sz w:val="22"/>
                <w:szCs w:val="22"/>
              </w:rPr>
              <w:t>年，秸秆综合利用率达到</w:t>
            </w:r>
            <w:r>
              <w:rPr>
                <w:rFonts w:ascii="Times New Roman" w:hAnsi="Times New Roman" w:eastAsia="仿宋" w:cs="Times New Roman"/>
                <w:sz w:val="22"/>
                <w:szCs w:val="22"/>
              </w:rPr>
              <w:t>95</w:t>
            </w:r>
            <w:r>
              <w:rPr>
                <w:rFonts w:hint="eastAsia" w:ascii="Times New Roman" w:hAnsi="Times New Roman" w:eastAsia="仿宋" w:cs="仿宋"/>
                <w:sz w:val="22"/>
                <w:szCs w:val="22"/>
              </w:rPr>
              <w:t>％以上。</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县农业农村局</w:t>
            </w:r>
          </w:p>
          <w:p>
            <w:pPr>
              <w:pStyle w:val="35"/>
              <w:rPr>
                <w:rFonts w:ascii="Times New Roman" w:hAnsi="Times New Roman" w:eastAsia="仿宋" w:cs="Times New Roman"/>
                <w:sz w:val="22"/>
                <w:szCs w:val="22"/>
              </w:rPr>
            </w:pP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六</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全面推进处置能力匹配化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Merge w:val="restart"/>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6.1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加快补齐</w:t>
            </w:r>
            <w:r>
              <w:rPr>
                <w:rFonts w:ascii="Times New Roman" w:hAnsi="Times New Roman" w:eastAsia="仿宋" w:cs="Times New Roman"/>
                <w:sz w:val="22"/>
                <w:szCs w:val="22"/>
              </w:rPr>
              <w:t>“</w:t>
            </w:r>
            <w:r>
              <w:rPr>
                <w:rFonts w:hint="eastAsia" w:ascii="Times New Roman" w:hAnsi="Times New Roman" w:eastAsia="仿宋" w:cs="仿宋"/>
                <w:sz w:val="22"/>
                <w:szCs w:val="22"/>
              </w:rPr>
              <w:t>三废</w:t>
            </w:r>
            <w:r>
              <w:rPr>
                <w:rFonts w:ascii="Times New Roman" w:hAnsi="Times New Roman" w:eastAsia="仿宋" w:cs="Times New Roman"/>
                <w:sz w:val="22"/>
                <w:szCs w:val="22"/>
              </w:rPr>
              <w:t>”</w:t>
            </w:r>
            <w:r>
              <w:rPr>
                <w:rFonts w:hint="eastAsia" w:ascii="Times New Roman" w:hAnsi="Times New Roman" w:eastAsia="仿宋" w:cs="仿宋"/>
                <w:sz w:val="22"/>
                <w:szCs w:val="22"/>
              </w:rPr>
              <w:t>处置能力缺口。将固体废物处置设施纳入城市基础设施和公共设施范畴，形成规划</w:t>
            </w:r>
            <w:r>
              <w:rPr>
                <w:rFonts w:ascii="Times New Roman" w:hAnsi="Times New Roman" w:eastAsia="仿宋" w:cs="Times New Roman"/>
                <w:sz w:val="22"/>
                <w:szCs w:val="22"/>
              </w:rPr>
              <w:t>“</w:t>
            </w:r>
            <w:r>
              <w:rPr>
                <w:rFonts w:hint="eastAsia" w:ascii="Times New Roman" w:hAnsi="Times New Roman" w:eastAsia="仿宋" w:cs="仿宋"/>
                <w:sz w:val="22"/>
                <w:szCs w:val="22"/>
              </w:rPr>
              <w:t>一张图</w:t>
            </w:r>
            <w:r>
              <w:rPr>
                <w:rFonts w:ascii="Times New Roman" w:hAnsi="Times New Roman" w:eastAsia="仿宋" w:cs="Times New Roman"/>
                <w:sz w:val="22"/>
                <w:szCs w:val="22"/>
              </w:rPr>
              <w:t>”</w:t>
            </w:r>
            <w:r>
              <w:rPr>
                <w:rFonts w:hint="eastAsia" w:ascii="Times New Roman" w:hAnsi="Times New Roman" w:eastAsia="仿宋" w:cs="仿宋"/>
                <w:sz w:val="22"/>
                <w:szCs w:val="22"/>
              </w:rPr>
              <w:t>。到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年底前补齐全县一般工业固体废物、农业废弃物等处置能力缺口。建立工业固体废物、生活垃圾、建筑垃圾、农业废弃物、医疗废物等固体废物处理设施统筹协调机制，促进共建共享</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县发改局、市生态环境局岱山分局、县住建局、县农业农村局、县卫生健康局、县综合行政执法局、县供销社按职责分别牵头</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Merge w:val="continue"/>
            <w:vAlign w:val="center"/>
          </w:tcPr>
          <w:p>
            <w:pPr>
              <w:pStyle w:val="35"/>
              <w:rPr>
                <w:rFonts w:ascii="Times New Roman" w:hAnsi="Times New Roman" w:eastAsia="仿宋" w:cs="Times New Roman"/>
                <w:sz w:val="22"/>
                <w:szCs w:val="22"/>
              </w:rPr>
            </w:pP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加快推进污水零直排区建设和城市生活污水集中收集管网建设，继续完善大气工业废气、</w:t>
            </w:r>
            <w:r>
              <w:rPr>
                <w:rFonts w:ascii="Times New Roman" w:hAnsi="Times New Roman" w:eastAsia="仿宋" w:cs="Times New Roman"/>
                <w:sz w:val="22"/>
                <w:szCs w:val="22"/>
              </w:rPr>
              <w:t>VOCs</w:t>
            </w:r>
            <w:r>
              <w:rPr>
                <w:rFonts w:hint="eastAsia" w:ascii="Times New Roman" w:hAnsi="Times New Roman" w:eastAsia="仿宋" w:cs="仿宋"/>
                <w:sz w:val="22"/>
                <w:szCs w:val="22"/>
              </w:rPr>
              <w:t>等治理设施建设，确保废水无直排，废气无臭味。</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市生态环境局岱山分局、县住建局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岱山经济技术开发区管委会</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6.2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充分发挥市场配置资源的主体作用。建立生活垃圾、危险废物等固体废物处置价格的动态调整机制，通过调控供求关系推动处置价格合理化。到</w:t>
            </w:r>
            <w:r>
              <w:rPr>
                <w:rFonts w:ascii="Times New Roman" w:hAnsi="Times New Roman" w:eastAsia="仿宋" w:cs="Times New Roman"/>
                <w:sz w:val="22"/>
                <w:szCs w:val="22"/>
              </w:rPr>
              <w:t>2021</w:t>
            </w:r>
            <w:r>
              <w:rPr>
                <w:rFonts w:hint="eastAsia" w:ascii="Times New Roman" w:hAnsi="Times New Roman" w:eastAsia="仿宋" w:cs="仿宋"/>
                <w:sz w:val="22"/>
                <w:szCs w:val="22"/>
              </w:rPr>
              <w:t>年，形成技术先进、管理规范、能力富余、竞争充分的主要种类固体废物综合利用处置体系。</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县经信局、县市生态环境局岱山分局、县住建局、县农业农村局、县卫生健康局、县综合行政执法局、县供销社</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七</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全面营造高压严管常态化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Merge w:val="restart"/>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7.1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重点加强固体废物物流及资金流的管理。加大固体废物运输环节管控力度，严查无危险货物道路运输资质运输危险废物，以及非法通过跨桥大桥和港口码头运输危险废物的行为</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县交通运输局（港航分局）、岱山海事处</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县公安局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Merge w:val="continue"/>
            <w:vAlign w:val="center"/>
          </w:tcPr>
          <w:p>
            <w:pPr>
              <w:pStyle w:val="35"/>
              <w:rPr>
                <w:rFonts w:ascii="Times New Roman" w:hAnsi="Times New Roman" w:eastAsia="仿宋" w:cs="Times New Roman"/>
                <w:sz w:val="22"/>
                <w:szCs w:val="22"/>
              </w:rPr>
            </w:pP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严控产废单位将处置费用直接交付运输单位或个人并委托其全权处置固体废物的行为。</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7.2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持续加大执法力度。落实固体废物违法有奖举报制度，建立完善网格化的巡查机制。进一步完善环境保护税征管协作机制，对直接向环境排放固体废物的违法行为，依法征收环境保护税。强化行政执法与刑事司法、检察公益诉讼的协调联动，实施环境违法黑名单和产业禁入制度，形成环境执法高压震慑态势，对违法企业依据税收规定不给予相关税收减免优惠。</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县检察院、县公安局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八</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全面实现管理手段信息化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Merge w:val="restart"/>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全面提升管理信息化水平。全面实现固体废物管理台账、转移联单电子化。充分整合现有工业固废、危废、生活垃圾、建筑垃圾、农业废弃物、医疗垃圾、港口船舶水污染物等固体废物，构造固体废物信息联动共享机制，着力打造监管</w:t>
            </w:r>
            <w:r>
              <w:rPr>
                <w:rFonts w:ascii="Times New Roman" w:hAnsi="Times New Roman" w:eastAsia="仿宋" w:cs="Times New Roman"/>
                <w:sz w:val="22"/>
                <w:szCs w:val="22"/>
              </w:rPr>
              <w:t>“</w:t>
            </w:r>
            <w:r>
              <w:rPr>
                <w:rFonts w:hint="eastAsia" w:ascii="Times New Roman" w:hAnsi="Times New Roman" w:eastAsia="仿宋" w:cs="仿宋"/>
                <w:sz w:val="22"/>
                <w:szCs w:val="22"/>
              </w:rPr>
              <w:t>一张网</w:t>
            </w:r>
            <w:r>
              <w:rPr>
                <w:rFonts w:ascii="Times New Roman" w:hAnsi="Times New Roman" w:eastAsia="仿宋" w:cs="Times New Roman"/>
                <w:sz w:val="22"/>
                <w:szCs w:val="22"/>
              </w:rPr>
              <w:t>”</w:t>
            </w:r>
            <w:r>
              <w:rPr>
                <w:rFonts w:hint="eastAsia" w:ascii="Times New Roman" w:hAnsi="Times New Roman" w:eastAsia="仿宋" w:cs="仿宋"/>
                <w:sz w:val="22"/>
                <w:szCs w:val="22"/>
              </w:rPr>
              <w:t>。</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县大数据管理中心、县经信局、县交通运输局（港航分局）、县农业农村局、县卫生健康局、县综合行政执法局、岱山海事处、县供销社</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Merge w:val="continue"/>
            <w:vAlign w:val="center"/>
          </w:tcPr>
          <w:p>
            <w:pPr>
              <w:pStyle w:val="35"/>
              <w:rPr>
                <w:rFonts w:ascii="Times New Roman" w:hAnsi="Times New Roman" w:eastAsia="仿宋" w:cs="Times New Roman"/>
                <w:sz w:val="22"/>
                <w:szCs w:val="22"/>
              </w:rPr>
            </w:pP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推广信息监控、数据扫描、车载卫星定位系统和电子锁等手段，推动固体废物转运信息化监管能力建设</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县交通运输局（港航分局）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8.2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打造工业固废监管政府云服务平台。全力服务产废企业尤其是小微产废企业，通过政府云服务平关联产废企业、运输企业和处置企业的固废危废转运处置信息，实现智能化管理。产废企业、处置企业等可通过云服务平台合理安排转运时间、转运车辆、转运数量、转运路线等。同时云服务平台将产废企业和需求企业之间建立联结，实现信息共享功能。</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县大数据管理中心</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九</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全面推动治理行业产业化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Merge w:val="restart"/>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9.1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激发市场主体活力。大力培育发展环保产业，积极推广第三方环保管家服务，推动环保管家受产废者委托统筹开展废水、废气、固体废物的污染防治及处理处置工作</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Merge w:val="continue"/>
            <w:vAlign w:val="center"/>
          </w:tcPr>
          <w:p>
            <w:pPr>
              <w:pStyle w:val="35"/>
              <w:rPr>
                <w:rFonts w:ascii="Times New Roman" w:hAnsi="Times New Roman" w:eastAsia="仿宋" w:cs="Times New Roman"/>
                <w:sz w:val="22"/>
                <w:szCs w:val="22"/>
              </w:rPr>
            </w:pP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进一步落实固体废物回收利用处置企业税收优惠政策，支持引导企业做大做强。</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县税务局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9.2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大力推进治理技术创新。加强固体废物污染防治学科研究和专业建设，重点突破废水、废气污染防治过程中的固体废物减量化问题。支持企业与科研机构组建创新联合体，加强关键共性技术攻关和成果转化应用。</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县发改局、县教育局、市生态环境局岱山分局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十</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全面推动制度创新精准化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10.1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破解固体废物底数摸清难。全面推广整合各类固体废物管理信息系统，实现工业固体废物、港口船舶固体废物、生活垃圾、建筑垃圾、农业废弃物、医疗废物等全领域实现电子化申报，形成产废</w:t>
            </w:r>
            <w:r>
              <w:rPr>
                <w:rFonts w:ascii="Times New Roman" w:hAnsi="Times New Roman" w:eastAsia="仿宋" w:cs="Times New Roman"/>
                <w:sz w:val="22"/>
                <w:szCs w:val="22"/>
              </w:rPr>
              <w:t>“</w:t>
            </w:r>
            <w:r>
              <w:rPr>
                <w:rFonts w:hint="eastAsia" w:ascii="Times New Roman" w:hAnsi="Times New Roman" w:eastAsia="仿宋" w:cs="仿宋"/>
                <w:sz w:val="22"/>
                <w:szCs w:val="22"/>
              </w:rPr>
              <w:t>一本账</w:t>
            </w:r>
            <w:r>
              <w:rPr>
                <w:rFonts w:ascii="Times New Roman" w:hAnsi="Times New Roman" w:eastAsia="仿宋" w:cs="Times New Roman"/>
                <w:sz w:val="22"/>
                <w:szCs w:val="22"/>
              </w:rPr>
              <w:t>”</w:t>
            </w:r>
            <w:r>
              <w:rPr>
                <w:rFonts w:hint="eastAsia" w:ascii="Times New Roman" w:hAnsi="Times New Roman" w:eastAsia="仿宋" w:cs="仿宋"/>
                <w:sz w:val="22"/>
                <w:szCs w:val="22"/>
              </w:rPr>
              <w:t>。乡镇、工业园区（产业园区）负责加强对辖区固体废物产废者的指导服务。开展危险废物管理地方立法，并落实长效管理机制。</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县经信局、县农业农村局、县卫生健康局、县综合行政执法局、县交通运输局（港航分局）、岱山海事处、县供销社</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10.2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破解特种危险废物清运难。通过推广政府向有资质单位购买服务、危险废物持证经营单位委托授权和政府统一建设集中贮存设施等运营模式，着力解决小微产废企业危险废物收集转运不及时、处置出路不通畅问题，到</w:t>
            </w:r>
            <w:r>
              <w:rPr>
                <w:rFonts w:ascii="Times New Roman" w:hAnsi="Times New Roman" w:eastAsia="仿宋" w:cs="Times New Roman"/>
                <w:sz w:val="22"/>
                <w:szCs w:val="22"/>
              </w:rPr>
              <w:t>2020</w:t>
            </w:r>
            <w:r>
              <w:rPr>
                <w:rFonts w:hint="eastAsia" w:ascii="Times New Roman" w:hAnsi="Times New Roman" w:eastAsia="仿宋" w:cs="仿宋"/>
                <w:sz w:val="22"/>
                <w:szCs w:val="22"/>
              </w:rPr>
              <w:t>年，建立覆盖全县的小微产废企业危险废物及实验室废物集中统一收运体系。</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县教育局、县经信局、市生态环境局岱山分局、县卫生健康局、县市场监管局</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10.3</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破解综合利用产品出路难。根据市级统一部署，开展危险废物</w:t>
            </w:r>
            <w:r>
              <w:rPr>
                <w:rFonts w:ascii="Times New Roman" w:hAnsi="Times New Roman" w:eastAsia="仿宋" w:cs="Times New Roman"/>
                <w:sz w:val="22"/>
                <w:szCs w:val="22"/>
              </w:rPr>
              <w:t>“</w:t>
            </w:r>
            <w:r>
              <w:rPr>
                <w:rFonts w:hint="eastAsia" w:ascii="Times New Roman" w:hAnsi="Times New Roman" w:eastAsia="仿宋" w:cs="仿宋"/>
                <w:sz w:val="22"/>
                <w:szCs w:val="22"/>
              </w:rPr>
              <w:t>点对点</w:t>
            </w:r>
            <w:r>
              <w:rPr>
                <w:rFonts w:ascii="Times New Roman" w:hAnsi="Times New Roman" w:eastAsia="仿宋" w:cs="Times New Roman"/>
                <w:sz w:val="22"/>
                <w:szCs w:val="22"/>
              </w:rPr>
              <w:t>”</w:t>
            </w:r>
            <w:r>
              <w:rPr>
                <w:rFonts w:hint="eastAsia" w:ascii="Times New Roman" w:hAnsi="Times New Roman" w:eastAsia="仿宋" w:cs="仿宋"/>
                <w:sz w:val="22"/>
                <w:szCs w:val="22"/>
              </w:rPr>
              <w:t>利用及建设预处理点工作试点，探索建立危险废物综合利用后产品工艺管理和质量管理制度，加强对废矿物油、废渣等资源利用产品的管理。</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市生态环境局岱山分局、县市场监管局</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Merge w:val="restart"/>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10.4</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完善规划布局，鼓励建设观光工业式固体废物利用处置设施，力争工业固体废物利用处置项目落地建成。</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县发改局、县财政局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Merge w:val="continue"/>
            <w:vAlign w:val="center"/>
          </w:tcPr>
          <w:p>
            <w:pPr>
              <w:pStyle w:val="35"/>
              <w:rPr>
                <w:rFonts w:ascii="Times New Roman" w:hAnsi="Times New Roman" w:eastAsia="仿宋" w:cs="Times New Roman"/>
                <w:sz w:val="22"/>
                <w:szCs w:val="22"/>
              </w:rPr>
            </w:pP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根据上级要求落实固体废物处置生态补偿机制</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县财政局</w:t>
            </w: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十一</w:t>
            </w:r>
          </w:p>
        </w:tc>
        <w:tc>
          <w:tcPr>
            <w:tcW w:w="13244" w:type="dxa"/>
            <w:gridSpan w:val="4"/>
            <w:vAlign w:val="center"/>
          </w:tcPr>
          <w:p>
            <w:pPr>
              <w:pStyle w:val="35"/>
              <w:rPr>
                <w:rFonts w:ascii="Times New Roman" w:hAnsi="Times New Roman" w:eastAsia="仿宋" w:cs="Times New Roman"/>
                <w:b/>
                <w:bCs/>
                <w:sz w:val="22"/>
                <w:szCs w:val="22"/>
              </w:rPr>
            </w:pPr>
            <w:r>
              <w:rPr>
                <w:rFonts w:hint="eastAsia" w:ascii="Times New Roman" w:hAnsi="Times New Roman" w:eastAsia="仿宋" w:cs="仿宋"/>
                <w:b/>
                <w:bCs/>
                <w:sz w:val="22"/>
                <w:szCs w:val="22"/>
              </w:rPr>
              <w:t>全面形成齐抓共管制度化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11.1</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夯实产生者的主体责任。坚持污染物</w:t>
            </w:r>
            <w:r>
              <w:rPr>
                <w:rFonts w:ascii="Times New Roman" w:hAnsi="Times New Roman" w:eastAsia="仿宋" w:cs="Times New Roman"/>
                <w:sz w:val="22"/>
                <w:szCs w:val="22"/>
              </w:rPr>
              <w:t>“</w:t>
            </w:r>
            <w:r>
              <w:rPr>
                <w:rFonts w:hint="eastAsia" w:ascii="Times New Roman" w:hAnsi="Times New Roman" w:eastAsia="仿宋" w:cs="仿宋"/>
                <w:sz w:val="22"/>
                <w:szCs w:val="22"/>
              </w:rPr>
              <w:t>谁产生、谁负责</w:t>
            </w:r>
            <w:r>
              <w:rPr>
                <w:rFonts w:ascii="Times New Roman" w:hAnsi="Times New Roman" w:eastAsia="仿宋" w:cs="Times New Roman"/>
                <w:sz w:val="22"/>
                <w:szCs w:val="22"/>
              </w:rPr>
              <w:t>”</w:t>
            </w:r>
            <w:r>
              <w:rPr>
                <w:rFonts w:hint="eastAsia" w:ascii="Times New Roman" w:hAnsi="Times New Roman" w:eastAsia="仿宋" w:cs="仿宋"/>
                <w:sz w:val="22"/>
                <w:szCs w:val="22"/>
              </w:rPr>
              <w:t>、</w:t>
            </w:r>
            <w:r>
              <w:rPr>
                <w:rFonts w:ascii="Times New Roman" w:hAnsi="Times New Roman" w:eastAsia="仿宋" w:cs="Times New Roman"/>
                <w:sz w:val="22"/>
                <w:szCs w:val="22"/>
              </w:rPr>
              <w:t>“</w:t>
            </w:r>
            <w:r>
              <w:rPr>
                <w:rFonts w:hint="eastAsia" w:ascii="Times New Roman" w:hAnsi="Times New Roman" w:eastAsia="仿宋" w:cs="仿宋"/>
                <w:sz w:val="22"/>
                <w:szCs w:val="22"/>
              </w:rPr>
              <w:t>谁产生、谁治理</w:t>
            </w:r>
            <w:r>
              <w:rPr>
                <w:rFonts w:ascii="Times New Roman" w:hAnsi="Times New Roman" w:eastAsia="仿宋" w:cs="Times New Roman"/>
                <w:sz w:val="22"/>
                <w:szCs w:val="22"/>
              </w:rPr>
              <w:t>”</w:t>
            </w:r>
            <w:r>
              <w:rPr>
                <w:rFonts w:hint="eastAsia" w:ascii="Times New Roman" w:hAnsi="Times New Roman" w:eastAsia="仿宋" w:cs="仿宋"/>
                <w:sz w:val="22"/>
                <w:szCs w:val="22"/>
              </w:rPr>
              <w:t>的原则，推进源头减量，推动无害化利用处置。</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县发改局、县经信局、市生态环境局岱山分局、农业农村局、县卫生健康局、县综合行政执法局</w:t>
            </w:r>
          </w:p>
        </w:tc>
        <w:tc>
          <w:tcPr>
            <w:tcW w:w="2927" w:type="dxa"/>
            <w:vAlign w:val="center"/>
          </w:tcPr>
          <w:p>
            <w:pPr>
              <w:pStyle w:val="35"/>
              <w:rPr>
                <w:rFonts w:ascii="Times New Roman" w:hAnsi="Times New Roman" w:eastAsia="仿宋" w:cs="Times New Roman"/>
                <w:sz w:val="22"/>
                <w:szCs w:val="22"/>
              </w:rPr>
            </w:pPr>
          </w:p>
        </w:tc>
        <w:tc>
          <w:tcPr>
            <w:tcW w:w="770" w:type="dxa"/>
            <w:vAlign w:val="center"/>
          </w:tcPr>
          <w:p>
            <w:pPr>
              <w:pStyle w:val="35"/>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704" w:type="dxa"/>
            <w:vAlign w:val="center"/>
          </w:tcPr>
          <w:p>
            <w:pPr>
              <w:pStyle w:val="35"/>
              <w:rPr>
                <w:rFonts w:ascii="Times New Roman" w:hAnsi="Times New Roman" w:eastAsia="仿宋" w:cs="Times New Roman"/>
                <w:sz w:val="22"/>
                <w:szCs w:val="22"/>
              </w:rPr>
            </w:pPr>
            <w:r>
              <w:rPr>
                <w:rFonts w:ascii="Times New Roman" w:hAnsi="Times New Roman" w:eastAsia="仿宋" w:cs="Times New Roman"/>
                <w:sz w:val="22"/>
                <w:szCs w:val="22"/>
              </w:rPr>
              <w:t>11.2</w:t>
            </w:r>
          </w:p>
        </w:tc>
        <w:tc>
          <w:tcPr>
            <w:tcW w:w="7088"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压实政府的监管职责。进一步落实管行业必须管环保、管发展必须管环保、管生产必须管环保的要求，将部门齐抓共管的良好工作格局制度化，进一步提升我县固体废物管理水平。</w:t>
            </w:r>
          </w:p>
        </w:tc>
        <w:tc>
          <w:tcPr>
            <w:tcW w:w="2459"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市生态环境局岱山分局</w:t>
            </w:r>
          </w:p>
        </w:tc>
        <w:tc>
          <w:tcPr>
            <w:tcW w:w="2927" w:type="dxa"/>
            <w:vAlign w:val="center"/>
          </w:tcPr>
          <w:p>
            <w:pPr>
              <w:pStyle w:val="35"/>
              <w:rPr>
                <w:rFonts w:ascii="Times New Roman" w:hAnsi="Times New Roman" w:eastAsia="仿宋" w:cs="Times New Roman"/>
                <w:sz w:val="22"/>
                <w:szCs w:val="22"/>
              </w:rPr>
            </w:pPr>
            <w:r>
              <w:rPr>
                <w:rFonts w:hint="eastAsia" w:ascii="Times New Roman" w:hAnsi="Times New Roman" w:eastAsia="仿宋" w:cs="仿宋"/>
                <w:sz w:val="22"/>
                <w:szCs w:val="22"/>
              </w:rPr>
              <w:t>县经信局、县农业农村局、县卫生健康局、县综合行政执法局</w:t>
            </w:r>
          </w:p>
        </w:tc>
        <w:tc>
          <w:tcPr>
            <w:tcW w:w="770" w:type="dxa"/>
            <w:vAlign w:val="center"/>
          </w:tcPr>
          <w:p>
            <w:pPr>
              <w:pStyle w:val="35"/>
              <w:rPr>
                <w:rFonts w:ascii="Times New Roman" w:hAnsi="Times New Roman" w:eastAsia="仿宋" w:cs="Times New Roman"/>
                <w:sz w:val="22"/>
                <w:szCs w:val="22"/>
              </w:rPr>
            </w:pPr>
          </w:p>
        </w:tc>
      </w:tr>
      <w:bookmarkEnd w:id="21"/>
    </w:tbl>
    <w:p>
      <w:pPr>
        <w:rPr>
          <w:sz w:val="32"/>
          <w:szCs w:val="32"/>
        </w:rPr>
      </w:pPr>
    </w:p>
    <w:p>
      <w:pPr>
        <w:spacing w:line="360" w:lineRule="auto"/>
        <w:jc w:val="left"/>
        <w:rPr>
          <w:rFonts w:ascii="仿宋"/>
          <w:b/>
          <w:bC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Kaiti SC">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roman"/>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8D3"/>
    <w:multiLevelType w:val="multilevel"/>
    <w:tmpl w:val="095B28D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FA14C0"/>
    <w:multiLevelType w:val="singleLevel"/>
    <w:tmpl w:val="1DFA14C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40"/>
  <w:drawingGridVerticalSpacing w:val="381"/>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AF7"/>
    <w:rsid w:val="00006AFE"/>
    <w:rsid w:val="000074B3"/>
    <w:rsid w:val="000141C1"/>
    <w:rsid w:val="0001717F"/>
    <w:rsid w:val="00017781"/>
    <w:rsid w:val="00020EEE"/>
    <w:rsid w:val="00032668"/>
    <w:rsid w:val="00036773"/>
    <w:rsid w:val="000513B7"/>
    <w:rsid w:val="00055BDB"/>
    <w:rsid w:val="000730A3"/>
    <w:rsid w:val="0008116E"/>
    <w:rsid w:val="00084AFE"/>
    <w:rsid w:val="000907F3"/>
    <w:rsid w:val="00090A63"/>
    <w:rsid w:val="0009426E"/>
    <w:rsid w:val="00097A77"/>
    <w:rsid w:val="000A23EB"/>
    <w:rsid w:val="000A5583"/>
    <w:rsid w:val="000A642B"/>
    <w:rsid w:val="000B2099"/>
    <w:rsid w:val="000B3407"/>
    <w:rsid w:val="000D4166"/>
    <w:rsid w:val="000F1BAB"/>
    <w:rsid w:val="000F577B"/>
    <w:rsid w:val="000F7A87"/>
    <w:rsid w:val="000F7D1E"/>
    <w:rsid w:val="001053B6"/>
    <w:rsid w:val="00106615"/>
    <w:rsid w:val="001215E8"/>
    <w:rsid w:val="00131745"/>
    <w:rsid w:val="001329DF"/>
    <w:rsid w:val="00132A6D"/>
    <w:rsid w:val="00143A46"/>
    <w:rsid w:val="001443C6"/>
    <w:rsid w:val="00144669"/>
    <w:rsid w:val="0016014F"/>
    <w:rsid w:val="0016344D"/>
    <w:rsid w:val="00167D73"/>
    <w:rsid w:val="00172A27"/>
    <w:rsid w:val="001839A7"/>
    <w:rsid w:val="0019093B"/>
    <w:rsid w:val="00197EB5"/>
    <w:rsid w:val="001A1AA9"/>
    <w:rsid w:val="001C2399"/>
    <w:rsid w:val="001C5DA5"/>
    <w:rsid w:val="001C6D5D"/>
    <w:rsid w:val="001C7DDA"/>
    <w:rsid w:val="001D4897"/>
    <w:rsid w:val="001E31C2"/>
    <w:rsid w:val="001E383C"/>
    <w:rsid w:val="001E67E5"/>
    <w:rsid w:val="001F3EF2"/>
    <w:rsid w:val="001F6E9D"/>
    <w:rsid w:val="0020132E"/>
    <w:rsid w:val="0020776F"/>
    <w:rsid w:val="00210F14"/>
    <w:rsid w:val="002154DA"/>
    <w:rsid w:val="002278FC"/>
    <w:rsid w:val="00230E7A"/>
    <w:rsid w:val="00235A80"/>
    <w:rsid w:val="00241EA4"/>
    <w:rsid w:val="00255C55"/>
    <w:rsid w:val="002608FA"/>
    <w:rsid w:val="00260DBE"/>
    <w:rsid w:val="002628AC"/>
    <w:rsid w:val="002630A0"/>
    <w:rsid w:val="0027218D"/>
    <w:rsid w:val="002A5F2B"/>
    <w:rsid w:val="002B08F4"/>
    <w:rsid w:val="002C0303"/>
    <w:rsid w:val="002C3124"/>
    <w:rsid w:val="002D0433"/>
    <w:rsid w:val="002E30A0"/>
    <w:rsid w:val="002E498F"/>
    <w:rsid w:val="002F5287"/>
    <w:rsid w:val="0030396F"/>
    <w:rsid w:val="00314635"/>
    <w:rsid w:val="00333955"/>
    <w:rsid w:val="00344B36"/>
    <w:rsid w:val="003458E1"/>
    <w:rsid w:val="00345F0B"/>
    <w:rsid w:val="00380D82"/>
    <w:rsid w:val="0038173B"/>
    <w:rsid w:val="003963B1"/>
    <w:rsid w:val="00396452"/>
    <w:rsid w:val="003A0D98"/>
    <w:rsid w:val="003A31E0"/>
    <w:rsid w:val="003A7922"/>
    <w:rsid w:val="003B0B4D"/>
    <w:rsid w:val="003D455C"/>
    <w:rsid w:val="003E1C1E"/>
    <w:rsid w:val="003E4BC5"/>
    <w:rsid w:val="003E53B7"/>
    <w:rsid w:val="003E571E"/>
    <w:rsid w:val="0040005E"/>
    <w:rsid w:val="00402A48"/>
    <w:rsid w:val="0041076D"/>
    <w:rsid w:val="00417D40"/>
    <w:rsid w:val="00425397"/>
    <w:rsid w:val="00431AD6"/>
    <w:rsid w:val="004326A9"/>
    <w:rsid w:val="004635F4"/>
    <w:rsid w:val="004674A6"/>
    <w:rsid w:val="00473195"/>
    <w:rsid w:val="00474942"/>
    <w:rsid w:val="00483528"/>
    <w:rsid w:val="004A156C"/>
    <w:rsid w:val="004A72F0"/>
    <w:rsid w:val="00524653"/>
    <w:rsid w:val="00524BD4"/>
    <w:rsid w:val="00526964"/>
    <w:rsid w:val="005272D6"/>
    <w:rsid w:val="00527905"/>
    <w:rsid w:val="00530B4D"/>
    <w:rsid w:val="00545795"/>
    <w:rsid w:val="00552B3E"/>
    <w:rsid w:val="00561DD1"/>
    <w:rsid w:val="00565390"/>
    <w:rsid w:val="00596B02"/>
    <w:rsid w:val="005A2863"/>
    <w:rsid w:val="005B7861"/>
    <w:rsid w:val="005C4F38"/>
    <w:rsid w:val="005D5C19"/>
    <w:rsid w:val="005E5649"/>
    <w:rsid w:val="006050BE"/>
    <w:rsid w:val="0061296D"/>
    <w:rsid w:val="0061639B"/>
    <w:rsid w:val="00620543"/>
    <w:rsid w:val="00623032"/>
    <w:rsid w:val="00637F7F"/>
    <w:rsid w:val="00653FAD"/>
    <w:rsid w:val="00657547"/>
    <w:rsid w:val="00663A7D"/>
    <w:rsid w:val="00664D8F"/>
    <w:rsid w:val="006650C7"/>
    <w:rsid w:val="006C682A"/>
    <w:rsid w:val="006D145D"/>
    <w:rsid w:val="006D371F"/>
    <w:rsid w:val="006D44BF"/>
    <w:rsid w:val="006D5008"/>
    <w:rsid w:val="006E0F8D"/>
    <w:rsid w:val="006E69AD"/>
    <w:rsid w:val="006F4262"/>
    <w:rsid w:val="006F5A48"/>
    <w:rsid w:val="007008CA"/>
    <w:rsid w:val="00716C51"/>
    <w:rsid w:val="00723BB8"/>
    <w:rsid w:val="00730973"/>
    <w:rsid w:val="007357A9"/>
    <w:rsid w:val="00737549"/>
    <w:rsid w:val="007522CA"/>
    <w:rsid w:val="007531EF"/>
    <w:rsid w:val="00755C34"/>
    <w:rsid w:val="00760C58"/>
    <w:rsid w:val="00762528"/>
    <w:rsid w:val="00775716"/>
    <w:rsid w:val="007840B0"/>
    <w:rsid w:val="007906EE"/>
    <w:rsid w:val="007A1D6A"/>
    <w:rsid w:val="007A3719"/>
    <w:rsid w:val="007A6C24"/>
    <w:rsid w:val="007B2A36"/>
    <w:rsid w:val="007B3A02"/>
    <w:rsid w:val="007B4C24"/>
    <w:rsid w:val="007F60CB"/>
    <w:rsid w:val="00802B45"/>
    <w:rsid w:val="0080570F"/>
    <w:rsid w:val="00806BE6"/>
    <w:rsid w:val="0082218A"/>
    <w:rsid w:val="00822C3A"/>
    <w:rsid w:val="00825DC6"/>
    <w:rsid w:val="008362C2"/>
    <w:rsid w:val="00843233"/>
    <w:rsid w:val="00862295"/>
    <w:rsid w:val="00872B19"/>
    <w:rsid w:val="00875E65"/>
    <w:rsid w:val="00876A36"/>
    <w:rsid w:val="00887D48"/>
    <w:rsid w:val="008963B7"/>
    <w:rsid w:val="008A58F3"/>
    <w:rsid w:val="008C44BE"/>
    <w:rsid w:val="008C6C5D"/>
    <w:rsid w:val="008D25EA"/>
    <w:rsid w:val="008D7389"/>
    <w:rsid w:val="008F0841"/>
    <w:rsid w:val="008F18E2"/>
    <w:rsid w:val="008F3356"/>
    <w:rsid w:val="00901D26"/>
    <w:rsid w:val="0090294B"/>
    <w:rsid w:val="00903A50"/>
    <w:rsid w:val="0091218E"/>
    <w:rsid w:val="00920C5F"/>
    <w:rsid w:val="00922A36"/>
    <w:rsid w:val="00935BC7"/>
    <w:rsid w:val="00942FC4"/>
    <w:rsid w:val="00951F23"/>
    <w:rsid w:val="009607AF"/>
    <w:rsid w:val="009652F2"/>
    <w:rsid w:val="00965C77"/>
    <w:rsid w:val="00982BBB"/>
    <w:rsid w:val="00994C33"/>
    <w:rsid w:val="0099616A"/>
    <w:rsid w:val="009B44E4"/>
    <w:rsid w:val="009C0BE3"/>
    <w:rsid w:val="009C1477"/>
    <w:rsid w:val="009D4A31"/>
    <w:rsid w:val="009D4C6E"/>
    <w:rsid w:val="009E34FC"/>
    <w:rsid w:val="009E4113"/>
    <w:rsid w:val="009F3726"/>
    <w:rsid w:val="00A01BF5"/>
    <w:rsid w:val="00A05B28"/>
    <w:rsid w:val="00A13AE2"/>
    <w:rsid w:val="00A22E01"/>
    <w:rsid w:val="00A27C7E"/>
    <w:rsid w:val="00A303C6"/>
    <w:rsid w:val="00A32DE4"/>
    <w:rsid w:val="00A34400"/>
    <w:rsid w:val="00A55F30"/>
    <w:rsid w:val="00A61BED"/>
    <w:rsid w:val="00A61FA3"/>
    <w:rsid w:val="00A63FB8"/>
    <w:rsid w:val="00A67368"/>
    <w:rsid w:val="00A76E4D"/>
    <w:rsid w:val="00A87974"/>
    <w:rsid w:val="00A97198"/>
    <w:rsid w:val="00AA016F"/>
    <w:rsid w:val="00AA661B"/>
    <w:rsid w:val="00AB16E0"/>
    <w:rsid w:val="00AB544D"/>
    <w:rsid w:val="00AB6922"/>
    <w:rsid w:val="00AB7498"/>
    <w:rsid w:val="00AC76C7"/>
    <w:rsid w:val="00AD0879"/>
    <w:rsid w:val="00AE5012"/>
    <w:rsid w:val="00AE70CF"/>
    <w:rsid w:val="00AF2169"/>
    <w:rsid w:val="00B003B9"/>
    <w:rsid w:val="00B03536"/>
    <w:rsid w:val="00B131B1"/>
    <w:rsid w:val="00B31478"/>
    <w:rsid w:val="00B415EA"/>
    <w:rsid w:val="00B42579"/>
    <w:rsid w:val="00B5069C"/>
    <w:rsid w:val="00B550DD"/>
    <w:rsid w:val="00B55A07"/>
    <w:rsid w:val="00B5720C"/>
    <w:rsid w:val="00B63103"/>
    <w:rsid w:val="00B762BC"/>
    <w:rsid w:val="00B852CD"/>
    <w:rsid w:val="00B86B36"/>
    <w:rsid w:val="00B92EFD"/>
    <w:rsid w:val="00BA20EB"/>
    <w:rsid w:val="00BA558C"/>
    <w:rsid w:val="00BB347B"/>
    <w:rsid w:val="00BD1319"/>
    <w:rsid w:val="00BE17CF"/>
    <w:rsid w:val="00BE2714"/>
    <w:rsid w:val="00BF013A"/>
    <w:rsid w:val="00C06407"/>
    <w:rsid w:val="00C11E8E"/>
    <w:rsid w:val="00C17493"/>
    <w:rsid w:val="00C31BFF"/>
    <w:rsid w:val="00C35D0E"/>
    <w:rsid w:val="00C40E00"/>
    <w:rsid w:val="00C51ACE"/>
    <w:rsid w:val="00C53917"/>
    <w:rsid w:val="00C67F8F"/>
    <w:rsid w:val="00C7042D"/>
    <w:rsid w:val="00C802C0"/>
    <w:rsid w:val="00C87033"/>
    <w:rsid w:val="00C87EFF"/>
    <w:rsid w:val="00CA4F5A"/>
    <w:rsid w:val="00CB3A00"/>
    <w:rsid w:val="00CC0960"/>
    <w:rsid w:val="00CC0DED"/>
    <w:rsid w:val="00CC34E9"/>
    <w:rsid w:val="00CE591A"/>
    <w:rsid w:val="00CF68E1"/>
    <w:rsid w:val="00D0262A"/>
    <w:rsid w:val="00D0695F"/>
    <w:rsid w:val="00D106B5"/>
    <w:rsid w:val="00D36396"/>
    <w:rsid w:val="00D37EA0"/>
    <w:rsid w:val="00D46EAA"/>
    <w:rsid w:val="00D627BB"/>
    <w:rsid w:val="00D71233"/>
    <w:rsid w:val="00D73A89"/>
    <w:rsid w:val="00D81E93"/>
    <w:rsid w:val="00D84AA8"/>
    <w:rsid w:val="00D864E4"/>
    <w:rsid w:val="00DA01E5"/>
    <w:rsid w:val="00DA4549"/>
    <w:rsid w:val="00DB0DA5"/>
    <w:rsid w:val="00DB531C"/>
    <w:rsid w:val="00DB656A"/>
    <w:rsid w:val="00DB736E"/>
    <w:rsid w:val="00DC791C"/>
    <w:rsid w:val="00DE0E24"/>
    <w:rsid w:val="00DE6AFA"/>
    <w:rsid w:val="00E17397"/>
    <w:rsid w:val="00E201E3"/>
    <w:rsid w:val="00E34959"/>
    <w:rsid w:val="00E41734"/>
    <w:rsid w:val="00E4327D"/>
    <w:rsid w:val="00E51F92"/>
    <w:rsid w:val="00E57F07"/>
    <w:rsid w:val="00E731FD"/>
    <w:rsid w:val="00E76061"/>
    <w:rsid w:val="00E8448F"/>
    <w:rsid w:val="00E86E37"/>
    <w:rsid w:val="00E87309"/>
    <w:rsid w:val="00EA0006"/>
    <w:rsid w:val="00EA3B27"/>
    <w:rsid w:val="00EA3F70"/>
    <w:rsid w:val="00EB02A2"/>
    <w:rsid w:val="00ED147A"/>
    <w:rsid w:val="00EF6ACF"/>
    <w:rsid w:val="00F11A41"/>
    <w:rsid w:val="00F17D20"/>
    <w:rsid w:val="00F30E80"/>
    <w:rsid w:val="00F33F62"/>
    <w:rsid w:val="00F35738"/>
    <w:rsid w:val="00F5555D"/>
    <w:rsid w:val="00F82084"/>
    <w:rsid w:val="00F83E16"/>
    <w:rsid w:val="00F90DBC"/>
    <w:rsid w:val="00F923A9"/>
    <w:rsid w:val="00FD0537"/>
    <w:rsid w:val="00FD50B7"/>
    <w:rsid w:val="00FF2892"/>
    <w:rsid w:val="00FF6FB0"/>
    <w:rsid w:val="02F730A7"/>
    <w:rsid w:val="10D16A52"/>
    <w:rsid w:val="12161DB9"/>
    <w:rsid w:val="23CF41D2"/>
    <w:rsid w:val="338520E8"/>
    <w:rsid w:val="432C1913"/>
    <w:rsid w:val="435F2CA1"/>
    <w:rsid w:val="4A45573E"/>
    <w:rsid w:val="4DBD0DBF"/>
    <w:rsid w:val="7DF60A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nhideWhenUsed="0" w:uiPriority="99" w:semiHidden="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 w:cs="Times New Roman"/>
      <w:kern w:val="2"/>
      <w:sz w:val="28"/>
      <w:szCs w:val="28"/>
      <w:lang w:val="en-US" w:eastAsia="zh-CN" w:bidi="ar-SA"/>
    </w:rPr>
  </w:style>
  <w:style w:type="paragraph" w:styleId="2">
    <w:name w:val="heading 1"/>
    <w:basedOn w:val="1"/>
    <w:next w:val="1"/>
    <w:link w:val="18"/>
    <w:qFormat/>
    <w:uiPriority w:val="99"/>
    <w:pPr>
      <w:keepNext/>
      <w:keepLines/>
      <w:spacing w:before="240" w:line="560" w:lineRule="atLeast"/>
      <w:ind w:firstLine="200" w:firstLineChars="200"/>
      <w:outlineLvl w:val="0"/>
    </w:pPr>
    <w:rPr>
      <w:rFonts w:eastAsia="黑体"/>
      <w:kern w:val="44"/>
      <w:sz w:val="32"/>
      <w:szCs w:val="32"/>
    </w:rPr>
  </w:style>
  <w:style w:type="paragraph" w:styleId="3">
    <w:name w:val="heading 2"/>
    <w:basedOn w:val="1"/>
    <w:next w:val="1"/>
    <w:link w:val="19"/>
    <w:qFormat/>
    <w:uiPriority w:val="99"/>
    <w:pPr>
      <w:keepNext/>
      <w:keepLines/>
      <w:spacing w:before="120" w:after="60"/>
      <w:ind w:firstLine="200" w:firstLineChars="200"/>
      <w:outlineLvl w:val="1"/>
    </w:pPr>
    <w:rPr>
      <w:rFonts w:eastAsia="Kaiti SC"/>
      <w:sz w:val="30"/>
      <w:szCs w:val="30"/>
    </w:rPr>
  </w:style>
  <w:style w:type="paragraph" w:styleId="4">
    <w:name w:val="heading 3"/>
    <w:basedOn w:val="1"/>
    <w:next w:val="1"/>
    <w:link w:val="20"/>
    <w:qFormat/>
    <w:locked/>
    <w:uiPriority w:val="99"/>
    <w:pPr>
      <w:keepNext/>
      <w:keepLines/>
      <w:spacing w:before="10" w:after="10" w:line="360" w:lineRule="auto"/>
      <w:jc w:val="left"/>
      <w:outlineLvl w:val="2"/>
    </w:pPr>
    <w:rPr>
      <w:rFonts w:ascii="Calibri" w:hAnsi="Calibri" w:eastAsia="宋体" w:cs="Calibri"/>
      <w:b/>
      <w:bCs/>
    </w:rPr>
  </w:style>
  <w:style w:type="paragraph" w:styleId="5">
    <w:name w:val="heading 4"/>
    <w:basedOn w:val="1"/>
    <w:next w:val="1"/>
    <w:link w:val="21"/>
    <w:qFormat/>
    <w:locked/>
    <w:uiPriority w:val="99"/>
    <w:pPr>
      <w:keepNext/>
      <w:keepLines/>
      <w:spacing w:line="360" w:lineRule="auto"/>
      <w:jc w:val="left"/>
      <w:outlineLvl w:val="3"/>
    </w:pPr>
    <w:rPr>
      <w:rFonts w:ascii="Calibri" w:hAnsi="Calibri" w:eastAsia="宋体" w:cs="Calibri"/>
      <w:b/>
      <w:bCs/>
      <w:sz w:val="21"/>
      <w:szCs w:val="21"/>
    </w:rPr>
  </w:style>
  <w:style w:type="paragraph" w:styleId="6">
    <w:name w:val="heading 6"/>
    <w:basedOn w:val="1"/>
    <w:next w:val="1"/>
    <w:link w:val="22"/>
    <w:qFormat/>
    <w:uiPriority w:val="99"/>
    <w:pPr>
      <w:keepNext/>
      <w:keepLines/>
      <w:spacing w:before="240" w:after="64" w:line="320" w:lineRule="atLeast"/>
      <w:outlineLvl w:val="5"/>
    </w:pPr>
    <w:rPr>
      <w:rFonts w:ascii="等线 Light" w:hAnsi="等线 Light" w:eastAsia="等线 Light" w:cs="等线 Light"/>
      <w:b/>
      <w:bCs/>
      <w:sz w:val="24"/>
      <w:szCs w:val="24"/>
    </w:rPr>
  </w:style>
  <w:style w:type="character" w:default="1" w:styleId="16">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text"/>
    <w:basedOn w:val="1"/>
    <w:link w:val="23"/>
    <w:semiHidden/>
    <w:qFormat/>
    <w:uiPriority w:val="99"/>
    <w:pPr>
      <w:jc w:val="left"/>
    </w:pPr>
  </w:style>
  <w:style w:type="paragraph" w:styleId="8">
    <w:name w:val="Plain Text"/>
    <w:basedOn w:val="1"/>
    <w:link w:val="24"/>
    <w:uiPriority w:val="99"/>
    <w:pPr>
      <w:widowControl/>
      <w:spacing w:line="360" w:lineRule="auto"/>
    </w:pPr>
    <w:rPr>
      <w:rFonts w:ascii="宋体" w:hAnsi="Courier New" w:eastAsia="仿宋_GB2312" w:cs="宋体"/>
      <w:kern w:val="0"/>
      <w:sz w:val="21"/>
      <w:szCs w:val="21"/>
      <w:lang w:eastAsia="en-US"/>
    </w:rPr>
  </w:style>
  <w:style w:type="paragraph" w:styleId="9">
    <w:name w:val="Date"/>
    <w:basedOn w:val="1"/>
    <w:next w:val="1"/>
    <w:link w:val="25"/>
    <w:qFormat/>
    <w:uiPriority w:val="99"/>
    <w:pPr>
      <w:ind w:left="100" w:leftChars="2500"/>
    </w:pPr>
  </w:style>
  <w:style w:type="paragraph" w:styleId="10">
    <w:name w:val="Balloon Text"/>
    <w:basedOn w:val="1"/>
    <w:link w:val="26"/>
    <w:semiHidden/>
    <w:uiPriority w:val="99"/>
    <w:rPr>
      <w:rFonts w:ascii="宋体" w:eastAsia="宋体" w:cs="宋体"/>
      <w:sz w:val="18"/>
      <w:szCs w:val="18"/>
    </w:rPr>
  </w:style>
  <w:style w:type="paragraph" w:styleId="11">
    <w:name w:val="footer"/>
    <w:basedOn w:val="1"/>
    <w:link w:val="27"/>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8"/>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Normal (Web)"/>
    <w:basedOn w:val="1"/>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4">
    <w:name w:val="annotation subject"/>
    <w:basedOn w:val="7"/>
    <w:next w:val="7"/>
    <w:link w:val="29"/>
    <w:semiHidden/>
    <w:uiPriority w:val="99"/>
    <w:rPr>
      <w:b/>
      <w:bCs/>
    </w:rPr>
  </w:style>
  <w:style w:type="character" w:styleId="17">
    <w:name w:val="annotation reference"/>
    <w:basedOn w:val="16"/>
    <w:semiHidden/>
    <w:uiPriority w:val="99"/>
    <w:rPr>
      <w:sz w:val="21"/>
      <w:szCs w:val="21"/>
    </w:rPr>
  </w:style>
  <w:style w:type="character" w:customStyle="1" w:styleId="18">
    <w:name w:val="Heading 1 Char"/>
    <w:basedOn w:val="16"/>
    <w:link w:val="2"/>
    <w:qFormat/>
    <w:locked/>
    <w:uiPriority w:val="99"/>
    <w:rPr>
      <w:rFonts w:ascii="Times New Roman" w:hAnsi="Times New Roman" w:eastAsia="黑体" w:cs="Times New Roman"/>
      <w:kern w:val="44"/>
      <w:sz w:val="44"/>
      <w:szCs w:val="44"/>
    </w:rPr>
  </w:style>
  <w:style w:type="character" w:customStyle="1" w:styleId="19">
    <w:name w:val="Heading 2 Char"/>
    <w:basedOn w:val="16"/>
    <w:link w:val="3"/>
    <w:qFormat/>
    <w:locked/>
    <w:uiPriority w:val="99"/>
    <w:rPr>
      <w:rFonts w:ascii="Times New Roman" w:hAnsi="Times New Roman" w:eastAsia="Kaiti SC" w:cs="Times New Roman"/>
      <w:sz w:val="32"/>
      <w:szCs w:val="32"/>
    </w:rPr>
  </w:style>
  <w:style w:type="character" w:customStyle="1" w:styleId="20">
    <w:name w:val="Heading 3 Char"/>
    <w:basedOn w:val="16"/>
    <w:link w:val="4"/>
    <w:qFormat/>
    <w:locked/>
    <w:uiPriority w:val="99"/>
    <w:rPr>
      <w:rFonts w:ascii="Calibri" w:hAnsi="Calibri" w:cs="Calibri"/>
      <w:b/>
      <w:bCs/>
      <w:kern w:val="2"/>
      <w:sz w:val="28"/>
      <w:szCs w:val="28"/>
    </w:rPr>
  </w:style>
  <w:style w:type="character" w:customStyle="1" w:styleId="21">
    <w:name w:val="Heading 4 Char"/>
    <w:basedOn w:val="16"/>
    <w:link w:val="5"/>
    <w:qFormat/>
    <w:locked/>
    <w:uiPriority w:val="99"/>
    <w:rPr>
      <w:rFonts w:ascii="Calibri" w:hAnsi="Calibri" w:cs="Calibri"/>
      <w:b/>
      <w:bCs/>
      <w:kern w:val="2"/>
      <w:sz w:val="21"/>
      <w:szCs w:val="21"/>
    </w:rPr>
  </w:style>
  <w:style w:type="character" w:customStyle="1" w:styleId="22">
    <w:name w:val="Heading 6 Char"/>
    <w:basedOn w:val="16"/>
    <w:link w:val="6"/>
    <w:locked/>
    <w:uiPriority w:val="99"/>
    <w:rPr>
      <w:rFonts w:ascii="等线 Light" w:hAnsi="等线 Light" w:eastAsia="等线 Light" w:cs="等线 Light"/>
      <w:b/>
      <w:bCs/>
      <w:sz w:val="24"/>
      <w:szCs w:val="24"/>
    </w:rPr>
  </w:style>
  <w:style w:type="character" w:customStyle="1" w:styleId="23">
    <w:name w:val="Comment Text Char"/>
    <w:basedOn w:val="16"/>
    <w:link w:val="7"/>
    <w:semiHidden/>
    <w:locked/>
    <w:uiPriority w:val="99"/>
    <w:rPr>
      <w:rFonts w:ascii="Times New Roman" w:hAnsi="Times New Roman" w:eastAsia="仿宋" w:cs="Times New Roman"/>
      <w:kern w:val="2"/>
      <w:sz w:val="22"/>
      <w:szCs w:val="22"/>
    </w:rPr>
  </w:style>
  <w:style w:type="character" w:customStyle="1" w:styleId="24">
    <w:name w:val="Plain Text Char"/>
    <w:basedOn w:val="16"/>
    <w:link w:val="8"/>
    <w:locked/>
    <w:uiPriority w:val="99"/>
    <w:rPr>
      <w:rFonts w:ascii="宋体" w:hAnsi="Courier New" w:eastAsia="仿宋_GB2312" w:cs="宋体"/>
      <w:kern w:val="0"/>
      <w:sz w:val="21"/>
      <w:szCs w:val="21"/>
      <w:lang w:eastAsia="en-US"/>
    </w:rPr>
  </w:style>
  <w:style w:type="character" w:customStyle="1" w:styleId="25">
    <w:name w:val="Date Char"/>
    <w:basedOn w:val="16"/>
    <w:link w:val="9"/>
    <w:locked/>
    <w:uiPriority w:val="99"/>
    <w:rPr>
      <w:rFonts w:eastAsia="仿宋"/>
      <w:kern w:val="2"/>
      <w:sz w:val="28"/>
      <w:szCs w:val="28"/>
    </w:rPr>
  </w:style>
  <w:style w:type="character" w:customStyle="1" w:styleId="26">
    <w:name w:val="Balloon Text Char"/>
    <w:basedOn w:val="16"/>
    <w:link w:val="10"/>
    <w:qFormat/>
    <w:locked/>
    <w:uiPriority w:val="99"/>
    <w:rPr>
      <w:rFonts w:ascii="宋体" w:hAnsi="Times New Roman" w:eastAsia="宋体" w:cs="宋体"/>
      <w:sz w:val="18"/>
      <w:szCs w:val="18"/>
    </w:rPr>
  </w:style>
  <w:style w:type="character" w:customStyle="1" w:styleId="27">
    <w:name w:val="Footer Char"/>
    <w:basedOn w:val="16"/>
    <w:link w:val="11"/>
    <w:qFormat/>
    <w:locked/>
    <w:uiPriority w:val="99"/>
    <w:rPr>
      <w:rFonts w:ascii="Times New Roman" w:hAnsi="Times New Roman" w:eastAsia="仿宋" w:cs="Times New Roman"/>
      <w:kern w:val="2"/>
      <w:sz w:val="18"/>
      <w:szCs w:val="18"/>
    </w:rPr>
  </w:style>
  <w:style w:type="character" w:customStyle="1" w:styleId="28">
    <w:name w:val="Header Char"/>
    <w:basedOn w:val="16"/>
    <w:link w:val="12"/>
    <w:locked/>
    <w:uiPriority w:val="99"/>
    <w:rPr>
      <w:rFonts w:ascii="Times New Roman" w:hAnsi="Times New Roman" w:eastAsia="仿宋" w:cs="Times New Roman"/>
      <w:kern w:val="2"/>
      <w:sz w:val="18"/>
      <w:szCs w:val="18"/>
    </w:rPr>
  </w:style>
  <w:style w:type="character" w:customStyle="1" w:styleId="29">
    <w:name w:val="Comment Subject Char"/>
    <w:basedOn w:val="23"/>
    <w:link w:val="14"/>
    <w:qFormat/>
    <w:locked/>
    <w:uiPriority w:val="99"/>
  </w:style>
  <w:style w:type="paragraph" w:styleId="30">
    <w:name w:val="List Paragraph"/>
    <w:basedOn w:val="1"/>
    <w:qFormat/>
    <w:uiPriority w:val="99"/>
    <w:pPr>
      <w:ind w:firstLine="420" w:firstLineChars="200"/>
    </w:pPr>
  </w:style>
  <w:style w:type="paragraph" w:customStyle="1" w:styleId="31">
    <w:name w:val="修订1"/>
    <w:hidden/>
    <w:semiHidden/>
    <w:qFormat/>
    <w:uiPriority w:val="99"/>
    <w:rPr>
      <w:rFonts w:ascii="Times New Roman" w:hAnsi="Times New Roman" w:eastAsia="仿宋" w:cs="Times New Roman"/>
      <w:kern w:val="2"/>
      <w:sz w:val="28"/>
      <w:szCs w:val="28"/>
      <w:lang w:val="en-US" w:eastAsia="zh-CN" w:bidi="ar-SA"/>
    </w:rPr>
  </w:style>
  <w:style w:type="paragraph" w:customStyle="1" w:styleId="32">
    <w:name w:val="cucd-2"/>
    <w:next w:val="33"/>
    <w:uiPriority w:val="99"/>
    <w:pPr>
      <w:adjustRightInd w:val="0"/>
      <w:snapToGrid w:val="0"/>
      <w:spacing w:before="240" w:after="240" w:line="360" w:lineRule="auto"/>
      <w:outlineLvl w:val="1"/>
    </w:pPr>
    <w:rPr>
      <w:rFonts w:ascii="Times New Roman" w:hAnsi="Times New Roman" w:eastAsia="仿宋" w:cs="Times New Roman"/>
      <w:b/>
      <w:bCs/>
      <w:kern w:val="2"/>
      <w:sz w:val="32"/>
      <w:szCs w:val="32"/>
      <w:lang w:val="en-US" w:eastAsia="zh-CN" w:bidi="ar-SA"/>
    </w:rPr>
  </w:style>
  <w:style w:type="paragraph" w:customStyle="1" w:styleId="33">
    <w:name w:val="cucd-3"/>
    <w:next w:val="34"/>
    <w:qFormat/>
    <w:uiPriority w:val="99"/>
    <w:pPr>
      <w:adjustRightInd w:val="0"/>
      <w:snapToGrid w:val="0"/>
      <w:spacing w:before="240" w:after="160" w:line="360" w:lineRule="auto"/>
      <w:outlineLvl w:val="2"/>
    </w:pPr>
    <w:rPr>
      <w:rFonts w:ascii="Times New Roman" w:hAnsi="Times New Roman" w:eastAsia="仿宋" w:cs="Times New Roman"/>
      <w:b/>
      <w:bCs/>
      <w:kern w:val="2"/>
      <w:sz w:val="30"/>
      <w:szCs w:val="30"/>
      <w:lang w:val="en-US" w:eastAsia="zh-CN" w:bidi="ar-SA"/>
    </w:rPr>
  </w:style>
  <w:style w:type="paragraph" w:customStyle="1" w:styleId="34">
    <w:name w:val="cucd-4"/>
    <w:next w:val="1"/>
    <w:qFormat/>
    <w:uiPriority w:val="99"/>
    <w:pPr>
      <w:adjustRightInd w:val="0"/>
      <w:snapToGrid w:val="0"/>
      <w:spacing w:line="360" w:lineRule="auto"/>
      <w:outlineLvl w:val="3"/>
    </w:pPr>
    <w:rPr>
      <w:rFonts w:ascii="Times New Roman" w:hAnsi="Times New Roman" w:eastAsia="仿宋" w:cs="Times New Roman"/>
      <w:b/>
      <w:bCs/>
      <w:kern w:val="2"/>
      <w:sz w:val="30"/>
      <w:szCs w:val="30"/>
      <w:lang w:val="en-US" w:eastAsia="zh-CN" w:bidi="ar-SA"/>
    </w:rPr>
  </w:style>
  <w:style w:type="paragraph" w:customStyle="1" w:styleId="35">
    <w:name w:val="表格正文"/>
    <w:basedOn w:val="1"/>
    <w:uiPriority w:val="99"/>
    <w:pPr>
      <w:spacing w:line="360" w:lineRule="exact"/>
      <w:jc w:val="center"/>
    </w:pPr>
    <w:rPr>
      <w:rFonts w:ascii="Calibri" w:hAnsi="Calibri" w:eastAsia="宋体" w:cs="Calibri"/>
      <w:sz w:val="21"/>
      <w:szCs w:val="21"/>
    </w:rPr>
  </w:style>
  <w:style w:type="paragraph" w:customStyle="1" w:styleId="36">
    <w:name w:val="cucd-TB"/>
    <w:qFormat/>
    <w:uiPriority w:val="99"/>
    <w:pPr>
      <w:spacing w:line="360" w:lineRule="auto"/>
      <w:jc w:val="center"/>
    </w:pPr>
    <w:rPr>
      <w:rFonts w:ascii="Calibri" w:hAnsi="Calibri" w:eastAsia="等线"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45</Pages>
  <Words>4049</Words>
  <Characters>23081</Characters>
  <Lines>0</Lines>
  <Paragraphs>0</Paragraphs>
  <TotalTime>66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2020-07-27T15:24:00Z</dcterms:created>
  <dc:creator>YU HUI</dc:creator>
  <cp:lastModifiedBy>Administrator</cp:lastModifiedBy>
  <dcterms:modified xsi:type="dcterms:W3CDTF">2020-07-29T00:45:23Z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