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pStyle w:val="4"/>
        <w:widowControl/>
        <w:spacing w:beforeAutospacing="0" w:after="0" w:afterAutospacing="0" w:line="324" w:lineRule="atLeast"/>
        <w:ind w:left="0" w:right="0" w:firstLine="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36"/>
          <w:szCs w:val="36"/>
        </w:rPr>
        <w:t>201</w:t>
      </w:r>
      <w:r>
        <w:rPr>
          <w:rFonts w:hint="default" w:ascii="宋体" w:hAnsi="宋体" w:eastAsia="宋体" w:cs="宋体"/>
          <w:b/>
          <w:bCs/>
          <w:color w:val="000000"/>
          <w:kern w:val="0"/>
          <w:sz w:val="36"/>
          <w:szCs w:val="36"/>
        </w:rPr>
        <w:t>9年度政府信息公开年报</w:t>
      </w:r>
    </w:p>
    <w:p>
      <w:pPr>
        <w:pStyle w:val="4"/>
        <w:widowControl/>
        <w:spacing w:beforeAutospacing="0" w:after="0" w:afterAutospacing="0" w:line="324" w:lineRule="atLeast"/>
        <w:ind w:left="0" w:right="0" w:firstLine="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-SA"/>
        </w:rPr>
        <w:t>温州市投资促进局</w:t>
      </w:r>
    </w:p>
    <w:p>
      <w:pPr>
        <w:widowControl/>
        <w:spacing w:line="240" w:lineRule="auto"/>
        <w:jc w:val="center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spacing w:line="240" w:lineRule="auto"/>
        <w:ind w:firstLine="480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 xml:space="preserve">  201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/>
        </w:rPr>
        <w:t>9年，市投资促进局按照《中华人民共和国政府信息公开条例》和市委、市政府相关文件精神和会议要求，进一步完善提升网站、微信和微博公众号等信息公开平台，拓展信息公开内容，建立完善公开制度，强化公开监督，较好地完成了全年信息公开工作任务和要求。现将有关情况报告如下：</w:t>
      </w:r>
    </w:p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一、总体情况</w:t>
      </w:r>
    </w:p>
    <w:p>
      <w:pPr>
        <w:pStyle w:val="4"/>
        <w:widowControl/>
        <w:spacing w:beforeAutospacing="0" w:after="0" w:afterAutospacing="0" w:line="324" w:lineRule="atLeast"/>
        <w:ind w:left="0" w:leftChars="0" w:right="0" w:firstLine="0" w:firstLineChars="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cs="宋体"/>
          <w:color w:val="000000"/>
          <w:kern w:val="0"/>
          <w:sz w:val="24"/>
          <w:szCs w:val="24"/>
          <w:lang w:val="en-US" w:eastAsia="zh-CN" w:bidi="ar-SA"/>
        </w:rPr>
        <w:t xml:space="preserve">    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2019年，我局高度重视并持续抓好政府信息公开工作，建立了以局主要领导主抓、分管领导叶明坚具体负责、办公室牵头、各处室负责人落实的工作机制，并配备2名工作人员负责政府信息公开工作。同时建立完善信息公开相关制度，及时修改完善本局政府信息公开制度、网络问政和市长专线工作机制、新闻发布流程等，不断提升政府信息公开的效率和质量，最大限度满足在外商会、温商和社会各界的信息需求，促进我市投资促进工作又快又好发展。</w:t>
      </w:r>
    </w:p>
    <w:p>
      <w:pPr>
        <w:pStyle w:val="4"/>
        <w:widowControl/>
        <w:spacing w:beforeAutospacing="0" w:after="0" w:afterAutospacing="0" w:line="324" w:lineRule="atLeast"/>
        <w:ind w:left="0" w:leftChars="0" w:right="0" w:firstLine="0" w:firstLineChars="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eastAsia" w:cs="宋体"/>
          <w:color w:val="000000"/>
          <w:kern w:val="0"/>
          <w:sz w:val="24"/>
          <w:szCs w:val="24"/>
          <w:lang w:val="en-US" w:eastAsia="zh-CN" w:bidi="ar-SA"/>
        </w:rPr>
        <w:t xml:space="preserve">    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主要领导和分管领导多次部署政府信息公开工作并提出相关要求，局一把手还亲自参与开展政策解读、召开新闻发布会等。如:2019年1月，夏禹桨局长解读2020年工作思路与举措；</w:t>
      </w:r>
    </w:p>
    <w:p>
      <w:pPr>
        <w:pStyle w:val="4"/>
        <w:widowControl/>
        <w:spacing w:beforeAutospacing="0" w:after="0" w:afterAutospacing="0" w:line="324" w:lineRule="atLeast"/>
        <w:ind w:left="0" w:right="0" w:firstLine="48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 </w:t>
      </w:r>
    </w:p>
    <w:p>
      <w:pPr>
        <w:pStyle w:val="4"/>
        <w:widowControl/>
        <w:spacing w:beforeAutospacing="0" w:after="0" w:afterAutospacing="0" w:line="324" w:lineRule="atLeast"/>
        <w:ind w:left="0" w:right="0" w:firstLine="480"/>
        <w:jc w:val="left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 </w:t>
      </w:r>
    </w:p>
    <w:p>
      <w:pPr>
        <w:pStyle w:val="4"/>
        <w:widowControl/>
        <w:spacing w:beforeAutospacing="0" w:after="0" w:afterAutospacing="0" w:line="324" w:lineRule="atLeast"/>
        <w:ind w:left="0" w:right="0" w:firstLine="480"/>
        <w:jc w:val="left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fldChar w:fldCharType="begin" w:fldLock="1"/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instrText xml:space="preserve">INCLUDEPICTURE \d "afb0066c8a43ba5f7cc0c31cd9a7c44a" \* MERGEFORMATINET </w:instrText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fldChar w:fldCharType="separate"/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3983355" cy="3829685"/>
            <wp:effectExtent l="0" t="0" r="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 r:link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3355" cy="3829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fldChar w:fldCharType="end"/>
      </w:r>
      <w:r>
        <w:rPr>
          <w:rFonts w:hint="default" w:ascii="黑体" w:hAnsi="宋体" w:eastAsia="黑体" w:cs="黑体"/>
          <w:b w:val="0"/>
          <w:i w:val="0"/>
          <w:caps w:val="0"/>
          <w:color w:val="000000"/>
          <w:spacing w:val="0"/>
          <w:sz w:val="24"/>
          <w:szCs w:val="24"/>
          <w:u w:val="none"/>
        </w:rPr>
        <w:br w:type="textWrapping"/>
      </w:r>
      <w:r>
        <w:rPr>
          <w:rFonts w:hint="default" w:ascii="仿宋_GB2312" w:hAnsi="-webkit-standard" w:eastAsia="仿宋_GB2312" w:cs="仿宋_GB2312"/>
          <w:b w:val="0"/>
          <w:i w:val="0"/>
          <w:caps w:val="0"/>
          <w:color w:val="000000"/>
          <w:spacing w:val="0"/>
          <w:sz w:val="24"/>
          <w:szCs w:val="24"/>
          <w:u w:val="none"/>
        </w:rPr>
        <w:t>　　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2019年我局通过网站、微博微信等主动公开政府信息428条、227条，内容主要涉及招商引资、温商回归、商会建设等领域，需要社会公众广泛知晓或者参与的政策文件、通知公告、建议提案办理情况等规范性公文，以及工作动态、经验总结等方面政府信息。全文电子化率100%。</w:t>
      </w:r>
    </w:p>
    <w:p>
      <w:pPr>
        <w:pStyle w:val="4"/>
        <w:widowControl/>
        <w:spacing w:beforeAutospacing="0" w:after="0" w:afterAutospacing="0" w:line="54" w:lineRule="atLeast"/>
        <w:ind w:left="0" w:right="0" w:firstLine="480"/>
        <w:jc w:val="center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204470</wp:posOffset>
            </wp:positionH>
            <wp:positionV relativeFrom="paragraph">
              <wp:posOffset>156845</wp:posOffset>
            </wp:positionV>
            <wp:extent cx="4208145" cy="2607945"/>
            <wp:effectExtent l="0" t="0" r="0" b="3810"/>
            <wp:wrapTight wrapText="bothSides">
              <wp:wrapPolygon>
                <wp:start x="0" y="0"/>
                <wp:lineTo x="0" y="21679"/>
                <wp:lineTo x="21649" y="21679"/>
                <wp:lineTo x="21649" y="0"/>
                <wp:lineTo x="0" y="0"/>
              </wp:wrapPolygon>
            </wp:wrapTight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 r:link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26079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仿宋_GB2312" w:hAnsi="-webkit-standard" w:eastAsia="仿宋_GB2312" w:cs="仿宋_GB2312"/>
          <w:b w:val="0"/>
          <w:i w:val="0"/>
          <w:caps w:val="0"/>
          <w:color w:val="000000"/>
          <w:spacing w:val="0"/>
          <w:sz w:val="24"/>
          <w:szCs w:val="24"/>
          <w:u w:val="none"/>
        </w:rPr>
        <w:t>     </w:t>
      </w:r>
      <w:r>
        <w:rPr>
          <w:rFonts w:hint="default" w:ascii="仿宋_GB2312" w:hAnsi="-webkit-standard" w:eastAsia="仿宋_GB2312" w:cs="仿宋_GB2312"/>
          <w:b w:val="0"/>
          <w:i w:val="0"/>
          <w:caps w:val="0"/>
          <w:color w:val="000000"/>
          <w:spacing w:val="0"/>
          <w:sz w:val="24"/>
          <w:szCs w:val="24"/>
          <w:u w:val="none"/>
        </w:rPr>
        <w:t> 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网站</w:t>
      </w:r>
    </w:p>
    <w:p>
      <w:pPr>
        <w:pStyle w:val="4"/>
        <w:widowControl/>
        <w:spacing w:beforeAutospacing="0" w:after="0" w:afterAutospacing="0" w:line="324" w:lineRule="atLeast"/>
        <w:ind w:left="0" w:right="0" w:firstLine="480"/>
        <w:jc w:val="left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fldChar w:fldCharType="begin" w:fldLock="1"/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instrText xml:space="preserve">INCLUDEPICTURE \d "561896d5107f1d77dcdbe879b3328fa1" \* MERGEFORMATINET </w:instrText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fldChar w:fldCharType="separate"/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3926205" cy="3298190"/>
            <wp:effectExtent l="0" t="0" r="0" b="5080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8" r:link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3298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fldChar w:fldCharType="end"/>
      </w:r>
    </w:p>
    <w:p>
      <w:pPr>
        <w:pStyle w:val="4"/>
        <w:widowControl/>
        <w:spacing w:beforeAutospacing="0" w:after="0" w:afterAutospacing="0" w:line="324" w:lineRule="atLeast"/>
        <w:ind w:left="0" w:right="0" w:firstLine="2520"/>
        <w:jc w:val="left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微博</w:t>
      </w:r>
    </w:p>
    <w:p>
      <w:pPr>
        <w:pStyle w:val="4"/>
        <w:widowControl/>
        <w:spacing w:beforeAutospacing="0" w:after="0" w:afterAutospacing="0" w:line="324" w:lineRule="atLeast"/>
        <w:ind w:left="0" w:right="0" w:firstLine="480"/>
        <w:jc w:val="left"/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</w:pP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fldChar w:fldCharType="begin" w:fldLock="1"/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instrText xml:space="preserve">INCLUDEPICTURE \d "c37ad911ce229970db9a707e1b0daecd" \* MERGEFORMATINET </w:instrText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fldChar w:fldCharType="separate"/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drawing>
          <wp:inline distT="0" distB="0" distL="114300" distR="114300">
            <wp:extent cx="3931285" cy="3486785"/>
            <wp:effectExtent l="0" t="0" r="635" b="508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0" r:link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1285" cy="3486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-webkit-standard" w:hAnsi="-webkit-standard" w:eastAsia="-webkit-standard" w:cs="-webkit-standard"/>
          <w:b w:val="0"/>
          <w:i w:val="0"/>
          <w:caps w:val="0"/>
          <w:color w:val="000000"/>
          <w:spacing w:val="0"/>
          <w:sz w:val="27"/>
          <w:szCs w:val="27"/>
          <w:u w:val="none"/>
        </w:rPr>
        <w:fldChar w:fldCharType="end"/>
      </w:r>
    </w:p>
    <w:p>
      <w:pPr>
        <w:pStyle w:val="4"/>
        <w:widowControl/>
        <w:spacing w:beforeAutospacing="0" w:after="0" w:afterAutospacing="0" w:line="324" w:lineRule="atLeast"/>
        <w:ind w:left="0" w:right="0" w:firstLine="330"/>
        <w:jc w:val="center"/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微信公众号</w:t>
      </w:r>
    </w:p>
    <w:p>
      <w:pPr>
        <w:widowControl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二、主动公开政府信息情况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br w:type="textWrapping"/>
      </w:r>
    </w:p>
    <w:tbl>
      <w:tblPr>
        <w:tblStyle w:val="6"/>
        <w:tblW w:w="8140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3113"/>
        <w:gridCol w:w="1875"/>
        <w:gridCol w:w="6"/>
        <w:gridCol w:w="1265"/>
        <w:gridCol w:w="1881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95" w:hRule="atLeast"/>
          <w:jc w:val="center"/>
        </w:trPr>
        <w:tc>
          <w:tcPr>
            <w:tcW w:w="8140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第二十条第（一）项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882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制作数量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本年新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  <w:t>公开数量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对外公开总数量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23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规章</w:t>
            </w:r>
          </w:p>
        </w:tc>
        <w:tc>
          <w:tcPr>
            <w:tcW w:w="18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2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规范性文件</w:t>
            </w:r>
          </w:p>
        </w:tc>
        <w:tc>
          <w:tcPr>
            <w:tcW w:w="18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7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80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第二十条第（五）项</w:t>
            </w:r>
          </w:p>
        </w:tc>
      </w:tr>
      <w:tr>
        <w:tblPrEx>
          <w:tblLayout w:type="fixed"/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>
        <w:tblPrEx>
          <w:tblLayout w:type="fixed"/>
        </w:tblPrEx>
        <w:trPr>
          <w:trHeight w:val="528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行政许可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</w:tblPrEx>
        <w:trPr>
          <w:trHeight w:val="55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其他对外管理服务事项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</w:tblPrEx>
        <w:trPr>
          <w:trHeight w:val="406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第二十条第（六）项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34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1271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本年增/减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处理决定数量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3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行政处罚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09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行政强制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26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188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4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第二十条第（八）项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0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上一年项目数量</w:t>
            </w:r>
          </w:p>
        </w:tc>
        <w:tc>
          <w:tcPr>
            <w:tcW w:w="314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本年增/减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1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行政事业性收费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476" w:hRule="atLeast"/>
          <w:jc w:val="center"/>
        </w:trPr>
        <w:tc>
          <w:tcPr>
            <w:tcW w:w="8140" w:type="dxa"/>
            <w:gridSpan w:val="5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C6D9F1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第二十条第（九）项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5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信息内容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采购项目数量</w:t>
            </w:r>
          </w:p>
        </w:tc>
        <w:tc>
          <w:tcPr>
            <w:tcW w:w="3146" w:type="dxa"/>
            <w:gridSpan w:val="2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采购总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金额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39" w:hRule="atLeast"/>
          <w:jc w:val="center"/>
        </w:trPr>
        <w:tc>
          <w:tcPr>
            <w:tcW w:w="3113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政府集中采购</w:t>
            </w:r>
          </w:p>
        </w:tc>
        <w:tc>
          <w:tcPr>
            <w:tcW w:w="1881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3146" w:type="dxa"/>
            <w:gridSpan w:val="2"/>
            <w:tcBorders>
              <w:top w:val="nil"/>
              <w:left w:val="nil"/>
              <w:bottom w:val="single" w:color="auto" w:sz="8" w:space="0"/>
              <w:right w:val="single" w:color="000000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0</w:t>
            </w:r>
          </w:p>
        </w:tc>
      </w:tr>
    </w:tbl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三、收到和处理政府信息公开申请情况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br w:type="textWrapping"/>
      </w:r>
    </w:p>
    <w:tbl>
      <w:tblPr>
        <w:tblStyle w:val="6"/>
        <w:tblW w:w="9071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7"/>
        <w:gridCol w:w="854"/>
        <w:gridCol w:w="2086"/>
        <w:gridCol w:w="813"/>
        <w:gridCol w:w="755"/>
        <w:gridCol w:w="755"/>
        <w:gridCol w:w="813"/>
        <w:gridCol w:w="973"/>
        <w:gridCol w:w="711"/>
        <w:gridCol w:w="694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（本列数据的勾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稽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关系为：第一项加第二项之和，等于第三项加第四项之和）</w:t>
            </w:r>
          </w:p>
        </w:tc>
        <w:tc>
          <w:tcPr>
            <w:tcW w:w="5514" w:type="dxa"/>
            <w:gridSpan w:val="7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申请人情况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自然人</w:t>
            </w:r>
          </w:p>
        </w:tc>
        <w:tc>
          <w:tcPr>
            <w:tcW w:w="400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法人或其他组织</w:t>
            </w:r>
          </w:p>
        </w:tc>
        <w:tc>
          <w:tcPr>
            <w:tcW w:w="69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13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商业企业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科研机构</w:t>
            </w:r>
          </w:p>
        </w:tc>
        <w:tc>
          <w:tcPr>
            <w:tcW w:w="81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社会公益组织</w:t>
            </w:r>
          </w:p>
        </w:tc>
        <w:tc>
          <w:tcPr>
            <w:tcW w:w="97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法律服务机构</w:t>
            </w:r>
          </w:p>
        </w:tc>
        <w:tc>
          <w:tcPr>
            <w:tcW w:w="711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</w:t>
            </w:r>
          </w:p>
        </w:tc>
        <w:tc>
          <w:tcPr>
            <w:tcW w:w="69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一、本年新收政府信息公开申请数量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二、上年结转政府信息公开申请数量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三、本年度办理结果</w:t>
            </w: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（一）予以公开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（二）部分公开（区分处理的，只计这一情形，不计其他情形）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（三）不予公开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1.属于国家秘密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2.其他法律行政法规禁止公开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3.危及“三安全</w:t>
            </w: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一</w:t>
            </w: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稳定”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4.保护第三方合法权益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5.属于三类内部事务信息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6.属于四类过程性信息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7.属于行政执法案卷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8.属于行政查询事项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（四）无法提供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1.本机关不掌握相关政府信息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2.没有现成信息需要另行制作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3.补正后申请内容仍不明确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（五）</w:t>
            </w: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不予处</w:t>
            </w: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理</w:t>
            </w: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1.信访举报投诉类申请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2.重复申请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3.要求提供公开出版物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4.无正当理由大量反复申请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85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08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5.要求行政机关确认或重新出具已获取信息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（六）其他处理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17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40" w:type="dxa"/>
            <w:gridSpan w:val="2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楷体" w:hAnsi="楷体" w:eastAsia="楷体" w:cs="宋体"/>
                <w:color w:val="000000"/>
                <w:kern w:val="0"/>
                <w:sz w:val="20"/>
                <w:szCs w:val="20"/>
              </w:rPr>
              <w:t>（七）总计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2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557" w:type="dxa"/>
            <w:gridSpan w:val="3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四、结转下年度继续办理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81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97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9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textDirection w:val="lrTb"/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</w:tr>
    </w:tbl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四、政府信息公开行政复议、行政诉讼情况</w:t>
      </w:r>
    </w:p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</w:p>
    <w:tbl>
      <w:tblPr>
        <w:tblStyle w:val="6"/>
        <w:tblW w:w="9071" w:type="dxa"/>
        <w:jc w:val="center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04"/>
        <w:gridCol w:w="604"/>
        <w:gridCol w:w="604"/>
        <w:gridCol w:w="604"/>
        <w:gridCol w:w="658"/>
        <w:gridCol w:w="550"/>
        <w:gridCol w:w="605"/>
        <w:gridCol w:w="605"/>
        <w:gridCol w:w="605"/>
        <w:gridCol w:w="605"/>
        <w:gridCol w:w="605"/>
        <w:gridCol w:w="605"/>
        <w:gridCol w:w="605"/>
        <w:gridCol w:w="606"/>
        <w:gridCol w:w="606"/>
      </w:tblGrid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3074" w:type="dxa"/>
            <w:gridSpan w:val="5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行政复议</w:t>
            </w:r>
          </w:p>
        </w:tc>
        <w:tc>
          <w:tcPr>
            <w:tcW w:w="5997" w:type="dxa"/>
            <w:gridSpan w:val="10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行政诉讼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04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4" w:type="dxa"/>
            <w:vMerge w:val="restart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4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58" w:type="dxa"/>
            <w:vMerge w:val="restart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2970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未经复议直接起诉</w:t>
            </w:r>
          </w:p>
        </w:tc>
        <w:tc>
          <w:tcPr>
            <w:tcW w:w="3027" w:type="dxa"/>
            <w:gridSpan w:val="5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复议后起诉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04" w:type="dxa"/>
            <w:vMerge w:val="continue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04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658" w:type="dxa"/>
            <w:vMerge w:val="continue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spacing w:line="240" w:lineRule="auto"/>
              <w:jc w:val="left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结果维持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结果纠正</w:t>
            </w:r>
          </w:p>
        </w:tc>
        <w:tc>
          <w:tcPr>
            <w:tcW w:w="60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其他结果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尚未审结</w:t>
            </w:r>
          </w:p>
        </w:tc>
        <w:tc>
          <w:tcPr>
            <w:tcW w:w="60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总计</w:t>
            </w:r>
          </w:p>
        </w:tc>
      </w:tr>
      <w:tr>
        <w:tblPrEx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jc w:val="center"/>
        </w:trPr>
        <w:tc>
          <w:tcPr>
            <w:tcW w:w="60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5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="Calibri" w:hAnsi="Calibri" w:eastAsia="宋体" w:cs="Calibri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Calibri" w:hAnsi="Calibri" w:eastAsia="宋体" w:cs="Calibri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5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 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eastAsia="zh-CN"/>
              </w:rPr>
              <w:t>0</w:t>
            </w:r>
          </w:p>
        </w:tc>
        <w:tc>
          <w:tcPr>
            <w:tcW w:w="60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E6F4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auto"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</w:rPr>
              <w:t>0</w:t>
            </w:r>
          </w:p>
        </w:tc>
      </w:tr>
    </w:tbl>
    <w:p>
      <w:pPr>
        <w:widowControl/>
        <w:spacing w:line="240" w:lineRule="auto"/>
        <w:jc w:val="center"/>
        <w:rPr>
          <w:rFonts w:ascii="Segoe UI" w:hAnsi="Segoe UI" w:eastAsia="宋体" w:cs="Segoe UI"/>
          <w:color w:val="000000"/>
          <w:kern w:val="0"/>
          <w:sz w:val="24"/>
          <w:szCs w:val="24"/>
        </w:rPr>
      </w:pPr>
      <w:bookmarkStart w:id="0" w:name="_GoBack"/>
      <w:bookmarkEnd w:id="0"/>
    </w:p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五、存在的主要问题及改进情况</w:t>
      </w:r>
    </w:p>
    <w:p>
      <w:pPr>
        <w:pStyle w:val="4"/>
        <w:widowControl/>
        <w:spacing w:beforeAutospacing="0" w:after="0" w:afterAutospacing="0" w:line="324" w:lineRule="atLeast"/>
        <w:ind w:left="0" w:right="0" w:firstLine="48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虽然我局在信息公开工作上取得了一定成效，但与公众日益增进的信息需求相比依然存在一定差距，公开内容的及时性和全面性仍有待加强。2020年，我局将进一步加大《条例》的贯彻实施力度，大力推进政府信息公开，重点做好以下几方面工作：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　　1、进一步加强政府信息公开工作的培训和学习。提高干部职工对政务公开工作的思想认识，形成人人参与、人人关心的良好氛围。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　　2. 进一步健全政府信息公开的工作机制。完善政府信息公开内容审查和更新维护、考核评估、监督检查评议、培训宣传等工作制度，确保政府信息公开工作深入、持续、高效地开展。</w:t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br w:type="textWrapping"/>
      </w:r>
      <w:r>
        <w:rPr>
          <w:rFonts w:hint="default" w:ascii="宋体" w:hAnsi="宋体" w:eastAsia="宋体" w:cs="宋体"/>
          <w:color w:val="000000"/>
          <w:kern w:val="0"/>
          <w:sz w:val="24"/>
          <w:szCs w:val="24"/>
          <w:lang w:val="en-US" w:eastAsia="zh-CN" w:bidi="ar-SA"/>
        </w:rPr>
        <w:t>　　3. 进一步畅通政府信息公开渠道。加强网站建设和新闻宣传及微博微信等新媒体运用，积极利用信息化手段，丰富政府信息服务渠道，扩大公开内容和范围。</w:t>
      </w:r>
    </w:p>
    <w:p>
      <w:pPr>
        <w:widowControl/>
        <w:spacing w:line="240" w:lineRule="auto"/>
        <w:ind w:firstLine="480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</w:rPr>
        <w:t>六、其他需要报告的事项</w:t>
      </w:r>
    </w:p>
    <w:p>
      <w:pPr>
        <w:widowControl/>
        <w:spacing w:line="240" w:lineRule="auto"/>
        <w:ind w:firstLine="480"/>
        <w:rPr>
          <w:rFonts w:hint="eastAsia"/>
          <w:lang w:eastAsia="zh-CN"/>
        </w:rPr>
      </w:pPr>
      <w:r>
        <w:rPr>
          <w:rFonts w:hint="eastAsia"/>
          <w:lang w:eastAsia="zh-CN"/>
        </w:rPr>
        <w:t>无。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Segoe UI">
    <w:panose1 w:val="020B0502040204020203"/>
    <w:charset w:val="00"/>
    <w:family w:val="swiss"/>
    <w:pitch w:val="default"/>
    <w:sig w:usb0="00000000" w:usb1="00000000" w:usb2="00000009" w:usb3="00000000" w:csb0="000001FF" w:csb1="00000000"/>
  </w:font>
  <w:font w:name="-webkit-standard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简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_GB2312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adjustLineHeightInTable/>
    <w:doNotBreakWrappedTables/>
    <w:doNotWrapTextWithPunct/>
    <w:doNotUseEastAsianBreakRules/>
    <w:useFELayout/>
    <w:compatSetting w:name="compatibilityMode" w:uri="http://schemas.microsoft.com/office/word" w:val="12"/>
  </w:compat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20" w:lineRule="exact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 w:line="240" w:lineRule="auto"/>
      <w:jc w:val="left"/>
    </w:pPr>
    <w:rPr>
      <w:rFonts w:ascii="宋体" w:hAnsi="宋体" w:eastAsia="宋体" w:cs="宋体"/>
      <w:kern w:val="0"/>
      <w:sz w:val="24"/>
      <w:szCs w:val="24"/>
    </w:rPr>
  </w:style>
  <w:style w:type="character" w:customStyle="1" w:styleId="7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8">
    <w:name w:val="页脚 字符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561896d5107f1d77dcdbe879b3328fa1" TargetMode="External"/><Relationship Id="rId8" Type="http://schemas.openxmlformats.org/officeDocument/2006/relationships/image" Target="media/image3.png"/><Relationship Id="rId7" Type="http://schemas.openxmlformats.org/officeDocument/2006/relationships/image" Target="7a424787df05196ff9beaffb1a780b24" TargetMode="External"/><Relationship Id="rId6" Type="http://schemas.openxmlformats.org/officeDocument/2006/relationships/image" Target="media/image2.png"/><Relationship Id="rId5" Type="http://schemas.openxmlformats.org/officeDocument/2006/relationships/image" Target="afb0066c8a43ba5f7cc0c31cd9a7c44a" TargetMode="Externa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c37ad911ce229970db9a707e1b0daecd" TargetMode="External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201</Words>
  <Characters>1150</Characters>
  <Lines>9</Lines>
  <Paragraphs>2</Paragraphs>
  <TotalTime>0</TotalTime>
  <ScaleCrop>false</ScaleCrop>
  <LinksUpToDate>false</LinksUpToDate>
  <CharactersWithSpaces>1349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2019-12-25T10:08:00Z</dcterms:created>
  <dc:creator>dell</dc:creator>
  <cp:lastModifiedBy>陈秀秀的 iPhone</cp:lastModifiedBy>
  <dcterms:modified xsi:type="dcterms:W3CDTF">2020-02-24T16:08:30Z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2052-10.6.2</vt:lpwstr>
  </property>
</Properties>
</file>