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温州市交通运输局2019年政府信息公开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工作年度报告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和《浙江省政府信息公开暂行办法》，特向社会公布2019年度本机关信息公开年度报告。本报告由主要工作概述、主动公开信息情况、依申请公开信息情况、政府信息公开的收费及减免情况、复议诉讼情况、存在问题及改进措施等部分组成。本报告中所列数据的统计期限自2019年1月1日起至2019年12月31日止。本报告的电子版可在温州市交通运输局门户网站“温州交通”（</w:t>
      </w:r>
      <w:r>
        <w:rPr>
          <w:rFonts w:ascii="仿宋_GB2312" w:eastAsia="仿宋_GB2312"/>
          <w:sz w:val="32"/>
          <w:szCs w:val="32"/>
        </w:rPr>
        <w:t>wzjt.wenzhou.gov.cn</w:t>
      </w:r>
      <w:r>
        <w:rPr>
          <w:rFonts w:hint="eastAsia" w:ascii="仿宋_GB2312" w:eastAsia="仿宋_GB2312"/>
          <w:sz w:val="32"/>
          <w:szCs w:val="32"/>
        </w:rPr>
        <w:t>）下载。如对本报告有任何疑问，</w:t>
      </w:r>
      <w:r>
        <w:rPr>
          <w:rFonts w:eastAsia="仿宋_GB2312"/>
          <w:kern w:val="0"/>
          <w:sz w:val="32"/>
          <w:szCs w:val="30"/>
        </w:rPr>
        <w:t>请与</w:t>
      </w:r>
      <w:r>
        <w:rPr>
          <w:rFonts w:hint="eastAsia" w:eastAsia="仿宋_GB2312"/>
          <w:kern w:val="0"/>
          <w:sz w:val="32"/>
          <w:szCs w:val="30"/>
        </w:rPr>
        <w:t>温州市交通运输局</w:t>
      </w:r>
      <w:r>
        <w:rPr>
          <w:rFonts w:eastAsia="仿宋_GB2312"/>
          <w:kern w:val="0"/>
          <w:sz w:val="32"/>
          <w:szCs w:val="30"/>
        </w:rPr>
        <w:t>政府信息公开工作机构联系（咨询电话：</w:t>
      </w:r>
      <w:r>
        <w:rPr>
          <w:rFonts w:hint="eastAsia" w:eastAsia="仿宋_GB2312"/>
          <w:kern w:val="0"/>
          <w:sz w:val="32"/>
          <w:szCs w:val="30"/>
        </w:rPr>
        <w:t>0577-88860352</w:t>
      </w:r>
      <w:r>
        <w:rPr>
          <w:rFonts w:eastAsia="仿宋_GB2312"/>
          <w:kern w:val="0"/>
          <w:sz w:val="32"/>
          <w:szCs w:val="30"/>
        </w:rPr>
        <w:t>）。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kern w:val="0"/>
          <w:sz w:val="32"/>
          <w:szCs w:val="30"/>
        </w:rPr>
        <w:t>一、</w:t>
      </w:r>
      <w:r>
        <w:rPr>
          <w:rFonts w:hint="eastAsia" w:eastAsia="黑体"/>
          <w:bCs/>
          <w:kern w:val="0"/>
          <w:sz w:val="32"/>
          <w:szCs w:val="30"/>
        </w:rPr>
        <w:t>总体情况</w:t>
      </w:r>
      <w:r>
        <w:rPr>
          <w:rFonts w:eastAsia="黑体"/>
          <w:bCs/>
          <w:kern w:val="0"/>
          <w:sz w:val="32"/>
          <w:szCs w:val="30"/>
        </w:rPr>
        <w:t>概述</w:t>
      </w:r>
    </w:p>
    <w:p>
      <w:pPr>
        <w:pStyle w:val="12"/>
        <w:adjustRightInd/>
        <w:snapToGrid/>
        <w:spacing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201</w:t>
      </w:r>
      <w:r>
        <w:rPr>
          <w:rFonts w:hint="eastAsia" w:ascii="Times New Roman" w:hAnsi="Times New Roman" w:eastAsia="仿宋_GB2312"/>
          <w:sz w:val="32"/>
        </w:rPr>
        <w:t>9</w:t>
      </w:r>
      <w:r>
        <w:rPr>
          <w:rFonts w:ascii="Times New Roman" w:hAnsi="Times New Roman" w:eastAsia="仿宋_GB2312"/>
          <w:sz w:val="32"/>
        </w:rPr>
        <w:t>年，</w:t>
      </w:r>
      <w:r>
        <w:rPr>
          <w:rFonts w:hint="eastAsia" w:ascii="Times New Roman" w:hAnsi="Times New Roman" w:eastAsia="仿宋_GB2312"/>
          <w:sz w:val="32"/>
        </w:rPr>
        <w:t>温州市交通运输局</w:t>
      </w:r>
      <w:r>
        <w:rPr>
          <w:rFonts w:ascii="Times New Roman" w:hAnsi="Times New Roman" w:eastAsia="仿宋_GB2312"/>
          <w:sz w:val="32"/>
        </w:rPr>
        <w:t>紧紧围绕中心工作，坚持以公开为常态，不公开为例外，加大</w:t>
      </w:r>
      <w:r>
        <w:rPr>
          <w:rFonts w:hint="eastAsia" w:ascii="Times New Roman" w:hAnsi="Times New Roman" w:eastAsia="仿宋_GB2312"/>
          <w:sz w:val="32"/>
        </w:rPr>
        <w:t>信息公开</w:t>
      </w:r>
      <w:r>
        <w:rPr>
          <w:rFonts w:ascii="Times New Roman" w:hAnsi="Times New Roman" w:eastAsia="仿宋_GB2312"/>
          <w:sz w:val="32"/>
        </w:rPr>
        <w:t>工作力度，积极回应社会关切，不断增强交通工作透明度，切实保障人民群众的知情权、参与权和监督权。</w:t>
      </w: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pStyle w:val="12"/>
        <w:adjustRightInd/>
        <w:snapToGrid/>
        <w:spacing w:line="560" w:lineRule="exact"/>
        <w:ind w:firstLine="640"/>
        <w:rPr>
          <w:rFonts w:ascii="楷体_GB2312" w:hAnsi="Times New Roman" w:eastAsia="楷体_GB2312"/>
          <w:sz w:val="32"/>
        </w:rPr>
      </w:pPr>
      <w:r>
        <w:rPr>
          <w:rFonts w:hint="eastAsia" w:ascii="楷体_GB2312" w:hAnsi="Times New Roman" w:eastAsia="楷体_GB2312"/>
          <w:sz w:val="32"/>
        </w:rPr>
        <w:t xml:space="preserve">（一）基础工作实效进一步提升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24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24"/>
        </w:rPr>
        <w:t>我局高度重视信息公开工作，</w:t>
      </w:r>
      <w:r>
        <w:rPr>
          <w:rFonts w:ascii="Times New Roman" w:hAnsi="Times New Roman" w:eastAsia="仿宋_GB2312"/>
          <w:bCs/>
          <w:kern w:val="0"/>
          <w:sz w:val="32"/>
          <w:szCs w:val="24"/>
        </w:rPr>
        <w:t>把政府信息公开工作列入重要议事日程</w:t>
      </w:r>
      <w:r>
        <w:rPr>
          <w:rFonts w:hint="eastAsia" w:ascii="Times New Roman" w:hAnsi="Times New Roman" w:eastAsia="仿宋_GB2312"/>
          <w:bCs/>
          <w:kern w:val="0"/>
          <w:sz w:val="32"/>
          <w:szCs w:val="24"/>
        </w:rPr>
        <w:t>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局办公室作为信息公开工作具体部门，负责政府信息公开的日常工作，履行主动公开、依申请公开的办理及审查工作。开展主动公开基本目录标准化规范化工作，根据我局新的“三定”方案，及时更新了主动公开基本目录。</w:t>
      </w:r>
      <w:r>
        <w:rPr>
          <w:rFonts w:hint="eastAsia" w:ascii="Times New Roman" w:hAnsi="Times New Roman" w:eastAsia="仿宋_GB2312"/>
          <w:bCs/>
          <w:kern w:val="0"/>
          <w:sz w:val="32"/>
          <w:szCs w:val="24"/>
        </w:rPr>
        <w:t>同时，根据市政府《关于进一步做好今年我市政务公开工作的通知》的工作要求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，落实具体工作任务。组织人员参加新修订《政府信息公开条例》培训，及时修改完善相关配套制度。</w:t>
      </w:r>
    </w:p>
    <w:p>
      <w:pPr>
        <w:pStyle w:val="12"/>
        <w:adjustRightInd/>
        <w:snapToGrid/>
        <w:spacing w:line="560" w:lineRule="exact"/>
        <w:ind w:firstLine="640"/>
        <w:rPr>
          <w:rFonts w:ascii="楷体_GB2312" w:hAnsi="Times New Roman" w:eastAsia="楷体_GB2312"/>
          <w:sz w:val="32"/>
        </w:rPr>
      </w:pPr>
      <w:r>
        <w:rPr>
          <w:rFonts w:ascii="楷体_GB2312" w:hAnsi="Times New Roman" w:eastAsia="楷体_GB2312"/>
          <w:sz w:val="32"/>
        </w:rPr>
        <w:t>（二）</w:t>
      </w:r>
      <w:r>
        <w:rPr>
          <w:rFonts w:hint="eastAsia" w:ascii="楷体_GB2312" w:hAnsi="Times New Roman" w:eastAsia="楷体_GB2312"/>
          <w:sz w:val="32"/>
        </w:rPr>
        <w:t>政策解读和公众关切回应进一步强化</w:t>
      </w:r>
    </w:p>
    <w:p>
      <w:pPr>
        <w:pStyle w:val="12"/>
        <w:adjustRightInd/>
        <w:snapToGrid/>
        <w:spacing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2019年，我局围绕重大交通项目建设、四好农村路建设、公共交通发展、市域铁路S1线全线营运、交通领域打赢蓝天保卫战等社会关切的热点话题，通过主流媒体、各大网络媒体报道2000余条次，其中浙江卫视、浙江日报刊发54条，温州日报163条（其中头版63条）。</w:t>
      </w:r>
    </w:p>
    <w:p>
      <w:pPr>
        <w:pStyle w:val="12"/>
        <w:adjustRightInd/>
        <w:snapToGrid/>
        <w:spacing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如甬台温高速复线灵昆至苍南段通车前夕，我局会同业主单位、省交通旅游导报社组织了“跨海之路、环浙骑游（温州站）活动，骑游选手800多人。期间进行了直播，由局领导对高速公路建设情况进行了解说，各大媒体纷纷报道。</w:t>
      </w:r>
    </w:p>
    <w:p>
      <w:pPr>
        <w:pStyle w:val="12"/>
        <w:adjustRightInd/>
        <w:snapToGrid/>
        <w:spacing w:before="50" w:line="560" w:lineRule="exact"/>
      </w:pPr>
      <w:r>
        <w:pict>
          <v:shape id="_x0000_s1026" o:spid="_x0000_s1026" o:spt="202" type="#_x0000_t202" style="position:absolute;left:0pt;margin-left:4pt;margin-top:-0.4pt;height:293.2pt;width:450.6pt;z-index:25165926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5448300" cy="3524250"/>
                        <wp:effectExtent l="19050" t="0" r="0" b="0"/>
                        <wp:docPr id="3" name="图片 1" descr="http://zizhan.mot.gov.cn/st/zhejiang/tupianfengcai/201910/W0201910224089600286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1" descr="http://zizhan.mot.gov.cn/st/zhejiang/tupianfengcai/201910/W0201910224089600286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1794" cy="3545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12"/>
        <w:adjustRightInd/>
        <w:snapToGrid/>
        <w:spacing w:before="50" w:line="560" w:lineRule="exact"/>
      </w:pPr>
    </w:p>
    <w:p>
      <w:pPr>
        <w:pStyle w:val="12"/>
        <w:adjustRightInd/>
        <w:snapToGrid/>
        <w:spacing w:before="50" w:line="560" w:lineRule="exact"/>
      </w:pPr>
    </w:p>
    <w:p>
      <w:pPr>
        <w:pStyle w:val="12"/>
        <w:adjustRightInd/>
        <w:snapToGrid/>
        <w:spacing w:before="50" w:line="560" w:lineRule="exact"/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此外，局</w:t>
      </w:r>
      <w:r>
        <w:rPr>
          <w:rFonts w:ascii="Times New Roman" w:hAnsi="Times New Roman" w:eastAsia="仿宋_GB2312"/>
          <w:sz w:val="32"/>
        </w:rPr>
        <w:t>领导通过新闻发布会、</w:t>
      </w:r>
      <w:r>
        <w:rPr>
          <w:rFonts w:hint="eastAsia" w:ascii="Times New Roman" w:hAnsi="Times New Roman" w:eastAsia="仿宋_GB2312"/>
          <w:sz w:val="32"/>
        </w:rPr>
        <w:t>媒体采访活动</w:t>
      </w:r>
      <w:r>
        <w:rPr>
          <w:rFonts w:ascii="Times New Roman" w:hAnsi="Times New Roman" w:eastAsia="仿宋_GB2312"/>
          <w:sz w:val="32"/>
        </w:rPr>
        <w:t>及相关会议、调研等活动，积极主动对</w:t>
      </w:r>
      <w:r>
        <w:rPr>
          <w:rFonts w:hint="eastAsia" w:ascii="Times New Roman" w:hAnsi="Times New Roman" w:eastAsia="仿宋_GB2312"/>
          <w:sz w:val="32"/>
        </w:rPr>
        <w:t>高速公路建设、交通领域蓝天保卫战、公共交通发展</w:t>
      </w:r>
      <w:r>
        <w:rPr>
          <w:rFonts w:ascii="Times New Roman" w:hAnsi="Times New Roman" w:eastAsia="仿宋_GB2312"/>
          <w:sz w:val="32"/>
        </w:rPr>
        <w:t>等进行政策宣讲和深入解读。</w:t>
      </w:r>
      <w:r>
        <w:rPr>
          <w:rFonts w:hint="eastAsia" w:ascii="Times New Roman" w:hAnsi="Times New Roman" w:eastAsia="仿宋_GB2312"/>
          <w:sz w:val="32"/>
        </w:rPr>
        <w:t>2019年共组织新闻发布会2次，参加温州电视台社情民意中间站媒体采访活动2次，参加高速公路通行费听证会2次。</w:t>
      </w:r>
    </w:p>
    <w:p>
      <w:pPr>
        <w:pStyle w:val="12"/>
        <w:adjustRightInd/>
        <w:snapToGrid/>
        <w:spacing w:before="50" w:afterLines="100"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如2019年8月7日，我局会同</w:t>
      </w:r>
      <w:r>
        <w:rPr>
          <w:rFonts w:ascii="Times New Roman" w:hAnsi="Times New Roman" w:eastAsia="仿宋_GB2312"/>
          <w:sz w:val="32"/>
        </w:rPr>
        <w:t>市生态环境局、市经济与信息化局、市公安局、市财政局和市商务局联合召开新闻发布会，宣布温州市将对国三及以下营运柴油货车进行淘汰</w:t>
      </w:r>
      <w:r>
        <w:rPr>
          <w:rFonts w:hint="eastAsia" w:ascii="Times New Roman" w:hAnsi="Times New Roman" w:eastAsia="仿宋_GB2312"/>
          <w:sz w:val="32"/>
        </w:rPr>
        <w:t>，对相关政策进行了解读</w:t>
      </w:r>
      <w:r>
        <w:rPr>
          <w:rFonts w:ascii="Times New Roman" w:hAnsi="Times New Roman" w:eastAsia="仿宋_GB2312"/>
          <w:sz w:val="32"/>
        </w:rPr>
        <w:t>。</w:t>
      </w:r>
    </w:p>
    <w:p>
      <w:pPr>
        <w:pStyle w:val="12"/>
        <w:adjustRightInd/>
        <w:snapToGrid/>
        <w:spacing w:before="50" w:line="560" w:lineRule="exact"/>
      </w:pPr>
      <w:r>
        <w:pict>
          <v:shape id="_x0000_s1027" o:spid="_x0000_s1027" o:spt="202" type="#_x0000_t202" style="position:absolute;left:0pt;margin-top:0pt;height:298.25pt;width:441pt;mso-position-horizontal:center;z-index:25166028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5419725" cy="3811270"/>
                        <wp:effectExtent l="19050" t="0" r="9196" b="0"/>
                        <wp:docPr id="5" name="图片 4" descr="http://wz.china.com.cn/pic/2019-08/08/cef34377-f439-482f-a0b0-a3e6d36702f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4" descr="http://wz.china.com.cn/pic/2019-08/08/cef34377-f439-482f-a0b0-a3e6d36702f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1200" cy="3812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12"/>
        <w:adjustRightInd/>
        <w:snapToGrid/>
        <w:spacing w:before="50" w:line="560" w:lineRule="exact"/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楷体_GB2312" w:hAnsi="Times New Roman" w:eastAsia="楷体_GB2312"/>
          <w:sz w:val="32"/>
        </w:rPr>
      </w:pPr>
      <w:r>
        <w:rPr>
          <w:rFonts w:hint="eastAsia" w:ascii="楷体_GB2312" w:hAnsi="Times New Roman" w:eastAsia="楷体_GB2312"/>
          <w:sz w:val="32"/>
        </w:rPr>
        <w:t>（三）平台和载体建设进一步加强</w:t>
      </w: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我局</w:t>
      </w:r>
      <w:r>
        <w:rPr>
          <w:rFonts w:ascii="Times New Roman" w:hAnsi="Times New Roman" w:eastAsia="仿宋_GB2312"/>
          <w:sz w:val="32"/>
        </w:rPr>
        <w:t>加强</w:t>
      </w:r>
      <w:r>
        <w:rPr>
          <w:rFonts w:hint="eastAsia" w:ascii="Times New Roman" w:hAnsi="Times New Roman" w:eastAsia="仿宋_GB2312"/>
          <w:sz w:val="32"/>
        </w:rPr>
        <w:t>了</w:t>
      </w:r>
      <w:r>
        <w:rPr>
          <w:rFonts w:ascii="Times New Roman" w:hAnsi="Times New Roman" w:eastAsia="仿宋_GB2312"/>
          <w:sz w:val="32"/>
        </w:rPr>
        <w:t>政务微博、微信</w:t>
      </w:r>
      <w:r>
        <w:rPr>
          <w:rFonts w:hint="eastAsia" w:ascii="Times New Roman" w:hAnsi="Times New Roman" w:eastAsia="仿宋_GB2312"/>
          <w:sz w:val="32"/>
        </w:rPr>
        <w:t>的</w:t>
      </w:r>
      <w:r>
        <w:rPr>
          <w:rFonts w:ascii="Times New Roman" w:hAnsi="Times New Roman" w:eastAsia="仿宋_GB2312"/>
          <w:sz w:val="32"/>
        </w:rPr>
        <w:t>信息发布力度，</w:t>
      </w:r>
      <w:r>
        <w:rPr>
          <w:rFonts w:hint="eastAsia" w:ascii="Times New Roman" w:hAnsi="Times New Roman" w:eastAsia="仿宋_GB2312"/>
          <w:sz w:val="32"/>
        </w:rPr>
        <w:t>突出面向公众的内容可读性。同时，加强了政府网站和政府信息公开网站的监测力度，做到实时监测、及时整改。</w:t>
      </w: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同时，我们还联合市</w:t>
      </w:r>
      <w:r>
        <w:rPr>
          <w:rFonts w:hint="eastAsia" w:ascii="Times New Roman" w:hAnsi="Times New Roman" w:eastAsia="仿宋_GB2312"/>
          <w:sz w:val="32"/>
          <w:lang w:eastAsia="zh-CN"/>
        </w:rPr>
        <w:t>委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</w:rPr>
        <w:t>网信办举办了全国网络大咖进温州看大交通活动，在新浪微博开设专题栏目，阅读量近3500万人次，宣传效应十分突出。</w:t>
      </w: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pict>
          <v:shape id="_x0000_s1028" o:spid="_x0000_s1028" o:spt="202" type="#_x0000_t202" style="position:absolute;left:0pt;margin-top:0pt;height:299.5pt;width:441.75pt;mso-position-horizontal:center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5417185" cy="3751580"/>
                        <wp:effectExtent l="19050" t="0" r="0" b="0"/>
                        <wp:docPr id="6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7017" t="20499" r="25413" b="72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7852" cy="377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bCs w:val="0"/>
          <w:sz w:val="32"/>
        </w:rPr>
      </w:pPr>
    </w:p>
    <w:p>
      <w:pPr>
        <w:pStyle w:val="12"/>
        <w:adjustRightInd/>
        <w:snapToGrid/>
        <w:spacing w:before="50" w:line="560" w:lineRule="exact"/>
        <w:ind w:firstLine="640"/>
        <w:rPr>
          <w:rFonts w:ascii="Times New Roman" w:hAnsi="Times New Roman" w:eastAsia="仿宋_GB2312"/>
          <w:bCs w:val="0"/>
          <w:sz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二、主动公开信息情况</w:t>
      </w:r>
    </w:p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6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49179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+15274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64453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4559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+1295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5854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225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-59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166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282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2016.65万元</w:t>
            </w: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三、收到和处理政府信息公开申请情况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</w:p>
    <w:tbl>
      <w:tblPr>
        <w:tblStyle w:val="6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四、政府信息公开行政复议、行政诉讼情况</w:t>
      </w:r>
    </w:p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bCs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五、存在的主要问题及改进措施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2019年，我局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在推进政务公开工作方面取得了新的成效。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但仍存在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一些短板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、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不足，主要是：主动公开的意识需进一步加强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，公开覆盖面还需要扩大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；政策解读的质量和时效需进一步提高；“五公开”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工作机制还需健全、力度还需加大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等。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下步，重点抓好以下工作：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</w:rPr>
      </w:pPr>
      <w:r>
        <w:rPr>
          <w:rFonts w:hint="eastAsia" w:ascii="楷体_GB2312" w:hAnsi="Times New Roman" w:eastAsia="楷体_GB2312" w:cs="Times New Roman"/>
          <w:bCs/>
          <w:sz w:val="32"/>
        </w:rPr>
        <w:t>（一）进一步</w:t>
      </w:r>
      <w:r>
        <w:rPr>
          <w:rFonts w:hint="eastAsia" w:ascii="楷体_GB2312" w:eastAsia="楷体_GB2312"/>
          <w:sz w:val="32"/>
        </w:rPr>
        <w:t>规范政务信息公开工作。</w:t>
      </w:r>
      <w:r>
        <w:rPr>
          <w:rFonts w:hint="eastAsia" w:ascii="Times New Roman" w:hAnsi="Times New Roman" w:eastAsia="仿宋_GB2312" w:cs="Times New Roman"/>
          <w:bCs/>
          <w:sz w:val="32"/>
        </w:rPr>
        <w:t>严格落实新修订的政府信息公开条例，完善相关工作制度，特别是</w:t>
      </w:r>
      <w:r>
        <w:rPr>
          <w:rFonts w:ascii="Times New Roman" w:hAnsi="Times New Roman" w:eastAsia="仿宋_GB2312" w:cs="Times New Roman"/>
          <w:bCs/>
          <w:sz w:val="32"/>
        </w:rPr>
        <w:t>将“五公开”要求落实到公文和会议办理程序</w:t>
      </w:r>
      <w:r>
        <w:rPr>
          <w:rFonts w:hint="eastAsia" w:ascii="Times New Roman" w:hAnsi="Times New Roman" w:eastAsia="仿宋_GB2312" w:cs="Times New Roman"/>
          <w:bCs/>
          <w:sz w:val="32"/>
        </w:rPr>
        <w:t>。认真做好信息目录的更新，全面、准确、及时发布信息，严格政务信息保密审查规定，做到一审一核，提高信息公开的知晓率。</w:t>
      </w:r>
    </w:p>
    <w:p>
      <w:pPr>
        <w:widowControl/>
        <w:spacing w:line="560" w:lineRule="exact"/>
        <w:ind w:firstLine="645"/>
        <w:jc w:val="left"/>
        <w:rPr>
          <w:rFonts w:ascii="Times New Roman" w:hAnsi="Times New Roman" w:eastAsia="仿宋_GB2312" w:cs="Times New Roman"/>
          <w:bCs/>
          <w:kern w:val="0"/>
          <w:sz w:val="32"/>
          <w:szCs w:val="24"/>
        </w:rPr>
      </w:pPr>
      <w:r>
        <w:rPr>
          <w:rFonts w:ascii="楷体_GB2312" w:hAnsi="宋体" w:eastAsia="楷体_GB2312" w:cs="宋体"/>
          <w:kern w:val="0"/>
          <w:sz w:val="32"/>
          <w:szCs w:val="24"/>
        </w:rPr>
        <w:t>（</w:t>
      </w:r>
      <w:r>
        <w:rPr>
          <w:rFonts w:hint="eastAsia" w:ascii="楷体_GB2312" w:hAnsi="宋体" w:eastAsia="楷体_GB2312" w:cs="宋体"/>
          <w:kern w:val="0"/>
          <w:sz w:val="32"/>
          <w:szCs w:val="24"/>
        </w:rPr>
        <w:t>二</w:t>
      </w:r>
      <w:r>
        <w:rPr>
          <w:rFonts w:ascii="楷体_GB2312" w:hAnsi="宋体" w:eastAsia="楷体_GB2312" w:cs="宋体"/>
          <w:kern w:val="0"/>
          <w:sz w:val="32"/>
          <w:szCs w:val="24"/>
        </w:rPr>
        <w:t>）进一步提升政策公开和解读的及时性、准确性。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做好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政策性文件与解读方案、解读材料同步组织、同步审签、同步部署。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及时通过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书面解读、新闻发布、专题访谈等多种方式，解读政策措施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24"/>
        </w:rPr>
        <w:t>，</w:t>
      </w:r>
      <w:r>
        <w:rPr>
          <w:rFonts w:ascii="Times New Roman" w:hAnsi="Times New Roman" w:eastAsia="仿宋_GB2312" w:cs="Times New Roman"/>
          <w:bCs/>
          <w:kern w:val="0"/>
          <w:sz w:val="32"/>
          <w:szCs w:val="24"/>
        </w:rPr>
        <w:t>及时准确传递政策意图。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bCs/>
          <w:sz w:val="32"/>
        </w:rPr>
        <w:t>（三）</w:t>
      </w:r>
      <w:r>
        <w:rPr>
          <w:rFonts w:hint="eastAsia" w:ascii="仿宋_GB2312" w:eastAsia="仿宋_GB2312"/>
          <w:sz w:val="32"/>
        </w:rPr>
        <w:t>依法做好依申请公开工作。</w:t>
      </w:r>
      <w:r>
        <w:rPr>
          <w:rFonts w:hint="eastAsia" w:ascii="Times New Roman" w:hAnsi="Times New Roman" w:eastAsia="仿宋_GB2312" w:cs="Times New Roman"/>
          <w:bCs/>
          <w:sz w:val="32"/>
        </w:rPr>
        <w:t>严格执行政府信息依申请公开工作制度，</w:t>
      </w:r>
      <w:r>
        <w:rPr>
          <w:rFonts w:ascii="Times New Roman" w:hAnsi="Times New Roman" w:eastAsia="仿宋_GB2312" w:cs="Times New Roman"/>
          <w:bCs/>
          <w:sz w:val="32"/>
        </w:rPr>
        <w:t>进一步完善申请受理、审查、办理、答复各环节工作流程</w:t>
      </w:r>
      <w:r>
        <w:rPr>
          <w:rFonts w:hint="eastAsia" w:ascii="Times New Roman" w:hAnsi="Times New Roman" w:eastAsia="仿宋_GB2312" w:cs="Times New Roman"/>
          <w:bCs/>
          <w:sz w:val="32"/>
        </w:rPr>
        <w:t>。对于经审核认定可以让社会广泛知晓的政府信息，在答复申请人的同时，通过主动公开渠道予以公开，减少对同一政府信息的重复申请。</w:t>
      </w:r>
    </w:p>
    <w:p>
      <w:pPr>
        <w:widowControl/>
        <w:spacing w:line="560" w:lineRule="exact"/>
        <w:ind w:firstLine="48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六、其他需要报告的事项</w:t>
      </w:r>
    </w:p>
    <w:p>
      <w:pPr>
        <w:widowControl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无</w:t>
      </w:r>
    </w:p>
    <w:sectPr>
      <w:pgSz w:w="11906" w:h="16838"/>
      <w:pgMar w:top="1814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BE48B2"/>
    <w:rsid w:val="00004ACF"/>
    <w:rsid w:val="00017ED4"/>
    <w:rsid w:val="00023CB5"/>
    <w:rsid w:val="00042858"/>
    <w:rsid w:val="00051E1B"/>
    <w:rsid w:val="0006104B"/>
    <w:rsid w:val="00065253"/>
    <w:rsid w:val="00065EF7"/>
    <w:rsid w:val="00072162"/>
    <w:rsid w:val="000950DE"/>
    <w:rsid w:val="000A1E13"/>
    <w:rsid w:val="000B43D1"/>
    <w:rsid w:val="000C5B41"/>
    <w:rsid w:val="000D59A1"/>
    <w:rsid w:val="000F0918"/>
    <w:rsid w:val="000F4D1B"/>
    <w:rsid w:val="000F674A"/>
    <w:rsid w:val="001014CA"/>
    <w:rsid w:val="00140458"/>
    <w:rsid w:val="00166ADD"/>
    <w:rsid w:val="001A5239"/>
    <w:rsid w:val="001B1067"/>
    <w:rsid w:val="001B6925"/>
    <w:rsid w:val="001B6FC4"/>
    <w:rsid w:val="001D1577"/>
    <w:rsid w:val="001E73F0"/>
    <w:rsid w:val="002102E5"/>
    <w:rsid w:val="0021383A"/>
    <w:rsid w:val="00214C5B"/>
    <w:rsid w:val="002150F4"/>
    <w:rsid w:val="00217F5A"/>
    <w:rsid w:val="002200CB"/>
    <w:rsid w:val="002203D3"/>
    <w:rsid w:val="00220F05"/>
    <w:rsid w:val="00227C30"/>
    <w:rsid w:val="002331C7"/>
    <w:rsid w:val="00236C32"/>
    <w:rsid w:val="00255F00"/>
    <w:rsid w:val="0027458C"/>
    <w:rsid w:val="00294BB3"/>
    <w:rsid w:val="002A2AF6"/>
    <w:rsid w:val="002A5C27"/>
    <w:rsid w:val="002B00DB"/>
    <w:rsid w:val="002B278E"/>
    <w:rsid w:val="002B3E64"/>
    <w:rsid w:val="002D7A92"/>
    <w:rsid w:val="002F0B1F"/>
    <w:rsid w:val="002F0F83"/>
    <w:rsid w:val="00332E4F"/>
    <w:rsid w:val="00341C0B"/>
    <w:rsid w:val="00345BB0"/>
    <w:rsid w:val="0035230E"/>
    <w:rsid w:val="00356001"/>
    <w:rsid w:val="0035680A"/>
    <w:rsid w:val="00367F5F"/>
    <w:rsid w:val="00386989"/>
    <w:rsid w:val="003A5DEE"/>
    <w:rsid w:val="003B416B"/>
    <w:rsid w:val="003C1CA3"/>
    <w:rsid w:val="003C1F46"/>
    <w:rsid w:val="003F3E67"/>
    <w:rsid w:val="00401859"/>
    <w:rsid w:val="00411A09"/>
    <w:rsid w:val="00416B08"/>
    <w:rsid w:val="00417F85"/>
    <w:rsid w:val="00427163"/>
    <w:rsid w:val="00433F8C"/>
    <w:rsid w:val="00435702"/>
    <w:rsid w:val="00447FC3"/>
    <w:rsid w:val="00451A71"/>
    <w:rsid w:val="004645D0"/>
    <w:rsid w:val="00465294"/>
    <w:rsid w:val="004701B1"/>
    <w:rsid w:val="00487903"/>
    <w:rsid w:val="00491770"/>
    <w:rsid w:val="004920AD"/>
    <w:rsid w:val="004B2998"/>
    <w:rsid w:val="004B4BEA"/>
    <w:rsid w:val="004C4ACF"/>
    <w:rsid w:val="004C6291"/>
    <w:rsid w:val="004D7B59"/>
    <w:rsid w:val="00506F44"/>
    <w:rsid w:val="00512F57"/>
    <w:rsid w:val="0054193F"/>
    <w:rsid w:val="00546FF9"/>
    <w:rsid w:val="00561234"/>
    <w:rsid w:val="005A350C"/>
    <w:rsid w:val="005A3FCC"/>
    <w:rsid w:val="005D1E0E"/>
    <w:rsid w:val="00601E34"/>
    <w:rsid w:val="00606778"/>
    <w:rsid w:val="00617FE1"/>
    <w:rsid w:val="0062462B"/>
    <w:rsid w:val="00626D14"/>
    <w:rsid w:val="00652E7D"/>
    <w:rsid w:val="00661074"/>
    <w:rsid w:val="00662A43"/>
    <w:rsid w:val="00671846"/>
    <w:rsid w:val="00681B94"/>
    <w:rsid w:val="00693207"/>
    <w:rsid w:val="006979F3"/>
    <w:rsid w:val="006A100A"/>
    <w:rsid w:val="006A6C60"/>
    <w:rsid w:val="006B5001"/>
    <w:rsid w:val="006B7A8B"/>
    <w:rsid w:val="006C285D"/>
    <w:rsid w:val="006D63B4"/>
    <w:rsid w:val="006E0B36"/>
    <w:rsid w:val="006F26DB"/>
    <w:rsid w:val="00702EA2"/>
    <w:rsid w:val="0070405A"/>
    <w:rsid w:val="00706054"/>
    <w:rsid w:val="00716889"/>
    <w:rsid w:val="007232DE"/>
    <w:rsid w:val="00723D3B"/>
    <w:rsid w:val="007750CB"/>
    <w:rsid w:val="007838C9"/>
    <w:rsid w:val="00790323"/>
    <w:rsid w:val="007A5BA3"/>
    <w:rsid w:val="007C53D7"/>
    <w:rsid w:val="007D3CD7"/>
    <w:rsid w:val="007E4ACA"/>
    <w:rsid w:val="007F1B7C"/>
    <w:rsid w:val="008476FF"/>
    <w:rsid w:val="00873C22"/>
    <w:rsid w:val="008916EF"/>
    <w:rsid w:val="008A07E0"/>
    <w:rsid w:val="008A4DEA"/>
    <w:rsid w:val="008B55B3"/>
    <w:rsid w:val="008C1EC3"/>
    <w:rsid w:val="008D306A"/>
    <w:rsid w:val="008F198A"/>
    <w:rsid w:val="008F403E"/>
    <w:rsid w:val="008F61B3"/>
    <w:rsid w:val="008F655D"/>
    <w:rsid w:val="00903FF6"/>
    <w:rsid w:val="00905173"/>
    <w:rsid w:val="00912702"/>
    <w:rsid w:val="0091298C"/>
    <w:rsid w:val="0092301B"/>
    <w:rsid w:val="009340F8"/>
    <w:rsid w:val="0093474D"/>
    <w:rsid w:val="00942E9B"/>
    <w:rsid w:val="00946AC5"/>
    <w:rsid w:val="00952CF2"/>
    <w:rsid w:val="009630E6"/>
    <w:rsid w:val="00971741"/>
    <w:rsid w:val="009918E9"/>
    <w:rsid w:val="0099686D"/>
    <w:rsid w:val="009A2BE9"/>
    <w:rsid w:val="009B56FB"/>
    <w:rsid w:val="009C4F63"/>
    <w:rsid w:val="009D4005"/>
    <w:rsid w:val="009E3C7F"/>
    <w:rsid w:val="00A10280"/>
    <w:rsid w:val="00A134A4"/>
    <w:rsid w:val="00A1478E"/>
    <w:rsid w:val="00A32181"/>
    <w:rsid w:val="00A35055"/>
    <w:rsid w:val="00A50DE6"/>
    <w:rsid w:val="00A57E14"/>
    <w:rsid w:val="00A655DE"/>
    <w:rsid w:val="00A74FDC"/>
    <w:rsid w:val="00A95B96"/>
    <w:rsid w:val="00AC6BB8"/>
    <w:rsid w:val="00AD054F"/>
    <w:rsid w:val="00AD5E5C"/>
    <w:rsid w:val="00B01533"/>
    <w:rsid w:val="00B06D23"/>
    <w:rsid w:val="00B14C22"/>
    <w:rsid w:val="00B3671F"/>
    <w:rsid w:val="00B401F8"/>
    <w:rsid w:val="00B473D4"/>
    <w:rsid w:val="00B60E16"/>
    <w:rsid w:val="00B6779D"/>
    <w:rsid w:val="00BB5F2C"/>
    <w:rsid w:val="00BC5DF4"/>
    <w:rsid w:val="00BD1A29"/>
    <w:rsid w:val="00BD2FD7"/>
    <w:rsid w:val="00BD6B24"/>
    <w:rsid w:val="00BE44C7"/>
    <w:rsid w:val="00BE48B2"/>
    <w:rsid w:val="00BE7BCE"/>
    <w:rsid w:val="00C301E1"/>
    <w:rsid w:val="00C33B35"/>
    <w:rsid w:val="00C72376"/>
    <w:rsid w:val="00C73935"/>
    <w:rsid w:val="00C73D0F"/>
    <w:rsid w:val="00C90353"/>
    <w:rsid w:val="00C97806"/>
    <w:rsid w:val="00CB3DAD"/>
    <w:rsid w:val="00CB4389"/>
    <w:rsid w:val="00CE47E2"/>
    <w:rsid w:val="00CE6D07"/>
    <w:rsid w:val="00CF0073"/>
    <w:rsid w:val="00CF0094"/>
    <w:rsid w:val="00CF0710"/>
    <w:rsid w:val="00CF2F19"/>
    <w:rsid w:val="00CF79D2"/>
    <w:rsid w:val="00D234F8"/>
    <w:rsid w:val="00D56187"/>
    <w:rsid w:val="00D61275"/>
    <w:rsid w:val="00D63306"/>
    <w:rsid w:val="00D74857"/>
    <w:rsid w:val="00D807EF"/>
    <w:rsid w:val="00D9663B"/>
    <w:rsid w:val="00DB08BE"/>
    <w:rsid w:val="00DC06D5"/>
    <w:rsid w:val="00DC0E91"/>
    <w:rsid w:val="00DD591D"/>
    <w:rsid w:val="00DD5B40"/>
    <w:rsid w:val="00DE5B31"/>
    <w:rsid w:val="00DE5EC1"/>
    <w:rsid w:val="00DF6609"/>
    <w:rsid w:val="00E113C5"/>
    <w:rsid w:val="00E1269F"/>
    <w:rsid w:val="00E204DB"/>
    <w:rsid w:val="00E2699A"/>
    <w:rsid w:val="00E510E2"/>
    <w:rsid w:val="00E51ECF"/>
    <w:rsid w:val="00E642C9"/>
    <w:rsid w:val="00E747D9"/>
    <w:rsid w:val="00E83A6A"/>
    <w:rsid w:val="00E83CCF"/>
    <w:rsid w:val="00E852B8"/>
    <w:rsid w:val="00EA55DC"/>
    <w:rsid w:val="00EA581A"/>
    <w:rsid w:val="00EB1D37"/>
    <w:rsid w:val="00EB3172"/>
    <w:rsid w:val="00EB360E"/>
    <w:rsid w:val="00EC5B92"/>
    <w:rsid w:val="00EF3517"/>
    <w:rsid w:val="00F043E0"/>
    <w:rsid w:val="00F072F9"/>
    <w:rsid w:val="00F17DD8"/>
    <w:rsid w:val="00F36360"/>
    <w:rsid w:val="00F363B0"/>
    <w:rsid w:val="00F36F3A"/>
    <w:rsid w:val="00F543D4"/>
    <w:rsid w:val="00F67521"/>
    <w:rsid w:val="00F769FB"/>
    <w:rsid w:val="00F77FD8"/>
    <w:rsid w:val="00FA5A11"/>
    <w:rsid w:val="00FA7412"/>
    <w:rsid w:val="00FB3737"/>
    <w:rsid w:val="00FC0E15"/>
    <w:rsid w:val="00FC12A8"/>
    <w:rsid w:val="00FC2A76"/>
    <w:rsid w:val="00FC632A"/>
    <w:rsid w:val="00FC7694"/>
    <w:rsid w:val="00FD1D34"/>
    <w:rsid w:val="00FD47D0"/>
    <w:rsid w:val="00FD4FEE"/>
    <w:rsid w:val="00FE52E5"/>
    <w:rsid w:val="00FE53FF"/>
    <w:rsid w:val="00FF44D2"/>
    <w:rsid w:val="570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1">
    <w:name w:val="正文2"/>
    <w:basedOn w:val="1"/>
    <w:uiPriority w:val="0"/>
    <w:pPr>
      <w:widowControl/>
      <w:spacing w:after="160" w:line="360" w:lineRule="auto"/>
      <w:ind w:firstLine="200" w:firstLineChars="200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2">
    <w:name w:val="@@正文"/>
    <w:uiPriority w:val="0"/>
    <w:pPr>
      <w:adjustRightInd w:val="0"/>
      <w:snapToGrid w:val="0"/>
      <w:spacing w:line="360" w:lineRule="auto"/>
      <w:ind w:firstLine="480" w:firstLineChars="200"/>
      <w:jc w:val="both"/>
    </w:pPr>
    <w:rPr>
      <w:rFonts w:ascii="仿宋" w:hAnsi="仿宋" w:eastAsia="仿宋" w:cs="Times New Roman"/>
      <w:bCs/>
      <w:kern w:val="0"/>
      <w:sz w:val="24"/>
      <w:szCs w:val="24"/>
      <w:lang w:val="en-US" w:eastAsia="zh-CN" w:bidi="ar-SA"/>
    </w:rPr>
  </w:style>
  <w:style w:type="character" w:customStyle="1" w:styleId="13">
    <w:name w:val="纯文本 Char"/>
    <w:link w:val="14"/>
    <w:uiPriority w:val="0"/>
    <w:rPr>
      <w:rFonts w:ascii="宋体" w:hAnsi="Courier New" w:eastAsia="仿宋_GB2312"/>
      <w:sz w:val="32"/>
      <w:szCs w:val="20"/>
    </w:rPr>
  </w:style>
  <w:style w:type="paragraph" w:customStyle="1" w:styleId="14">
    <w:name w:val="纯文本1"/>
    <w:basedOn w:val="1"/>
    <w:link w:val="13"/>
    <w:uiPriority w:val="0"/>
    <w:rPr>
      <w:rFonts w:ascii="宋体" w:hAnsi="Courier New" w:eastAsia="仿宋_GB2312"/>
      <w:sz w:val="32"/>
      <w:szCs w:val="20"/>
    </w:rPr>
  </w:style>
  <w:style w:type="character" w:customStyle="1" w:styleId="15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2374</Words>
  <Characters>2500</Characters>
  <Lines>22</Lines>
  <Paragraphs>6</Paragraphs>
  <TotalTime>1</TotalTime>
  <ScaleCrop>false</ScaleCrop>
  <LinksUpToDate>false</LinksUpToDate>
  <CharactersWithSpaces>2692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2020-02-27T06:28:00Z</dcterms:created>
  <dc:creator>蒋勇</dc:creator>
  <cp:lastModifiedBy>Administrator</cp:lastModifiedBy>
  <cp:lastPrinted>2019-01-03T01:37:00Z</cp:lastPrinted>
  <dcterms:modified xsi:type="dcterms:W3CDTF">2022-05-25T06:42:45Z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1CC7CEEBBE124961A8F5F1E7DB0EB09B</vt:lpwstr>
  </property>
</Properties>
</file>