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</w:rPr>
        <w:t>温州市安全生产监督管理局</w:t>
      </w:r>
      <w:r>
        <w:rPr>
          <w:rFonts w:ascii="宋体" w:hAnsi="宋体" w:eastAsia="宋体" w:cs="宋体"/>
          <w:b/>
          <w:bCs/>
          <w:kern w:val="0"/>
          <w:sz w:val="44"/>
          <w:szCs w:val="44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8</w:t>
      </w:r>
      <w:r>
        <w:rPr>
          <w:rFonts w:ascii="宋体" w:hAnsi="宋体" w:eastAsia="宋体" w:cs="宋体"/>
          <w:b/>
          <w:bCs/>
          <w:kern w:val="0"/>
          <w:sz w:val="44"/>
          <w:szCs w:val="44"/>
        </w:rPr>
        <w:t>年政府信息公开工作年度报告</w:t>
      </w:r>
    </w:p>
    <w:p>
      <w:pPr>
        <w:widowControl/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本年度报告根据《中华人民共和国政府信息公开条例》（以下简称《条例》）要求，由局办公室根据2018年度局信息公开工作情况编制而成。全文包括基本概况、主动公开政府信息情况、依申请公开政府信息情况、存在的主要问题及改进措施等。本年度报告中所列数据的统计时间为2018年1月1日至2018年12月30日。如对本年度报告有疑问，请与局办公室联系，电话：88968137。</w:t>
      </w:r>
    </w:p>
    <w:p>
      <w:pPr>
        <w:widowControl/>
        <w:spacing w:line="480" w:lineRule="auto"/>
        <w:ind w:firstLine="562" w:firstLineChars="200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Style w:val="9"/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一、基本概况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2018年，我局认真执行《中华人民共和国政府信息公开条例》和市人民政府信息公开多项制度，结合实际，面向社会公众，深化政务公开，优化“最多跑一次”改革，加强交流互动，不断完善局信息公开工作，提高安全生产监管的透明度和公信力，在保障公众知情权、表达权、参与权、监督权方面取得了积极的成效。重点抓好四方面工作：</w:t>
      </w:r>
    </w:p>
    <w:p>
      <w:pPr>
        <w:widowControl/>
        <w:spacing w:line="600" w:lineRule="exact"/>
        <w:ind w:firstLine="562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  <w:t>（一）加强领导，落实责任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。我局高度重视信息公开工作，成立由局长为组长、其他班子成员为副组长、机关各处室（直属单位）负责人为成员的信息公开工作领导小组，明确各职能处室的职责分工，切实加强对信息公开工作的组织领导。其中，办公室具体负责信息公开的组织、协调、监督、检查及具体实施工作；各处室负责人负责所在处室信息公开工作的落实，通过门户网站、发文、会议以及微信、微博等形式，及时公开有关事宜；各处室安排专人担任信息员，负责信息的收集和整理，通过网站后台管理系统上传信息，由办公室统一在门户网站进行审核并发布。</w:t>
      </w:r>
    </w:p>
    <w:p>
      <w:pPr>
        <w:spacing w:line="60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  <w:t>（二）结合实际，依法公开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。按照市政府关于信息公开工作的系列要求，突出安监部门的工作特点，对应公开的内容都最大限度地进行公开。在内容上，主要涵盖危化品、烟花爆竹、非煤矿山、综合监管、事故快报与分析、应急救援、重大危险源、职业健康、行政执法、宣教培训、规划科技、中介机构、行政许可、打非治违、重大安全隐患等方面。其中，在生产安全事故方面，重点公开全市安全生产形势分析报告和工作措施建议；安全生产事故信息以及事故应急处理情况；事故调查情况。在安全生产违法行为查处方面，扎实推进安全生产打非治违“铁拳行动”，严格执行“双随机”抽查执法，</w:t>
      </w:r>
      <w:r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</w:rPr>
        <w:t>坚持凡查必备，着力打造“不诉不查”的涉企执法环境。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1至11月，全市安监系统行政执法立案1985起，处罚1838起，罚款4012.8万元，同比分别上升11.5%、3.5%和17.4%；移交公安行政拘留218人，刑事拘留48人。对这些情况，都通过相应的途径予以公开。在重大隐患和标准化方面，重点公开重大安全隐患的基本情况、分级分类情况、整改措施及其进展、整改销号情况；企业安全生产标标准化创建情况、评审验收情况。在重大事项信息方面，对安全生产行政法规、规章和规范性文件，安全生产行政许可事项、程序和办理情况，安全生产检查监督情况都予以公开。</w:t>
      </w:r>
    </w:p>
    <w:p>
      <w:pPr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  <w:t>（三）创新形式，丰富内容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主要采取以下形式：一是通过门户网站公开，网站共设一级栏目10多个，二级栏目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30多个（含业务模块），基本涵盖我局所有工作内容。二是通过安全生产形势分析会、安全生产专题会议等会议形式和文件、通报、宣传资料等载体进行公开，特别是对安全生产事故、安全生产执法、事故调查和追责等情况，每月发布一次通报；三是通过“温州安监”微信公众号、微博，每天公布相关安全生产信息，而且将程序性公开内容与阶段性公开内容有机结合起来，便于群众了解监督。四是通过行政服务窗口公开，向服务对象提供服务手册、一次性告知书、办事指南等。五是通过广播、电视、报刊等新闻媒体，发布重要信息和热点信息。今年以来，在新闻综合频道、温州交通之声等进行安全生产公益宣传58.8万条（次）。在温州都市报开设『安监周刊』，在温州日报开设专版『安全深一度』，实时报道温州市安全生产工作情况，截至目前，完成『安监周刊』10期，『安全深一度』23期。市级媒体报道共计46篇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</w:rPr>
        <w:t>。</w:t>
      </w:r>
    </w:p>
    <w:p>
      <w:pPr>
        <w:spacing w:line="560" w:lineRule="exact"/>
        <w:ind w:right="-55" w:rightChars="-26" w:firstLine="562" w:firstLineChars="200"/>
        <w:rPr>
          <w:rFonts w:ascii="Times New Roman" w:hAnsi="Times New Roman" w:eastAsia="仿宋"/>
          <w:bCs/>
          <w:kern w:val="28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8"/>
          <w:szCs w:val="28"/>
        </w:rPr>
        <w:t>（四）面向社会，增强效果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。主要体现三方面：一是满足群众对安全生产信息需求。今年以来，主动公开各类安全生产工作信息2275条，其中通过微信、微博公开各类信息1242条，从多角度满足群众对安全生产工作信息需</w:t>
      </w:r>
      <w:r>
        <w:rPr>
          <w:rFonts w:hint="eastAsia" w:ascii="仿宋" w:hAnsi="仿宋" w:eastAsia="仿宋" w:cs="仿宋"/>
          <w:sz w:val="28"/>
          <w:szCs w:val="28"/>
        </w:rPr>
        <w:t>求。二是满足群众对安全生产知识需求。推进全国安全生产宣传教育“七进”活动试点工作，全市已建成43处各具特色安全体验馆，创建国家级、省级、市级安全文化示范企业42家，安全文化示范单位341家（个）。三是提高群众对安全生产的参与度。我局专门开设“12350”安全生产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报投诉热线，鼓励群众举报身边的安全生产隐患，开展安</w:t>
      </w:r>
      <w:r>
        <w:rPr>
          <w:rFonts w:hint="eastAsia" w:ascii="仿宋" w:hAnsi="仿宋" w:eastAsia="仿宋" w:cs="仿宋"/>
          <w:sz w:val="28"/>
          <w:szCs w:val="28"/>
        </w:rPr>
        <w:t>全生产工作监督。今年以来，市局机关共办理群众举报207件，按期办结率100%。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</w:rPr>
        <w:t>同时，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通过“温州安监”微信公众号、微博等平台，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与“温州发布”、“浙江安监”微信公众号以及13个县（市、区）、省级产业集聚区安监局共同构建微信矩阵，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实时发布最新安全生产信息，在安全生产方面架设起与群众之间“连心桥”。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今年以来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，在“温州安监”微信公众号共推送信息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806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条，微博推送信息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436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条，“国家安监总局宣教中心”“浙江安监” “温州发布”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共计采纳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录用</w:t>
      </w:r>
      <w:r>
        <w:rPr>
          <w:rFonts w:hint="eastAsia" w:ascii="Times New Roman" w:hAnsi="Times New Roman" w:eastAsia="仿宋"/>
          <w:bCs/>
          <w:kern w:val="28"/>
          <w:sz w:val="28"/>
          <w:szCs w:val="28"/>
        </w:rPr>
        <w:t>28</w:t>
      </w:r>
      <w:r>
        <w:rPr>
          <w:rFonts w:ascii="Times New Roman" w:hAnsi="Times New Roman" w:eastAsia="仿宋"/>
          <w:bCs/>
          <w:kern w:val="28"/>
          <w:sz w:val="28"/>
          <w:szCs w:val="28"/>
        </w:rPr>
        <w:t>条。</w:t>
      </w:r>
    </w:p>
    <w:p>
      <w:pPr>
        <w:pStyle w:val="5"/>
        <w:widowControl/>
        <w:spacing w:beforeAutospacing="0" w:after="226" w:afterAutospacing="0" w:line="450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  <w:r>
        <w:rPr>
          <w:rStyle w:val="9"/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二、主动公开政府信息情况</w:t>
      </w:r>
      <w:r>
        <w:rPr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　</w:t>
      </w:r>
      <w:r>
        <w:rPr>
          <w:rFonts w:hint="eastAsia" w:ascii="楷体" w:hAnsi="楷体" w:eastAsia="楷体" w:cs="楷体"/>
          <w:b/>
          <w:bCs/>
          <w:color w:val="444444"/>
          <w:sz w:val="28"/>
          <w:szCs w:val="28"/>
          <w:shd w:val="clear" w:color="auto" w:fill="FFFFFF"/>
        </w:rPr>
        <w:t>（一）公开的主要内容</w:t>
      </w:r>
      <w:r>
        <w:rPr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8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年度我局主动公开政府信息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2275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条。公开的类别包括机构设置、主要职能、办事指南、法规规章、部门动态、执法监督、安全生产检查和规范性文件等应主动公开的政府信息。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　</w:t>
      </w:r>
      <w:r>
        <w:rPr>
          <w:rFonts w:hint="eastAsia" w:ascii="楷体" w:hAnsi="楷体" w:eastAsia="楷体" w:cs="楷体"/>
          <w:b/>
          <w:bCs/>
          <w:color w:val="444444"/>
          <w:sz w:val="28"/>
          <w:szCs w:val="28"/>
          <w:shd w:val="clear" w:color="auto" w:fill="FFFFFF"/>
        </w:rPr>
        <w:t>（二）公开的形式</w:t>
      </w:r>
      <w:r>
        <w:rPr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通过政府信息网，对我局主要领导履历、机构设置和职能、办事指南、应急救援预、部门动态、执法监督、安全生产检查和规范性文件等内容进行了公开。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br w:type="textWrapping"/>
      </w:r>
      <w:r>
        <w:rPr>
          <w:rStyle w:val="9"/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三、依申请公开政府信息办理情况</w:t>
      </w:r>
      <w:r>
        <w:rPr>
          <w:rStyle w:val="9"/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　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8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年度，我局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共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受理政府信息依申请公开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事项3件。其中，2件已答复；1件不属于本行政机关公开范围，申请人已撤回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br w:type="textWrapping"/>
      </w:r>
      <w:r>
        <w:rPr>
          <w:rStyle w:val="9"/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四、申请行政复议、提起行政诉讼和申诉的情况</w:t>
      </w:r>
      <w:r>
        <w:rPr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　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8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年度，未发生因政府信息公开申请行政复议和行政诉讼的情况。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br w:type="textWrapping"/>
      </w:r>
      <w:r>
        <w:rPr>
          <w:rStyle w:val="9"/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五、政府信息公开收费、减免情况</w:t>
      </w:r>
      <w:r>
        <w:rPr>
          <w:rStyle w:val="9"/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　201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8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年度，没有政府信息公开的收费及减免情况。</w:t>
      </w:r>
      <w:r>
        <w:rPr>
          <w:color w:val="444444"/>
          <w:sz w:val="28"/>
          <w:szCs w:val="28"/>
          <w:shd w:val="clear" w:color="auto" w:fill="FFFFFF"/>
        </w:rPr>
        <w:br w:type="textWrapping"/>
      </w:r>
      <w:r>
        <w:rPr>
          <w:rStyle w:val="9"/>
          <w:rFonts w:hint="eastAsia" w:ascii="黑体" w:hAnsi="黑体" w:eastAsia="黑体" w:cs="黑体"/>
          <w:color w:val="444444"/>
          <w:sz w:val="28"/>
          <w:szCs w:val="28"/>
          <w:shd w:val="clear" w:color="auto" w:fill="FFFFFF"/>
        </w:rPr>
        <w:t>六、存在的主要问题及改进措施</w:t>
      </w:r>
      <w:r>
        <w:rPr>
          <w:color w:val="444444"/>
          <w:sz w:val="28"/>
          <w:szCs w:val="28"/>
          <w:shd w:val="clear" w:color="auto" w:fill="FFFFFF"/>
        </w:rPr>
        <w:br w:type="textWrapping"/>
      </w:r>
      <w:r>
        <w:rPr>
          <w:color w:val="444444"/>
          <w:sz w:val="28"/>
          <w:szCs w:val="28"/>
          <w:shd w:val="clear" w:color="auto" w:fill="FFFFFF"/>
        </w:rPr>
        <w:t>　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　（一）存在的主要问题。一是公开信息还不能完全满足社会公众的需求，信息资源的要进一步加强整合；二是政府信息公开在一定程度上存在重形式轻内容、重数量轻质量、重程序轻实体等现象。</w:t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br w:type="textWrapping"/>
      </w:r>
      <w:r>
        <w:rPr>
          <w:rFonts w:ascii="Times New Roman" w:hAnsi="Times New Roman" w:eastAsia="仿宋" w:cstheme="minorBidi"/>
          <w:bCs/>
          <w:kern w:val="28"/>
          <w:sz w:val="28"/>
          <w:szCs w:val="28"/>
        </w:rPr>
        <w:t>　　（二）改进措施。</w:t>
      </w:r>
      <w:r>
        <w:rPr>
          <w:rFonts w:hint="eastAsia" w:ascii="Times New Roman" w:hAnsi="Times New Roman" w:eastAsia="仿宋" w:cstheme="minorBidi"/>
          <w:bCs/>
          <w:kern w:val="28"/>
          <w:sz w:val="28"/>
          <w:szCs w:val="28"/>
        </w:rPr>
        <w:t>一是提升能力建设。树立公开理念，加大公开力度，加强工作人员的政策理论学习和业务水平，加快政务公开规范化、信息化建设，加强政务公开工作能力。二是加强重点领域信息公开。主动开展安全生产法律政策解读，认真做好生产安全事故、应急救援、预警等信息的公布，加大安全生产监管检查、安全生产“黑名单”等方面的公开力度，积极推进政务信息“五公开”、规范性文件清理结果公开。三是发挥好平台优势。充分发挥温州市安监局网站、官方微信微博等平台作用，增强信息公开的影响力和传播力。加大与主流媒体、新闻网站合作力度，及时发布信息、回应关切、引导舆论，进一步增强信息公开的系统性、针对性和可读性。</w:t>
      </w: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pStyle w:val="5"/>
        <w:widowControl/>
        <w:shd w:val="clear" w:color="auto" w:fill="FFFFFF"/>
        <w:spacing w:before="300" w:beforeAutospacing="0" w:line="432" w:lineRule="atLeast"/>
        <w:rPr>
          <w:rFonts w:ascii="Times New Roman" w:hAnsi="Times New Roman" w:eastAsia="仿宋" w:cstheme="minorBidi"/>
          <w:bCs/>
          <w:kern w:val="28"/>
          <w:sz w:val="28"/>
          <w:szCs w:val="28"/>
        </w:rPr>
      </w:pPr>
    </w:p>
    <w:p>
      <w:pPr>
        <w:widowControl/>
        <w:adjustRightInd w:val="0"/>
        <w:snapToGrid w:val="0"/>
        <w:spacing w:line="336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adjustRightInd w:val="0"/>
        <w:snapToGrid w:val="0"/>
        <w:spacing w:line="336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政府信息公开情况统计表</w:t>
      </w:r>
    </w:p>
    <w:p>
      <w:pPr>
        <w:adjustRightInd w:val="0"/>
        <w:snapToGrid w:val="0"/>
        <w:spacing w:line="336" w:lineRule="auto"/>
        <w:jc w:val="center"/>
        <w:rPr>
          <w:rFonts w:hint="eastAsia" w:ascii="方正小标宋简体" w:hAnsi="方正黑体_GBK" w:eastAsia="方正小标宋简体" w:cs="方正黑体_GBK"/>
          <w:color w:val="000000"/>
          <w:kern w:val="0"/>
          <w:sz w:val="32"/>
          <w:szCs w:val="32"/>
        </w:rPr>
      </w:pPr>
      <w:r>
        <w:rPr>
          <w:rFonts w:hint="eastAsia" w:ascii="方正小标宋简体" w:hAnsi="方正黑体_GBK" w:eastAsia="方正小标宋简体" w:cs="方正黑体_GBK"/>
          <w:color w:val="000000"/>
          <w:kern w:val="0"/>
          <w:sz w:val="32"/>
          <w:szCs w:val="32"/>
        </w:rPr>
        <w:t>（2018年度）</w:t>
      </w:r>
    </w:p>
    <w:p>
      <w:pPr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</w:rPr>
        <w:t>填报单位：</w:t>
      </w:r>
    </w:p>
    <w:tbl>
      <w:tblPr>
        <w:tblStyle w:val="7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楷体_GB2312" w:hAnsi="黑体" w:eastAsia="楷体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 w:cs="宋体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（一）主动公开政府信息数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（不同渠道和方式公开相同信息计1条）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其中：主动公开规范性文件数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制发规范性文件总数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1.政府公报公开政府信息数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2.政府网站公开政府信息数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3.政务微博公开政府信息数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4.政务微信公开政府信息数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5.其他方式公开政府信息数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（一）回应公众关注热点或重大舆情数</w:t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1.参加或举办新闻发布会总次数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其中：主要负责同志参加新闻发布会次数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2.政府网站在线访谈次数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其中：主要负责同志参加政府网站在线访谈次数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3.政策解读稿件发布数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4.微博微信回应事件数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5.其他方式回应事件数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1.当面申请数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2.传真申请数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3.网络申请数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4.信函申请数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1.按时办结数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2.延期办结数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1.属于已主动公开范围数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2.同意公开答复数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3.同意部分公开答复数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4.不同意公开答复数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其中：涉及国家秘密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      涉及商业秘密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      涉及个人隐私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      危及国家安全、公共安全、经济安全和社会稳定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      不是《条例》所指政府信息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       法律法规规定的其他情形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5.不属于本行政机关公开数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6.申请信息不存在数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7.告知作出更改补充数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 8.告知通过其他途径办理数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黑体_GBK" w:eastAsia="仿宋_GB2312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1.专职人员数（不包括政府公报及政府网站工作人员数）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 xml:space="preserve">        2.兼职人员数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黑体_GBK" w:eastAsia="仿宋_GB2312" w:cs="方正黑体_GBK"/>
                <w:b/>
                <w:color w:val="000000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left"/>
              <w:rPr>
                <w:rFonts w:ascii="仿宋_GB2312" w:hAnsi="方正仿宋_GBK" w:eastAsia="仿宋_GB2312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36" w:lineRule="auto"/>
              <w:jc w:val="center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</w:rPr>
        <w:t>单位负责人:厉建荣         审核人：夏海敏           填报人：邱思游</w:t>
      </w:r>
    </w:p>
    <w:p>
      <w:pPr>
        <w:widowControl/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</w:rPr>
      </w:pPr>
      <w:r>
        <w:rPr>
          <w:rFonts w:hint="eastAsia" w:ascii="仿宋_GB2312" w:hAnsi="方正仿宋_GBK" w:eastAsia="仿宋_GB2312" w:cs="方正仿宋_GBK"/>
          <w:color w:val="000000"/>
          <w:kern w:val="0"/>
          <w:sz w:val="24"/>
          <w:szCs w:val="24"/>
        </w:rPr>
        <w:t>联系电话：88965183                    填报日期:2019.1.3</w:t>
      </w:r>
    </w:p>
    <w:p>
      <w:pPr>
        <w:widowControl/>
        <w:adjustRightInd w:val="0"/>
        <w:snapToGrid w:val="0"/>
        <w:spacing w:line="336" w:lineRule="auto"/>
        <w:jc w:val="left"/>
        <w:rPr>
          <w:rFonts w:ascii="仿宋_GB2312" w:hAnsi="方正仿宋_GBK" w:eastAsia="仿宋_GB2312" w:cs="方正仿宋_GBK"/>
          <w:color w:val="000000"/>
          <w:kern w:val="0"/>
          <w:sz w:val="24"/>
          <w:szCs w:val="24"/>
        </w:rPr>
      </w:pPr>
    </w:p>
    <w:p>
      <w:pPr>
        <w:spacing w:line="600" w:lineRule="exact"/>
        <w:ind w:firstLine="602"/>
        <w:rPr>
          <w:rFonts w:ascii="仿宋_GB2312" w:hAnsi="仿宋_GB2312" w:eastAsia="仿宋_GB2312" w:cs="仿宋_GB2312"/>
          <w:color w:val="343333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wNDIxMDQ4YjliZjBkMmE1ZGY4NTQ1Y2FmYTU1OTkifQ=="/>
  </w:docVars>
  <w:rsids>
    <w:rsidRoot w:val="00305F81"/>
    <w:rsid w:val="000107B9"/>
    <w:rsid w:val="0008292B"/>
    <w:rsid w:val="000A55A7"/>
    <w:rsid w:val="000B3BF4"/>
    <w:rsid w:val="000F0CD5"/>
    <w:rsid w:val="00115751"/>
    <w:rsid w:val="00172FF3"/>
    <w:rsid w:val="001E6FF3"/>
    <w:rsid w:val="002069DC"/>
    <w:rsid w:val="00215D29"/>
    <w:rsid w:val="002A571B"/>
    <w:rsid w:val="002B71EF"/>
    <w:rsid w:val="00303D21"/>
    <w:rsid w:val="00303DF2"/>
    <w:rsid w:val="00305F81"/>
    <w:rsid w:val="0034775E"/>
    <w:rsid w:val="0037290E"/>
    <w:rsid w:val="003B3AF2"/>
    <w:rsid w:val="00426EDA"/>
    <w:rsid w:val="00457F16"/>
    <w:rsid w:val="00490691"/>
    <w:rsid w:val="004C7B14"/>
    <w:rsid w:val="005943D3"/>
    <w:rsid w:val="00640E32"/>
    <w:rsid w:val="006F1CBB"/>
    <w:rsid w:val="006F4868"/>
    <w:rsid w:val="00701861"/>
    <w:rsid w:val="007025E0"/>
    <w:rsid w:val="007B1E72"/>
    <w:rsid w:val="007F7DCA"/>
    <w:rsid w:val="008227BF"/>
    <w:rsid w:val="00860DDD"/>
    <w:rsid w:val="008639D6"/>
    <w:rsid w:val="0086463A"/>
    <w:rsid w:val="008A062D"/>
    <w:rsid w:val="008B628A"/>
    <w:rsid w:val="008C72A7"/>
    <w:rsid w:val="008E647A"/>
    <w:rsid w:val="00901B8E"/>
    <w:rsid w:val="00971743"/>
    <w:rsid w:val="00977DD6"/>
    <w:rsid w:val="00983658"/>
    <w:rsid w:val="00A04AB6"/>
    <w:rsid w:val="00A23E00"/>
    <w:rsid w:val="00A34EA1"/>
    <w:rsid w:val="00A87501"/>
    <w:rsid w:val="00A971AB"/>
    <w:rsid w:val="00B054C9"/>
    <w:rsid w:val="00B10DF7"/>
    <w:rsid w:val="00BB408B"/>
    <w:rsid w:val="00BB41C2"/>
    <w:rsid w:val="00BB5818"/>
    <w:rsid w:val="00BF5947"/>
    <w:rsid w:val="00C06ED9"/>
    <w:rsid w:val="00CA509C"/>
    <w:rsid w:val="00CC09FB"/>
    <w:rsid w:val="00CD1C63"/>
    <w:rsid w:val="00CE6A65"/>
    <w:rsid w:val="00D02DB7"/>
    <w:rsid w:val="00DA3985"/>
    <w:rsid w:val="00DE4545"/>
    <w:rsid w:val="00E82F46"/>
    <w:rsid w:val="00F12F0C"/>
    <w:rsid w:val="00F840B4"/>
    <w:rsid w:val="00FF34E2"/>
    <w:rsid w:val="021074A7"/>
    <w:rsid w:val="02751DBE"/>
    <w:rsid w:val="05C02F46"/>
    <w:rsid w:val="0DB770D3"/>
    <w:rsid w:val="113C3849"/>
    <w:rsid w:val="1B2B6D35"/>
    <w:rsid w:val="2CC11827"/>
    <w:rsid w:val="34454AB4"/>
    <w:rsid w:val="3EDB1B84"/>
    <w:rsid w:val="3F1029B5"/>
    <w:rsid w:val="560C2042"/>
    <w:rsid w:val="57C447BF"/>
    <w:rsid w:val="59C87C9D"/>
    <w:rsid w:val="5A4D368A"/>
    <w:rsid w:val="5B175AE0"/>
    <w:rsid w:val="6929339F"/>
    <w:rsid w:val="749018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uiPriority w:val="99"/>
    <w:rPr>
      <w:color w:val="000000"/>
      <w:u w:val="none"/>
    </w:rPr>
  </w:style>
  <w:style w:type="character" w:styleId="11">
    <w:name w:val="Hyperlink"/>
    <w:basedOn w:val="8"/>
    <w:unhideWhenUsed/>
    <w:qFormat/>
    <w:uiPriority w:val="99"/>
    <w:rPr>
      <w:color w:val="000000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prev3"/>
    <w:basedOn w:val="8"/>
    <w:uiPriority w:val="0"/>
  </w:style>
  <w:style w:type="character" w:customStyle="1" w:styleId="14">
    <w:name w:val="next2"/>
    <w:basedOn w:val="8"/>
    <w:uiPriority w:val="0"/>
  </w:style>
  <w:style w:type="character" w:customStyle="1" w:styleId="15">
    <w:name w:val="prev"/>
    <w:basedOn w:val="8"/>
    <w:uiPriority w:val="0"/>
  </w:style>
  <w:style w:type="character" w:customStyle="1" w:styleId="16">
    <w:name w:val="next"/>
    <w:basedOn w:val="8"/>
    <w:uiPriority w:val="0"/>
  </w:style>
  <w:style w:type="character" w:customStyle="1" w:styleId="17">
    <w:name w:val="prev2"/>
    <w:basedOn w:val="8"/>
    <w:uiPriority w:val="0"/>
  </w:style>
  <w:style w:type="character" w:customStyle="1" w:styleId="18">
    <w:name w:val="next3"/>
    <w:basedOn w:val="8"/>
    <w:uiPriority w:val="0"/>
  </w:style>
  <w:style w:type="character" w:customStyle="1" w:styleId="19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3699</Words>
  <Characters>3857</Characters>
  <Lines>32</Lines>
  <Paragraphs>9</Paragraphs>
  <TotalTime>247</TotalTime>
  <ScaleCrop>false</ScaleCrop>
  <LinksUpToDate>false</LinksUpToDate>
  <CharactersWithSpaces>4294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2019-01-03T02:29:00Z</dcterms:created>
  <dc:creator>XWY</dc:creator>
  <cp:lastModifiedBy>Administrator</cp:lastModifiedBy>
  <cp:lastPrinted>2016-09-01T08:58:00Z</cp:lastPrinted>
  <dcterms:modified xsi:type="dcterms:W3CDTF">2022-08-09T08:54:58Z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AF1D046BA48641BB948FC750FB8A5FAB</vt:lpwstr>
  </property>
</Properties>
</file>