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温州市经济和信息化</w:t>
      </w:r>
      <w:r>
        <w:rPr>
          <w:rFonts w:hint="eastAsia" w:ascii="方正小标宋简体" w:hAnsi="方正小标宋简体" w:eastAsia="方正小标宋简体" w:cs="方正小标宋简体"/>
          <w:sz w:val="44"/>
          <w:szCs w:val="44"/>
          <w:lang w:eastAsia="zh-CN"/>
        </w:rPr>
        <w:t>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本报告依据《中华人民共和国政府信息公开条例》（国务院令第 711 号）、《关于印发 2019年政务公开工作要点的通知》（国办发〔2019〕14 号）、《关于印发 2019 年浙江省政务公开工作要点的通知》（浙政办发〔2019〕37 号）、《温州市人民政府办公室关于进一步做好今年我市政务公开工作的通知》（温政办函〔2019〕13 号）等相关要求编制，内容涵盖2019年温州市</w:t>
      </w:r>
      <w:r>
        <w:rPr>
          <w:rFonts w:hint="eastAsia" w:ascii="仿宋_GB2312" w:eastAsia="仿宋_GB2312"/>
          <w:sz w:val="32"/>
          <w:szCs w:val="32"/>
          <w:lang w:eastAsia="zh-CN"/>
        </w:rPr>
        <w:t>经济和信息化局</w:t>
      </w:r>
      <w:r>
        <w:rPr>
          <w:rFonts w:hint="eastAsia" w:ascii="仿宋_GB2312" w:eastAsia="仿宋_GB2312"/>
          <w:sz w:val="32"/>
          <w:szCs w:val="32"/>
        </w:rPr>
        <w:t>政府信息公开相关工作情况。本年报中所列数据的统计期限自2019年1月1日起至2019年12月31日止。</w:t>
      </w:r>
    </w:p>
    <w:p>
      <w:pPr>
        <w:widowControl/>
        <w:spacing w:line="560" w:lineRule="exact"/>
        <w:ind w:firstLine="636" w:firstLineChars="199"/>
        <w:rPr>
          <w:rFonts w:ascii="黑体" w:hAnsi="黑体" w:eastAsia="黑体" w:cs="宋体"/>
          <w:kern w:val="0"/>
          <w:sz w:val="32"/>
          <w:szCs w:val="32"/>
        </w:rPr>
      </w:pPr>
      <w:r>
        <w:rPr>
          <w:rFonts w:hint="eastAsia" w:ascii="黑体" w:hAnsi="黑体" w:eastAsia="黑体" w:cs="宋体"/>
          <w:bCs/>
          <w:kern w:val="0"/>
          <w:sz w:val="32"/>
          <w:szCs w:val="32"/>
        </w:rPr>
        <w:t>一、总体情况</w:t>
      </w:r>
    </w:p>
    <w:p>
      <w:pPr>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2019年, 我</w:t>
      </w:r>
      <w:r>
        <w:rPr>
          <w:rFonts w:hint="eastAsia" w:ascii="仿宋_GB2312" w:eastAsia="仿宋_GB2312"/>
          <w:sz w:val="32"/>
          <w:szCs w:val="32"/>
          <w:shd w:val="clear" w:color="auto" w:fill="FFFFFF"/>
          <w:lang w:eastAsia="zh-CN"/>
        </w:rPr>
        <w:t>局充分认识互联网环境下做好政务公开工作的重要性，</w:t>
      </w:r>
      <w:r>
        <w:rPr>
          <w:rFonts w:hint="eastAsia" w:ascii="仿宋_GB2312" w:eastAsia="仿宋_GB2312"/>
          <w:sz w:val="32"/>
          <w:szCs w:val="32"/>
          <w:shd w:val="clear" w:color="auto" w:fill="FFFFFF"/>
        </w:rPr>
        <w:t>按照规范、透明、廉洁、高效</w:t>
      </w:r>
      <w:r>
        <w:rPr>
          <w:rFonts w:hint="eastAsia" w:ascii="仿宋_GB2312" w:eastAsia="仿宋_GB2312"/>
          <w:sz w:val="32"/>
          <w:szCs w:val="32"/>
          <w:shd w:val="clear" w:color="auto" w:fill="FFFFFF"/>
          <w:lang w:eastAsia="zh-CN"/>
        </w:rPr>
        <w:t>的工作</w:t>
      </w:r>
      <w:r>
        <w:rPr>
          <w:rFonts w:hint="eastAsia" w:ascii="仿宋_GB2312" w:eastAsia="仿宋_GB2312"/>
          <w:sz w:val="32"/>
          <w:szCs w:val="32"/>
          <w:shd w:val="clear" w:color="auto" w:fill="FFFFFF"/>
        </w:rPr>
        <w:t>思路，推进政府信息公开工作</w:t>
      </w:r>
      <w:r>
        <w:rPr>
          <w:rFonts w:hint="eastAsia" w:ascii="仿宋_GB2312" w:eastAsia="仿宋_GB2312"/>
          <w:sz w:val="32"/>
          <w:szCs w:val="32"/>
          <w:shd w:val="clear" w:color="auto" w:fill="FFFFFF"/>
          <w:lang w:eastAsia="zh-CN"/>
        </w:rPr>
        <w:t>有效落实</w:t>
      </w:r>
      <w:r>
        <w:rPr>
          <w:rFonts w:hint="eastAsia" w:ascii="仿宋_GB2312" w:eastAsia="仿宋_GB2312"/>
          <w:sz w:val="32"/>
          <w:szCs w:val="32"/>
          <w:shd w:val="clear" w:color="auto" w:fill="FFFFFF"/>
        </w:rPr>
        <w:t>。</w:t>
      </w:r>
    </w:p>
    <w:p>
      <w:pPr>
        <w:spacing w:line="560" w:lineRule="exact"/>
        <w:ind w:firstLine="640" w:firstLineChars="200"/>
        <w:rPr>
          <w:rFonts w:hint="eastAsia" w:ascii="仿宋_GB2312" w:eastAsia="仿宋_GB2312"/>
          <w:bCs/>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eastAsia="zh-CN"/>
        </w:rPr>
        <w:t>一是</w:t>
      </w:r>
      <w:r>
        <w:rPr>
          <w:rFonts w:hint="eastAsia" w:ascii="楷体_GB2312" w:hAnsi="楷体_GB2312" w:eastAsia="楷体_GB2312" w:cs="楷体_GB2312"/>
          <w:bCs/>
          <w:sz w:val="32"/>
          <w:szCs w:val="32"/>
          <w:shd w:val="clear" w:color="auto" w:fill="FFFFFF"/>
          <w:lang w:eastAsia="zh-CN"/>
        </w:rPr>
        <w:t>进一步做好局官网信息公开工作。</w:t>
      </w:r>
      <w:r>
        <w:rPr>
          <w:rFonts w:hint="eastAsia" w:ascii="仿宋_GB2312" w:eastAsia="仿宋_GB2312"/>
          <w:bCs/>
          <w:sz w:val="32"/>
          <w:szCs w:val="32"/>
          <w:shd w:val="clear" w:color="auto" w:fill="FFFFFF"/>
          <w:lang w:eastAsia="zh-CN"/>
        </w:rPr>
        <w:t>及时根据工作需要，调整局网站栏目设置。首页设置单位简介、经信动态、政务公开、办事服务、互动交流、调查征集等主栏目，开通主题教育、助企服务、数字经济、经信普法、工业大数据平台、</w:t>
      </w:r>
      <w:r>
        <w:rPr>
          <w:rFonts w:hint="eastAsia" w:ascii="仿宋_GB2312" w:eastAsia="仿宋_GB2312"/>
          <w:bCs/>
          <w:sz w:val="32"/>
          <w:szCs w:val="32"/>
          <w:shd w:val="clear" w:color="auto" w:fill="FFFFFF"/>
          <w:lang w:val="en-US" w:eastAsia="zh-CN"/>
        </w:rPr>
        <w:t>96871企业服务中心等专题栏目，由专人负责网站维护和信息发布，全年共公开信息529条。</w:t>
      </w:r>
    </w:p>
    <w:p>
      <w:pPr>
        <w:spacing w:line="560" w:lineRule="exact"/>
        <w:jc w:val="center"/>
        <w:rPr>
          <w:rFonts w:hint="eastAsia" w:ascii="仿宋_GB2312" w:eastAsia="仿宋_GB2312"/>
          <w:bCs/>
          <w:sz w:val="28"/>
          <w:szCs w:val="28"/>
          <w:shd w:val="clear" w:color="auto" w:fill="FFFFFF"/>
          <w:lang w:val="en-US" w:eastAsia="zh-CN"/>
        </w:rPr>
      </w:pPr>
      <w:r>
        <w:rPr>
          <w:rFonts w:hint="eastAsia" w:ascii="仿宋_GB2312" w:eastAsia="仿宋_GB2312"/>
          <w:bCs/>
          <w:sz w:val="28"/>
          <w:szCs w:val="28"/>
          <w:shd w:val="clear" w:color="auto" w:fill="FFFFFF"/>
          <w:lang w:val="en-US" w:eastAsia="zh-CN"/>
        </w:rPr>
        <w:t>温州市经信局网址：</w:t>
      </w:r>
      <w:r>
        <w:rPr>
          <w:rFonts w:hint="default" w:ascii="Times New Roman" w:hAnsi="Times New Roman" w:eastAsia="仿宋_GB2312" w:cs="Times New Roman"/>
          <w:bCs/>
          <w:sz w:val="28"/>
          <w:szCs w:val="28"/>
          <w:shd w:val="clear" w:color="auto" w:fill="FFFFFF"/>
          <w:lang w:val="en-US" w:eastAsia="zh-CN"/>
        </w:rPr>
        <w:t>http://wzjxj.wenzhou.gov.cn/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eastAsia="仿宋_GB2312"/>
          <w:bCs/>
          <w:sz w:val="32"/>
          <w:szCs w:val="32"/>
          <w:shd w:val="clear" w:color="auto" w:fill="FFFFFF"/>
          <w:lang w:val="en-US" w:eastAsia="zh-CN"/>
        </w:rPr>
      </w:pPr>
      <w:r>
        <w:drawing>
          <wp:inline distT="0" distB="0" distL="114300" distR="114300">
            <wp:extent cx="5406390" cy="2614930"/>
            <wp:effectExtent l="0" t="0" r="381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406390" cy="2614930"/>
                    </a:xfrm>
                    <a:prstGeom prst="rect">
                      <a:avLst/>
                    </a:prstGeom>
                    <a:noFill/>
                    <a:ln>
                      <a:noFill/>
                    </a:ln>
                  </pic:spPr>
                </pic:pic>
              </a:graphicData>
            </a:graphic>
          </wp:inline>
        </w:drawing>
      </w:r>
    </w:p>
    <w:p>
      <w:pPr>
        <w:spacing w:line="560" w:lineRule="exact"/>
        <w:ind w:firstLine="640" w:firstLineChars="200"/>
        <w:rPr>
          <w:rFonts w:hint="eastAsia" w:ascii="仿宋_GB2312" w:eastAsia="仿宋_GB2312"/>
          <w:bCs/>
          <w:sz w:val="32"/>
          <w:szCs w:val="32"/>
          <w:shd w:val="clear" w:color="auto" w:fill="FFFFFF"/>
        </w:rPr>
      </w:pPr>
      <w:r>
        <w:rPr>
          <w:rFonts w:hint="eastAsia" w:ascii="楷体_GB2312" w:hAnsi="楷体_GB2312" w:eastAsia="楷体_GB2312" w:cs="楷体_GB2312"/>
          <w:bCs/>
          <w:sz w:val="32"/>
          <w:szCs w:val="32"/>
          <w:shd w:val="clear" w:color="auto" w:fill="FFFFFF"/>
          <w:lang w:eastAsia="zh-CN"/>
        </w:rPr>
        <w:t>二是</w:t>
      </w:r>
      <w:r>
        <w:rPr>
          <w:rFonts w:hint="eastAsia" w:ascii="楷体_GB2312" w:hAnsi="楷体_GB2312" w:eastAsia="楷体_GB2312" w:cs="楷体_GB2312"/>
          <w:sz w:val="32"/>
          <w:szCs w:val="32"/>
          <w:shd w:val="clear" w:color="auto" w:fill="FFFFFF"/>
          <w:lang w:eastAsia="zh-CN"/>
        </w:rPr>
        <w:t>进一步拓宽信息公开渠道。</w:t>
      </w:r>
      <w:r>
        <w:rPr>
          <w:rFonts w:hint="eastAsia" w:ascii="仿宋_GB2312" w:eastAsia="仿宋_GB2312"/>
          <w:sz w:val="32"/>
          <w:szCs w:val="32"/>
          <w:shd w:val="clear" w:color="auto" w:fill="FFFFFF"/>
          <w:lang w:eastAsia="zh-CN"/>
        </w:rPr>
        <w:t>对我局原微信公众号进行改版，更名为“温州民营经济发布”，在</w:t>
      </w:r>
      <w:r>
        <w:rPr>
          <w:rFonts w:hint="eastAsia" w:ascii="仿宋_GB2312" w:eastAsia="仿宋_GB2312" w:cs="Times New Roman"/>
          <w:sz w:val="32"/>
          <w:szCs w:val="32"/>
          <w:lang w:eastAsia="zh-CN"/>
        </w:rPr>
        <w:t>公众号平台中嵌入</w:t>
      </w:r>
      <w:r>
        <w:rPr>
          <w:rFonts w:ascii="Times New Roman" w:hAnsi="Times New Roman" w:eastAsia="仿宋_GB2312" w:cs="Times New Roman"/>
          <w:sz w:val="32"/>
          <w:szCs w:val="32"/>
        </w:rPr>
        <w:t>“帮企云”</w:t>
      </w:r>
      <w:r>
        <w:rPr>
          <w:rFonts w:hint="eastAsia" w:ascii="Times New Roman" w:hAnsi="Times New Roman" w:eastAsia="仿宋_GB2312" w:cs="Times New Roman"/>
          <w:sz w:val="32"/>
          <w:szCs w:val="32"/>
          <w:lang w:eastAsia="zh-CN"/>
        </w:rPr>
        <w:t>、“政策直通车”、“大数据平台”等</w:t>
      </w:r>
      <w:r>
        <w:rPr>
          <w:rFonts w:ascii="Times New Roman" w:hAnsi="Times New Roman" w:eastAsia="仿宋_GB2312" w:cs="Times New Roman"/>
          <w:sz w:val="32"/>
          <w:szCs w:val="32"/>
        </w:rPr>
        <w:t>应用</w:t>
      </w:r>
      <w:r>
        <w:rPr>
          <w:rFonts w:hint="eastAsia" w:ascii="Times New Roman" w:hAnsi="Times New Roman" w:eastAsia="仿宋_GB2312" w:cs="Times New Roman"/>
          <w:sz w:val="32"/>
          <w:szCs w:val="32"/>
          <w:lang w:eastAsia="zh-CN"/>
        </w:rPr>
        <w:t>，进一步方便企业咨询和办事。</w:t>
      </w:r>
      <w:r>
        <w:rPr>
          <w:rFonts w:hint="eastAsia" w:ascii="Times New Roman" w:hAnsi="Times New Roman" w:eastAsia="仿宋_GB2312" w:cs="Times New Roman"/>
          <w:sz w:val="32"/>
          <w:szCs w:val="32"/>
          <w:lang w:val="en-US" w:eastAsia="zh-CN"/>
        </w:rPr>
        <w:t>公众号2019年全年共推送图文信息384条，</w:t>
      </w:r>
      <w:r>
        <w:rPr>
          <w:rFonts w:hint="eastAsia" w:ascii="仿宋_GB2312" w:eastAsia="仿宋_GB2312"/>
          <w:bCs/>
          <w:sz w:val="32"/>
          <w:szCs w:val="32"/>
          <w:shd w:val="clear" w:color="auto" w:fill="FFFFFF"/>
          <w:lang w:eastAsia="zh-CN"/>
        </w:rPr>
        <w:t>并入选市</w:t>
      </w:r>
      <w:r>
        <w:rPr>
          <w:rFonts w:hint="eastAsia" w:ascii="仿宋_GB2312" w:eastAsia="仿宋_GB2312"/>
          <w:bCs/>
          <w:sz w:val="32"/>
          <w:szCs w:val="32"/>
          <w:shd w:val="clear" w:color="auto" w:fill="FFFFFF"/>
        </w:rPr>
        <w:t>十大政务公开创新举措。</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Cs/>
          <w:sz w:val="32"/>
          <w:szCs w:val="32"/>
          <w:shd w:val="clear" w:color="auto" w:fill="FFFFFF"/>
          <w:lang w:eastAsia="zh-CN"/>
        </w:rPr>
      </w:pPr>
      <w:r>
        <w:rPr>
          <w:rFonts w:hint="eastAsia" w:ascii="仿宋_GB2312" w:eastAsia="仿宋_GB2312"/>
          <w:bCs/>
          <w:sz w:val="32"/>
          <w:szCs w:val="32"/>
          <w:shd w:val="clear" w:color="auto" w:fill="FFFFFF"/>
          <w:lang w:eastAsia="zh-CN"/>
        </w:rPr>
        <w:drawing>
          <wp:inline distT="0" distB="0" distL="114300" distR="114300">
            <wp:extent cx="1748155" cy="3107690"/>
            <wp:effectExtent l="0" t="0" r="4445" b="16510"/>
            <wp:docPr id="3" name="图片 3" descr="17a92c96cced26e494e67352d8af3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a92c96cced26e494e67352d8af39b"/>
                    <pic:cNvPicPr>
                      <a:picLocks noChangeAspect="1"/>
                    </pic:cNvPicPr>
                  </pic:nvPicPr>
                  <pic:blipFill>
                    <a:blip r:embed="rId6"/>
                    <a:stretch>
                      <a:fillRect/>
                    </a:stretch>
                  </pic:blipFill>
                  <pic:spPr>
                    <a:xfrm>
                      <a:off x="0" y="0"/>
                      <a:ext cx="1748155" cy="3107690"/>
                    </a:xfrm>
                    <a:prstGeom prst="rect">
                      <a:avLst/>
                    </a:prstGeom>
                  </pic:spPr>
                </pic:pic>
              </a:graphicData>
            </a:graphic>
          </wp:inline>
        </w:drawing>
      </w:r>
      <w:r>
        <w:rPr>
          <w:rFonts w:hint="eastAsia" w:ascii="仿宋_GB2312" w:eastAsia="仿宋_GB2312"/>
          <w:bCs/>
          <w:sz w:val="32"/>
          <w:szCs w:val="32"/>
          <w:shd w:val="clear" w:color="auto" w:fill="FFFFFF"/>
          <w:lang w:val="en-US" w:eastAsia="zh-CN"/>
        </w:rPr>
        <w:t xml:space="preserve">    </w:t>
      </w:r>
      <w:r>
        <w:rPr>
          <w:rFonts w:hint="eastAsia" w:ascii="仿宋_GB2312" w:eastAsia="仿宋_GB2312"/>
          <w:bCs/>
          <w:sz w:val="32"/>
          <w:szCs w:val="32"/>
          <w:shd w:val="clear" w:color="auto" w:fill="FFFFFF"/>
          <w:lang w:eastAsia="zh-CN"/>
        </w:rPr>
        <w:drawing>
          <wp:inline distT="0" distB="0" distL="114300" distR="114300">
            <wp:extent cx="1798955" cy="3114040"/>
            <wp:effectExtent l="0" t="0" r="10795" b="10160"/>
            <wp:docPr id="4" name="图片 4" descr="6033cc7cd72a822251c739bf97ab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33cc7cd72a822251c739bf97ab865"/>
                    <pic:cNvPicPr>
                      <a:picLocks noChangeAspect="1"/>
                    </pic:cNvPicPr>
                  </pic:nvPicPr>
                  <pic:blipFill>
                    <a:blip r:embed="rId7"/>
                    <a:stretch>
                      <a:fillRect/>
                    </a:stretch>
                  </pic:blipFill>
                  <pic:spPr>
                    <a:xfrm>
                      <a:off x="0" y="0"/>
                      <a:ext cx="1798955" cy="3114040"/>
                    </a:xfrm>
                    <a:prstGeom prst="rect">
                      <a:avLst/>
                    </a:prstGeom>
                  </pic:spPr>
                </pic:pic>
              </a:graphicData>
            </a:graphic>
          </wp:inline>
        </w:drawing>
      </w:r>
    </w:p>
    <w:p>
      <w:pPr>
        <w:spacing w:line="560" w:lineRule="exact"/>
        <w:ind w:firstLine="643" w:firstLineChars="200"/>
        <w:rPr>
          <w:rFonts w:hint="eastAsia" w:ascii="仿宋_GB2312" w:eastAsia="仿宋_GB2312"/>
          <w:bCs/>
          <w:sz w:val="32"/>
          <w:szCs w:val="32"/>
          <w:shd w:val="clear" w:color="auto" w:fill="FFFFFF"/>
          <w:lang w:eastAsia="zh-CN"/>
        </w:rPr>
      </w:pPr>
      <w:r>
        <w:rPr>
          <w:rFonts w:hint="eastAsia" w:ascii="仿宋_GB2312" w:eastAsia="仿宋_GB2312"/>
          <w:b/>
          <w:bCs w:val="0"/>
          <w:sz w:val="32"/>
          <w:szCs w:val="32"/>
          <w:shd w:val="clear" w:color="auto" w:fill="FFFFFF"/>
          <w:lang w:eastAsia="zh-CN"/>
        </w:rPr>
        <w:t>三是进一步落实依申请公开工作。</w:t>
      </w:r>
      <w:r>
        <w:rPr>
          <w:rFonts w:hint="eastAsia" w:ascii="仿宋_GB2312" w:eastAsia="仿宋_GB2312"/>
          <w:bCs/>
          <w:sz w:val="32"/>
          <w:szCs w:val="32"/>
          <w:shd w:val="clear" w:color="auto" w:fill="FFFFFF"/>
          <w:lang w:eastAsia="zh-CN"/>
        </w:rPr>
        <w:t>建立依申请公开信息沟通回访制度，保证与申请人事前充分沟通、事中依法办理，事后定期回访。在接到依申请公开信息后，由专人第一时间与申请人取得联系，进一步了解诉求，并根据不同情况及时进行处理。2019年，我局在温州市政府依申请公开受理平台上共收到信息公开申请</w:t>
      </w:r>
      <w:r>
        <w:rPr>
          <w:rFonts w:hint="eastAsia" w:ascii="仿宋_GB2312" w:eastAsia="仿宋_GB2312"/>
          <w:bCs/>
          <w:sz w:val="32"/>
          <w:szCs w:val="32"/>
          <w:shd w:val="clear" w:color="auto" w:fill="FFFFFF"/>
          <w:lang w:val="en-US" w:eastAsia="zh-CN"/>
        </w:rPr>
        <w:t>3</w:t>
      </w:r>
      <w:r>
        <w:rPr>
          <w:rFonts w:hint="eastAsia" w:ascii="仿宋_GB2312" w:eastAsia="仿宋_GB2312"/>
          <w:bCs/>
          <w:sz w:val="32"/>
          <w:szCs w:val="32"/>
          <w:shd w:val="clear" w:color="auto" w:fill="FFFFFF"/>
          <w:lang w:eastAsia="zh-CN"/>
        </w:rPr>
        <w:t>件。其中，予以公开</w:t>
      </w:r>
      <w:r>
        <w:rPr>
          <w:rFonts w:hint="eastAsia" w:ascii="仿宋_GB2312" w:eastAsia="仿宋_GB2312"/>
          <w:bCs/>
          <w:sz w:val="32"/>
          <w:szCs w:val="32"/>
          <w:shd w:val="clear" w:color="auto" w:fill="FFFFFF"/>
          <w:lang w:val="en-US" w:eastAsia="zh-CN"/>
        </w:rPr>
        <w:t>2</w:t>
      </w:r>
      <w:r>
        <w:rPr>
          <w:rFonts w:hint="eastAsia" w:ascii="仿宋_GB2312" w:eastAsia="仿宋_GB2312"/>
          <w:bCs/>
          <w:sz w:val="32"/>
          <w:szCs w:val="32"/>
          <w:shd w:val="clear" w:color="auto" w:fill="FFFFFF"/>
          <w:lang w:eastAsia="zh-CN"/>
        </w:rPr>
        <w:t>件，无法提供</w:t>
      </w:r>
      <w:r>
        <w:rPr>
          <w:rFonts w:hint="eastAsia" w:ascii="仿宋_GB2312" w:eastAsia="仿宋_GB2312"/>
          <w:bCs/>
          <w:sz w:val="32"/>
          <w:szCs w:val="32"/>
          <w:shd w:val="clear" w:color="auto" w:fill="FFFFFF"/>
          <w:lang w:val="en-US" w:eastAsia="zh-CN"/>
        </w:rPr>
        <w:t>1</w:t>
      </w:r>
      <w:r>
        <w:rPr>
          <w:rFonts w:hint="eastAsia" w:ascii="仿宋_GB2312" w:eastAsia="仿宋_GB2312"/>
          <w:bCs/>
          <w:sz w:val="32"/>
          <w:szCs w:val="32"/>
          <w:shd w:val="clear" w:color="auto" w:fill="FFFFFF"/>
          <w:lang w:eastAsia="zh-CN"/>
        </w:rPr>
        <w:t>件。</w:t>
      </w:r>
    </w:p>
    <w:p>
      <w:pPr>
        <w:spacing w:line="560" w:lineRule="exact"/>
        <w:ind w:firstLine="640" w:firstLineChars="200"/>
        <w:rPr>
          <w:rFonts w:ascii="仿宋_GB2312" w:eastAsia="仿宋_GB2312"/>
          <w:sz w:val="32"/>
          <w:szCs w:val="32"/>
        </w:rPr>
      </w:pPr>
      <w:r>
        <w:rPr>
          <w:rFonts w:hint="eastAsia" w:ascii="黑体" w:hAnsi="黑体" w:eastAsia="黑体" w:cs="宋体"/>
          <w:bCs/>
          <w:kern w:val="0"/>
          <w:sz w:val="32"/>
          <w:szCs w:val="32"/>
        </w:rPr>
        <w:t>二、主动公开政府信息情况</w:t>
      </w:r>
    </w:p>
    <w:tbl>
      <w:tblPr>
        <w:tblStyle w:val="5"/>
        <w:tblW w:w="8140" w:type="dxa"/>
        <w:jc w:val="center"/>
        <w:tblLayout w:type="autofit"/>
        <w:tblCellMar>
          <w:top w:w="15" w:type="dxa"/>
          <w:left w:w="15" w:type="dxa"/>
          <w:bottom w:w="15" w:type="dxa"/>
          <w:right w:w="15" w:type="dxa"/>
        </w:tblCellMar>
      </w:tblPr>
      <w:tblGrid>
        <w:gridCol w:w="3113"/>
        <w:gridCol w:w="1875"/>
        <w:gridCol w:w="6"/>
        <w:gridCol w:w="1265"/>
        <w:gridCol w:w="1881"/>
      </w:tblGrid>
      <w:tr>
        <w:tblPrEx>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ascii="宋体" w:hAnsi="宋体" w:cs="宋体"/>
                <w:kern w:val="0"/>
                <w:sz w:val="20"/>
                <w:szCs w:val="20"/>
              </w:rPr>
              <w:t>公开数量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对外公开总数量</w:t>
            </w:r>
          </w:p>
        </w:tc>
      </w:tr>
      <w:tr>
        <w:tblPrEx>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规章</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1271"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规范性文件</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2</w:t>
            </w:r>
          </w:p>
        </w:tc>
        <w:tc>
          <w:tcPr>
            <w:tcW w:w="1271"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2</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处理决定数量</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行政许可</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6</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-3</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其他对外管理服务事项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15</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563</w:t>
            </w:r>
            <w:bookmarkStart w:id="0" w:name="_GoBack"/>
            <w:bookmarkEnd w:id="0"/>
          </w:p>
        </w:tc>
      </w:tr>
      <w:tr>
        <w:tblPrEx>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处理决定数量</w:t>
            </w:r>
          </w:p>
        </w:tc>
      </w:tr>
      <w:tr>
        <w:tblPrEx>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行政处罚</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15</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行政强制</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本年增/减</w:t>
            </w:r>
          </w:p>
        </w:tc>
      </w:tr>
      <w:tr>
        <w:tblPrEx>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行政事业性收费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第二十条第（九）项</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采购总金额</w:t>
            </w:r>
          </w:p>
        </w:tc>
      </w:tr>
      <w:tr>
        <w:tblPrEx>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政府集中采购</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21</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8.5万</w:t>
            </w:r>
          </w:p>
        </w:tc>
      </w:tr>
    </w:tbl>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三、收到和处理政府信息公开申请情况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截至2019年12月31日，我</w:t>
      </w:r>
      <w:r>
        <w:rPr>
          <w:rFonts w:hint="eastAsia" w:ascii="仿宋_GB2312" w:eastAsia="仿宋_GB2312"/>
          <w:sz w:val="32"/>
          <w:szCs w:val="32"/>
          <w:lang w:eastAsia="zh-CN"/>
        </w:rPr>
        <w:t>局</w:t>
      </w:r>
      <w:r>
        <w:rPr>
          <w:rFonts w:hint="eastAsia" w:ascii="仿宋_GB2312" w:eastAsia="仿宋_GB2312"/>
          <w:sz w:val="32"/>
          <w:szCs w:val="32"/>
        </w:rPr>
        <w:t>共收到依申请公开</w:t>
      </w:r>
      <w:r>
        <w:rPr>
          <w:rFonts w:hint="eastAsia" w:ascii="仿宋_GB2312" w:eastAsia="仿宋_GB2312"/>
          <w:sz w:val="32"/>
          <w:szCs w:val="32"/>
          <w:lang w:val="en-US" w:eastAsia="zh-CN"/>
        </w:rPr>
        <w:t>3</w:t>
      </w:r>
      <w:r>
        <w:rPr>
          <w:rFonts w:hint="eastAsia" w:ascii="仿宋_GB2312" w:eastAsia="仿宋_GB2312"/>
          <w:sz w:val="32"/>
          <w:szCs w:val="32"/>
        </w:rPr>
        <w:t>件，均及时予以答复。</w:t>
      </w:r>
    </w:p>
    <w:tbl>
      <w:tblPr>
        <w:tblStyle w:val="5"/>
        <w:tblW w:w="9071" w:type="dxa"/>
        <w:jc w:val="center"/>
        <w:tblLayout w:type="autofit"/>
        <w:tblCellMar>
          <w:top w:w="15" w:type="dxa"/>
          <w:left w:w="15" w:type="dxa"/>
          <w:bottom w:w="15" w:type="dxa"/>
          <w:right w:w="15" w:type="dxa"/>
        </w:tblCellMar>
      </w:tblPr>
      <w:tblGrid>
        <w:gridCol w:w="617"/>
        <w:gridCol w:w="854"/>
        <w:gridCol w:w="2314"/>
        <w:gridCol w:w="585"/>
        <w:gridCol w:w="755"/>
        <w:gridCol w:w="755"/>
        <w:gridCol w:w="813"/>
        <w:gridCol w:w="973"/>
        <w:gridCol w:w="711"/>
        <w:gridCol w:w="694"/>
      </w:tblGrid>
      <w:tr>
        <w:tblPrEx>
          <w:tblCellMar>
            <w:top w:w="15" w:type="dxa"/>
            <w:left w:w="15" w:type="dxa"/>
            <w:bottom w:w="15" w:type="dxa"/>
            <w:right w:w="15" w:type="dxa"/>
          </w:tblCellMar>
        </w:tblPrEx>
        <w:trPr>
          <w:jc w:val="center"/>
        </w:trPr>
        <w:tc>
          <w:tcPr>
            <w:tcW w:w="3785" w:type="dxa"/>
            <w:gridSpan w:val="3"/>
            <w:vMerge w:val="restart"/>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286" w:type="dxa"/>
            <w:gridSpan w:val="7"/>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15" w:type="dxa"/>
            <w:left w:w="15" w:type="dxa"/>
            <w:bottom w:w="15" w:type="dxa"/>
            <w:right w:w="15" w:type="dxa"/>
          </w:tblCellMar>
        </w:tblPrEx>
        <w:trPr>
          <w:jc w:val="center"/>
        </w:trPr>
        <w:tc>
          <w:tcPr>
            <w:tcW w:w="3785" w:type="dxa"/>
            <w:gridSpan w:val="3"/>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585"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15" w:type="dxa"/>
            <w:left w:w="15" w:type="dxa"/>
            <w:bottom w:w="15" w:type="dxa"/>
            <w:right w:w="15" w:type="dxa"/>
          </w:tblCellMar>
        </w:tblPrEx>
        <w:trPr>
          <w:jc w:val="center"/>
        </w:trPr>
        <w:tc>
          <w:tcPr>
            <w:tcW w:w="3785" w:type="dxa"/>
            <w:gridSpan w:val="3"/>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585"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15" w:type="dxa"/>
            <w:left w:w="15" w:type="dxa"/>
            <w:bottom w:w="15" w:type="dxa"/>
            <w:right w:w="15" w:type="dxa"/>
          </w:tblCellMar>
        </w:tblPrEx>
        <w:trPr>
          <w:jc w:val="center"/>
        </w:trPr>
        <w:tc>
          <w:tcPr>
            <w:tcW w:w="3785" w:type="dxa"/>
            <w:gridSpan w:val="3"/>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2</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1</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3</w:t>
            </w:r>
          </w:p>
        </w:tc>
      </w:tr>
      <w:tr>
        <w:tblPrEx>
          <w:tblCellMar>
            <w:top w:w="15" w:type="dxa"/>
            <w:left w:w="15" w:type="dxa"/>
            <w:bottom w:w="15" w:type="dxa"/>
            <w:right w:w="15" w:type="dxa"/>
          </w:tblCellMar>
        </w:tblPrEx>
        <w:trPr>
          <w:jc w:val="center"/>
        </w:trPr>
        <w:tc>
          <w:tcPr>
            <w:tcW w:w="3785" w:type="dxa"/>
            <w:gridSpan w:val="3"/>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r>
      <w:tr>
        <w:tblPrEx>
          <w:tblCellMar>
            <w:top w:w="15" w:type="dxa"/>
            <w:left w:w="15" w:type="dxa"/>
            <w:bottom w:w="15" w:type="dxa"/>
            <w:right w:w="15"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3168"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（一）予以公开</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1</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1</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694"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2</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3168"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（二）部分公开（区分处理的，只计这一情形，不计其他情形）</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（三）不予公开</w:t>
            </w: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1.属于国家秘密</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694"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2.其他法律行政法规禁止公开</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3.危及“三安全一稳定”</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4.保护第三方合法权益</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5.属于三类内部事务信息</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6.属于四类过程性信息</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7.属于行政执法案卷</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8.属于行政查询事项</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（四）无法提供</w:t>
            </w: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1.本机关不掌握相关政府信息</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1</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1</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2.没有现成信息需要另行制作</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3.补正后申请内容仍不明确</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（五）不予处理</w:t>
            </w: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1.信访举报投诉类申请</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2.重复申请</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3.要求提供公开出版物</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4.无正当理由大量反复申请</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r>
      <w:tr>
        <w:tblPrEx>
          <w:tblCellMar>
            <w:top w:w="15" w:type="dxa"/>
            <w:left w:w="15" w:type="dxa"/>
            <w:bottom w:w="15" w:type="dxa"/>
            <w:right w:w="15" w:type="dxa"/>
          </w:tblCellMar>
        </w:tblPrEx>
        <w:trPr>
          <w:trHeight w:val="77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231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5.要求行政机关确认或重新出具已获取信息</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3168"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（六）其他处理</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3168"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（七）总计</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r>
      <w:tr>
        <w:tblPrEx>
          <w:tblCellMar>
            <w:top w:w="15" w:type="dxa"/>
            <w:left w:w="15" w:type="dxa"/>
            <w:bottom w:w="15" w:type="dxa"/>
            <w:right w:w="15" w:type="dxa"/>
          </w:tblCellMar>
        </w:tblPrEx>
        <w:trPr>
          <w:jc w:val="center"/>
        </w:trPr>
        <w:tc>
          <w:tcPr>
            <w:tcW w:w="3785" w:type="dxa"/>
            <w:gridSpan w:val="3"/>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58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5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8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97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cs="Calibri"/>
                <w:kern w:val="0"/>
                <w:sz w:val="20"/>
                <w:szCs w:val="20"/>
              </w:rPr>
              <w:t> </w:t>
            </w:r>
          </w:p>
        </w:tc>
        <w:tc>
          <w:tcPr>
            <w:tcW w:w="71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c>
          <w:tcPr>
            <w:tcW w:w="69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0"/>
                <w:szCs w:val="20"/>
              </w:rPr>
            </w:pPr>
          </w:p>
        </w:tc>
      </w:tr>
    </w:tbl>
    <w:p>
      <w:pPr>
        <w:widowControl/>
        <w:spacing w:line="560" w:lineRule="exact"/>
        <w:ind w:firstLine="643" w:firstLineChars="200"/>
        <w:rPr>
          <w:rFonts w:ascii="仿宋_GB2312" w:eastAsia="仿宋_GB2312"/>
          <w:sz w:val="32"/>
          <w:szCs w:val="32"/>
          <w:shd w:val="clear" w:color="auto" w:fill="FFFFFF"/>
        </w:rPr>
      </w:pPr>
      <w:r>
        <w:rPr>
          <w:rFonts w:hint="eastAsia" w:ascii="宋体" w:hAnsi="宋体" w:cs="宋体"/>
          <w:b/>
          <w:bCs/>
          <w:kern w:val="0"/>
          <w:sz w:val="32"/>
          <w:szCs w:val="32"/>
        </w:rPr>
        <w:t>四、政府信息公开行政复议、行政诉讼情况</w:t>
      </w:r>
    </w:p>
    <w:tbl>
      <w:tblPr>
        <w:tblStyle w:val="5"/>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cs="Calibri"/>
                <w:kern w:val="0"/>
                <w:sz w:val="20"/>
                <w:szCs w:val="20"/>
              </w:rPr>
              <w:t>0</w:t>
            </w:r>
            <w:r>
              <w:rPr>
                <w:rFonts w:cs="Calibri"/>
                <w:kern w:val="0"/>
                <w:sz w:val="20"/>
                <w:szCs w:val="20"/>
              </w:rPr>
              <w:t> </w:t>
            </w:r>
          </w:p>
        </w:tc>
        <w:tc>
          <w:tcPr>
            <w:tcW w:w="60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0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0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5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55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rPr>
                <w:rFonts w:hint="eastAsia" w:eastAsiaTheme="minorEastAsia"/>
                <w:lang w:eastAsia="zh-CN"/>
              </w:rPr>
            </w:pPr>
            <w:r>
              <w:rPr>
                <w:rFonts w:hint="eastAsia"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rPr>
                <w:rFonts w:hint="eastAsia" w:eastAsiaTheme="minorEastAsia"/>
                <w:lang w:eastAsia="zh-CN"/>
              </w:rPr>
            </w:pPr>
            <w:r>
              <w:rPr>
                <w:rFonts w:hint="eastAsia"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0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c>
          <w:tcPr>
            <w:tcW w:w="60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top"/>
          </w:tcPr>
          <w:p>
            <w:pPr>
              <w:jc w:val="center"/>
            </w:pPr>
            <w:r>
              <w:rPr>
                <w:rFonts w:hint="eastAsia" w:cs="Calibri"/>
                <w:kern w:val="0"/>
                <w:sz w:val="20"/>
                <w:szCs w:val="20"/>
              </w:rPr>
              <w:t>0</w:t>
            </w:r>
          </w:p>
        </w:tc>
      </w:tr>
    </w:tbl>
    <w:p>
      <w:pPr>
        <w:widowControl/>
        <w:spacing w:line="560" w:lineRule="exact"/>
        <w:ind w:firstLine="640" w:firstLineChars="200"/>
        <w:rPr>
          <w:rFonts w:hint="eastAsia" w:ascii="黑体" w:hAnsi="黑体" w:eastAsia="黑体" w:cs="宋体"/>
          <w:kern w:val="0"/>
          <w:sz w:val="32"/>
          <w:szCs w:val="32"/>
          <w:lang w:eastAsia="zh-CN"/>
        </w:rPr>
      </w:pPr>
      <w:r>
        <w:rPr>
          <w:rFonts w:hint="eastAsia" w:ascii="黑体" w:hAnsi="黑体" w:eastAsia="黑体" w:cs="宋体"/>
          <w:bCs/>
          <w:kern w:val="0"/>
          <w:sz w:val="32"/>
          <w:szCs w:val="32"/>
        </w:rPr>
        <w:t>五、存在的主要问题及改进</w:t>
      </w:r>
      <w:r>
        <w:rPr>
          <w:rFonts w:hint="eastAsia" w:ascii="黑体" w:hAnsi="黑体" w:eastAsia="黑体" w:cs="宋体"/>
          <w:bCs/>
          <w:kern w:val="0"/>
          <w:sz w:val="32"/>
          <w:szCs w:val="32"/>
          <w:lang w:eastAsia="zh-CN"/>
        </w:rPr>
        <w:t>措施</w:t>
      </w:r>
    </w:p>
    <w:p>
      <w:pPr>
        <w:widowControl/>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虽然我局</w:t>
      </w:r>
      <w:r>
        <w:rPr>
          <w:rFonts w:hint="eastAsia" w:ascii="仿宋_GB2312" w:hAnsi="仿宋_GB2312" w:eastAsia="仿宋_GB2312" w:cs="仿宋_GB2312"/>
          <w:bCs/>
          <w:kern w:val="0"/>
          <w:sz w:val="32"/>
          <w:szCs w:val="32"/>
          <w:lang w:val="en-US" w:eastAsia="zh-CN"/>
        </w:rPr>
        <w:t>2019年度的</w:t>
      </w:r>
      <w:r>
        <w:rPr>
          <w:rFonts w:hint="eastAsia" w:ascii="仿宋_GB2312" w:hAnsi="仿宋_GB2312" w:eastAsia="仿宋_GB2312" w:cs="仿宋_GB2312"/>
          <w:bCs/>
          <w:kern w:val="0"/>
          <w:sz w:val="32"/>
          <w:szCs w:val="32"/>
          <w:lang w:eastAsia="zh-CN"/>
        </w:rPr>
        <w:t>政务公开工作取得了一定成效，但也还有不足之处。一是提高信息公开质量和及时性。进一步加强对信息公开发布人员的培训，编制信息公开发布详细流程图，加强业务处室与信息公开责任处室之间的联系沟通，确保做到细节规范、发布及时。二是继续完善信息公开线上平台。在已有局网站和微信公众号的基础上，进一步融合帮企云、企业服务中心、工业大数据等平台，丰富信息公开内容和便企服务事项，创新政策解读形式，提高政策知晓率。三是加强维护和保障。落实专人定期对信息公开平台进行检查自纠，进一步改进网站维护和栏目设置，提高可用度。</w:t>
      </w:r>
    </w:p>
    <w:p>
      <w:pPr>
        <w:widowControl/>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六、其他需要报告的事项</w:t>
      </w:r>
    </w:p>
    <w:p>
      <w:pPr>
        <w:widowControl/>
        <w:spacing w:line="560" w:lineRule="exact"/>
        <w:ind w:firstLine="640" w:firstLineChars="200"/>
        <w:rPr>
          <w:rFonts w:ascii="Times New Roman" w:hAnsi="Times New Roman" w:eastAsia="仿宋_GB2312" w:cs="仿宋_GB2312"/>
          <w:sz w:val="32"/>
          <w:szCs w:val="32"/>
        </w:rPr>
      </w:pPr>
      <w:r>
        <w:rPr>
          <w:rFonts w:hint="eastAsia" w:ascii="仿宋_GB2312" w:hAnsi="宋体" w:eastAsia="仿宋_GB2312" w:cs="宋体"/>
          <w:kern w:val="0"/>
          <w:sz w:val="32"/>
          <w:szCs w:val="32"/>
        </w:rPr>
        <w:t>无。</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48"/>
    <w:rsid w:val="005B56AA"/>
    <w:rsid w:val="00AE0148"/>
    <w:rsid w:val="00CD0F74"/>
    <w:rsid w:val="0C1643F0"/>
    <w:rsid w:val="13C77322"/>
    <w:rsid w:val="1B6C77C1"/>
    <w:rsid w:val="1B8A51C3"/>
    <w:rsid w:val="1DAF07B8"/>
    <w:rsid w:val="2710167F"/>
    <w:rsid w:val="283550C4"/>
    <w:rsid w:val="395C5EDE"/>
    <w:rsid w:val="3A3556CF"/>
    <w:rsid w:val="457A25E2"/>
    <w:rsid w:val="47045C19"/>
    <w:rsid w:val="49084097"/>
    <w:rsid w:val="4BF061E1"/>
    <w:rsid w:val="4EAB0277"/>
    <w:rsid w:val="596F1B8D"/>
    <w:rsid w:val="6428009B"/>
    <w:rsid w:val="6E8C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448</Words>
  <Characters>2554</Characters>
  <Lines>21</Lines>
  <Paragraphs>5</Paragraphs>
  <TotalTime>35</TotalTime>
  <ScaleCrop>false</ScaleCrop>
  <LinksUpToDate>false</LinksUpToDate>
  <CharactersWithSpaces>2997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何小小</cp:lastModifiedBy>
  <dcterms:modified xsi:type="dcterms:W3CDTF">2020-01-23T01:11:37Z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