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温州市住房和城乡建设委员会2017年度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政府信息公开工作报告</w:t>
      </w:r>
    </w:p>
    <w:p>
      <w:pPr>
        <w:spacing w:line="500" w:lineRule="exact"/>
        <w:ind w:firstLine="940" w:firstLineChars="196"/>
        <w:jc w:val="center"/>
        <w:rPr>
          <w:rFonts w:ascii="仿宋_GB2312" w:eastAsia="仿宋_GB2312"/>
          <w:color w:val="000000"/>
          <w:sz w:val="48"/>
          <w:szCs w:val="48"/>
        </w:rPr>
      </w:pPr>
    </w:p>
    <w:p>
      <w:pPr>
        <w:spacing w:line="500" w:lineRule="exact"/>
        <w:ind w:firstLine="548" w:firstLineChars="196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根据《中华人民共和国政府信息公开条例》和</w:t>
      </w:r>
      <w:r>
        <w:rPr>
          <w:rFonts w:hint="eastAsia" w:ascii="仿宋_GB2312" w:hAnsi="仿宋" w:eastAsia="仿宋_GB2312"/>
          <w:sz w:val="28"/>
          <w:szCs w:val="28"/>
        </w:rPr>
        <w:t>《市政府关于做好2017 年政府信息公开工作总结和年度报告编制等有关工作的通知》要求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我委认真总结2017年度政府信息公开工作情况，编制本年报。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本年报由</w:t>
      </w:r>
      <w:r>
        <w:rPr>
          <w:rFonts w:hint="eastAsia" w:ascii="仿宋_GB2312" w:hAnsi="仿宋" w:eastAsia="仿宋_GB2312"/>
          <w:sz w:val="28"/>
          <w:szCs w:val="28"/>
        </w:rPr>
        <w:t>政府信息公开工作基本概况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，主动公开政府信息情况，依申请公开政府信息情况，收费及减免情况，</w:t>
      </w:r>
      <w:r>
        <w:rPr>
          <w:rFonts w:hint="eastAsia" w:ascii="仿宋_GB2312" w:hAnsi="仿宋" w:eastAsia="仿宋_GB2312"/>
          <w:sz w:val="28"/>
          <w:szCs w:val="28"/>
        </w:rPr>
        <w:t>因政府信息公开申请行政复议、提起行政诉讼的情况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存在的主要问题及改进措施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以及政府信息公开情况统计表组成。本年报中所列数据的统计期限自2017年1月1日起至2017年12月31日止。</w:t>
      </w:r>
    </w:p>
    <w:p>
      <w:pPr>
        <w:widowControl/>
        <w:numPr>
          <w:ilvl w:val="0"/>
          <w:numId w:val="1"/>
        </w:numPr>
        <w:spacing w:line="500" w:lineRule="exact"/>
        <w:rPr>
          <w:rFonts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政府信息公开工作基本概况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2017年，</w:t>
      </w:r>
      <w:r>
        <w:rPr>
          <w:rFonts w:hint="eastAsia" w:ascii="仿宋_GB2312" w:hAnsi="仿宋" w:eastAsia="仿宋_GB2312" w:cs="仿宋_GB2312"/>
          <w:sz w:val="28"/>
          <w:szCs w:val="28"/>
        </w:rPr>
        <w:t>我委严格按照《中华人民共和国政府信息公开条例》要求，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深入贯彻</w:t>
      </w:r>
      <w:r>
        <w:rPr>
          <w:rFonts w:hint="eastAsia" w:ascii="仿宋_GB2312" w:hAnsi="仿宋" w:eastAsia="仿宋_GB2312"/>
          <w:bCs/>
          <w:sz w:val="28"/>
          <w:szCs w:val="28"/>
        </w:rPr>
        <w:t>省、市人民政府关于深化政务公开工作实施方案的要求，认真执行市政府信息公开工作任务部署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立足工作实际，建立健全信息公开制度，调整完善工作机制和人员结构，</w:t>
      </w:r>
      <w:r>
        <w:rPr>
          <w:rFonts w:hint="eastAsia" w:ascii="仿宋_GB2312" w:hAnsi="仿宋" w:eastAsia="仿宋_GB2312"/>
          <w:bCs/>
          <w:sz w:val="28"/>
          <w:szCs w:val="28"/>
        </w:rPr>
        <w:t>建设完善信息公开平台，进一步推进重点领域政府信息公开，拓宽各项公开渠道，夯实工作基础，积极推进政府信息公开工作。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（一）强化组织机构建设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实际变动情况，对温州市住建委政府信息公开工作领导小组进行调整，确保政府信息公开工作的连续性。多次召开政府信息工作专题会议，研究部署政务信息公开工作，对委机关各处室、委属各部门政府信息公开具体任务进行指导监督。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（二）</w:t>
      </w:r>
      <w:r>
        <w:rPr>
          <w:rFonts w:hint="eastAsia" w:ascii="仿宋_GB2312" w:hAnsi="仿宋" w:eastAsia="仿宋_GB2312"/>
          <w:sz w:val="28"/>
          <w:szCs w:val="28"/>
        </w:rPr>
        <w:t>深化制度建设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不断修订完善住建系统信息公开制度，对原有的《温州市住建委政府信息公开指南》和目录等进行了细化调整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，进一步加强对政府信息公开的内容、形式、程序和保密监督措施的管理。</w:t>
      </w:r>
      <w:r>
        <w:rPr>
          <w:rFonts w:hint="eastAsia" w:ascii="仿宋_GB2312" w:hAnsi="仿宋" w:eastAsia="仿宋_GB2312"/>
          <w:sz w:val="28"/>
          <w:szCs w:val="28"/>
        </w:rPr>
        <w:t>加大培训监督力度，</w:t>
      </w:r>
      <w:r>
        <w:rPr>
          <w:rFonts w:hint="eastAsia" w:ascii="仿宋_GB2312" w:hAnsi="仿宋" w:eastAsia="仿宋_GB2312"/>
          <w:kern w:val="0"/>
          <w:sz w:val="28"/>
          <w:szCs w:val="28"/>
        </w:rPr>
        <w:t>召开住建系统信息公开工作培训会议，委机关各处室和委属单位负责信息公开管理人员参加了业务培训。</w:t>
      </w:r>
      <w:r>
        <w:rPr>
          <w:rFonts w:hint="eastAsia" w:ascii="仿宋_GB2312" w:hAnsi="仿宋" w:eastAsia="仿宋_GB2312"/>
          <w:sz w:val="28"/>
          <w:szCs w:val="28"/>
        </w:rPr>
        <w:t>在政府信息公开工作实施过程中，与市府办信息处等单位保持密切联系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（三）</w:t>
      </w:r>
      <w:r>
        <w:rPr>
          <w:rFonts w:hint="eastAsia" w:ascii="仿宋_GB2312" w:hAnsi="仿宋" w:eastAsia="仿宋_GB2312"/>
          <w:sz w:val="28"/>
          <w:szCs w:val="28"/>
        </w:rPr>
        <w:t>优化改建信息公开平台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省、市政府要求，2017年我委完成信息公开平台改造建设工作。将温州市住建委官方网站、信息数据收集、依申请公开、网上办事审批、网上咨询投诉查询等窗口和平台进行整合，将数以万计的数据同步迁移至浙江政务服务网。重新修编制定了政府信息公开目录，补充和规范各类办事指南和流程标准。在市委市政府“最多跑一次”的精神指引下，整合了“施工图联合审查系统”、“公积金补贴查询系统”、“农村住房信息管理系统”等一站式服务系统。简化人民群众在线查询和办事流程，减少信息发布的重复性和检索的繁琐性，避免了公共资源的过度浪费损耗，保证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资源共享、标准统一、简化有序。</w:t>
      </w:r>
    </w:p>
    <w:p>
      <w:pPr>
        <w:widowControl/>
        <w:spacing w:line="50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（四）</w:t>
      </w:r>
      <w:r>
        <w:rPr>
          <w:rFonts w:hint="eastAsia" w:ascii="仿宋_GB2312" w:eastAsia="仿宋_GB2312"/>
          <w:sz w:val="28"/>
          <w:szCs w:val="28"/>
        </w:rPr>
        <w:t>畅通交流互动渠道</w:t>
      </w:r>
    </w:p>
    <w:p>
      <w:pPr>
        <w:widowControl/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拓展政府信息公开范围，深化改进公开方式，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增加</w:t>
      </w:r>
      <w:r>
        <w:rPr>
          <w:rFonts w:hint="eastAsia" w:ascii="仿宋_GB2312" w:eastAsia="仿宋_GB2312"/>
          <w:sz w:val="28"/>
          <w:szCs w:val="28"/>
        </w:rPr>
        <w:t>政府信息公开渠道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加强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政策解读和回应关切舆情，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提升信息公开质量。优化丰富政府信息栏目，增加 “温州市房屋征收与补偿管理信息平台”、“智慧工地”等多个便民查询平台。增加政策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解读次数，提升政策宣传工作，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通过电视、报纸、网媒、社区宣传等各种方式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及时报道我市各项建设工作举措与成效，回应民众舆情关心话题。全年组编、发放《温州建设报》12期，发送微信168期1200余条、更新温州住建委微博288条，在市级以上媒体发表宣传报道320篇。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建立健全舆情应对机制，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就群众迫切关心的“规范房屋征收评估工作”、“加强农民自建房建设安全管理”、“租赁补贴”、“楼市”、“城中村”等热点话题召开新闻发布会和在线访谈会30余次，主要负责人多次参与解读和解答。积极开展参与 “人居环境博览会”、“520温州人节日”等社区宣传和展会工作，结合危旧房整治工作与电视台合作制作动漫宣传片。</w:t>
      </w:r>
    </w:p>
    <w:p>
      <w:pPr>
        <w:spacing w:line="500" w:lineRule="exact"/>
        <w:ind w:firstLine="420" w:firstLineChars="15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（五）推进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重点领域政府信息公开</w:t>
      </w:r>
    </w:p>
    <w:p>
      <w:pPr>
        <w:spacing w:line="500" w:lineRule="exact"/>
        <w:ind w:firstLine="64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2017年，我委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重点领域政府信息主要集中在棚户区改造、保障性住房建设、农村房屋改造等方面。</w:t>
      </w:r>
      <w:r>
        <w:rPr>
          <w:rFonts w:hint="eastAsia" w:ascii="仿宋_GB2312" w:hAnsi="仿宋" w:eastAsia="仿宋_GB2312"/>
          <w:sz w:val="28"/>
          <w:szCs w:val="28"/>
        </w:rPr>
        <w:t>我委拓展公开渠道，增派人手，保证信息数量和内容，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优化丰富公开平台。在市住建委官方网站、温州市住房保障信息网、</w:t>
      </w:r>
      <w:r>
        <w:rPr>
          <w:rFonts w:hint="eastAsia" w:ascii="仿宋_GB2312" w:hAnsi="仿宋" w:eastAsia="仿宋_GB2312"/>
          <w:sz w:val="28"/>
          <w:szCs w:val="28"/>
        </w:rPr>
        <w:t>公积金补贴查询网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等平台上设立各类网上办事大厅和查询大厅。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开通“温州住建”、“</w:t>
      </w: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温州住房保障”微信公众号等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掌上信息渠道，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方便市民查询计划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方案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实施进程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、实物分配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方法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、政策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解释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等动态信息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，保证了群众的知情权和监督权，提升了群众的满意度。</w:t>
      </w:r>
      <w:r>
        <w:rPr>
          <w:rFonts w:hint="eastAsia" w:ascii="仿宋_GB2312" w:hAnsi="仿宋" w:eastAsia="仿宋_GB2312"/>
          <w:sz w:val="28"/>
          <w:szCs w:val="28"/>
        </w:rPr>
        <w:t>加强与温州电视台、温州广播电台、新媒体等宣传单位合作，通过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电视、报纸、网媒、进社区宣传等各种方式，加大对重点领域工作的宣传推广力度，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及时发布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保障性安居工程项目月报、保障资格公告公示等，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并组织市民监督团，以新政聚焦等形式对工程推进过程中出现的各种问题予以曝光，要求整改，加强市民对于各类民生工程和政策执行力度的切身体悟和监督管理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500" w:lineRule="exact"/>
        <w:ind w:firstLine="420" w:firstLineChars="1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（六）严格政府信息公开保密审查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认真执行信息公开程序和保密原则。对涉及到政府信息公开的各类信息，认真进行审查，严格遵守保密纪律。至今，未出现过信息公开工作泄密情况。</w:t>
      </w:r>
    </w:p>
    <w:p>
      <w:pPr>
        <w:widowControl/>
        <w:spacing w:line="500" w:lineRule="exact"/>
        <w:ind w:firstLine="562" w:firstLineChars="200"/>
        <w:rPr>
          <w:rFonts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二、主动公开政府信息工作情况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2017年，我委</w:t>
      </w:r>
      <w:r>
        <w:rPr>
          <w:rFonts w:hint="eastAsia" w:ascii="仿宋_GB2312" w:hAnsi="仿宋" w:eastAsia="仿宋_GB2312"/>
          <w:sz w:val="28"/>
          <w:szCs w:val="28"/>
        </w:rPr>
        <w:t>主动公开政府信息</w:t>
      </w:r>
      <w:r>
        <w:rPr>
          <w:rFonts w:hint="eastAsia" w:ascii="仿宋_GB2312" w:hAnsi="仿宋" w:eastAsia="仿宋_GB2312"/>
          <w:bCs/>
          <w:sz w:val="28"/>
          <w:szCs w:val="28"/>
        </w:rPr>
        <w:t>达5000多条次，其中通过政府信息网站公开2100余条，工程领域项目信息网站、住房保障信息网站、四库一平台信息网站等公开1000余条，及其他媒体渠道公开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28"/>
          <w:szCs w:val="28"/>
        </w:rPr>
        <w:t>2000余条。</w:t>
      </w:r>
      <w:r>
        <w:rPr>
          <w:rFonts w:hint="eastAsia" w:ascii="仿宋_GB2312" w:hAnsi="仿宋" w:eastAsia="仿宋_GB2312"/>
          <w:sz w:val="28"/>
          <w:szCs w:val="28"/>
        </w:rPr>
        <w:t>在主动公开的信息中与公众密切相关的信息如民生信息、政策法规类、行政许可类、行政处罚类、行政监管类、通知公告类、工作信息等占信息总数的95％以上。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pict>
          <v:shape id="_x0000_s1028" o:spid="_x0000_s1028" o:spt="202" type="#_x0000_t202" style="position:absolute;left:0pt;margin-top:0pt;height:246.6pt;width:430.65pt;mso-position-horizontal:center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5076825" cy="2981325"/>
                        <wp:effectExtent l="19050" t="0" r="9525" b="0"/>
                        <wp:docPr id="5" name="图表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在信息公开工作中，我委严格按照《中华人民共和国政府信息公开条例》和《中华人民共和国保守国家秘密法》以及市政府有关要求及时有效发布信息，对应主动公开的各类信息，遵照规定程序和时限要求，按照生成、报批、公开等步骤，在15个工作日内予以公开。对信息生成后因各种原因临近规定时限尚未公开的，领导小组办公室及时督办，督促在规定时间内予以公开。同时，在公开内容和范围上遵循保密原则。</w:t>
      </w:r>
    </w:p>
    <w:p>
      <w:pPr>
        <w:widowControl/>
        <w:spacing w:line="500" w:lineRule="exact"/>
        <w:ind w:firstLine="559" w:firstLineChars="199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三、依申请公开政府信息和不予公开政府信息的情况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收到依申请公开政府信息申请36人次，其中当面申请12件，信函申请20件，有4件为网络申请。我们均全部予以受理，并按规定在15个工作日内给予答复。其中同意予以公开13件，不同意公开6件，已主动公开3件，不属于本机关范围12件，信息不存在1件，告知更改补件1件。</w:t>
      </w:r>
    </w:p>
    <w:p>
      <w:pPr>
        <w:widowControl/>
        <w:spacing w:line="500" w:lineRule="exact"/>
        <w:ind w:firstLine="551" w:firstLineChars="196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四、政府信息公开的收费及减免情况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2017年，我委对政府信息工作的财政支出主要为日常办公经费，未向任何单位和个人收取任何费用。</w:t>
      </w:r>
    </w:p>
    <w:p>
      <w:pPr>
        <w:spacing w:line="50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五、因政府信息公开申请行政复议、提起行政诉讼的情况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2017年，我委发生信息公开申请行政复议3人次，全部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维持我委行政行为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2017年，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我委</w:t>
      </w:r>
      <w:r>
        <w:rPr>
          <w:rFonts w:hint="eastAsia" w:ascii="仿宋_GB2312" w:hAnsi="仿宋" w:eastAsia="仿宋_GB2312"/>
          <w:sz w:val="28"/>
          <w:szCs w:val="28"/>
        </w:rPr>
        <w:t xml:space="preserve">发生3起政府信息公开的行政诉讼案件，对方在败诉后提起上诉，市中院正在审理中。 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六</w:t>
      </w:r>
      <w:r>
        <w:rPr>
          <w:rFonts w:hint="eastAsia" w:ascii="仿宋_GB2312" w:hAnsi="仿宋" w:eastAsia="仿宋_GB2312"/>
          <w:b/>
          <w:sz w:val="28"/>
          <w:szCs w:val="28"/>
        </w:rPr>
        <w:t>、政府信息公开工作存在的主要问题及改进情况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（一）存在的问题</w:t>
      </w:r>
    </w:p>
    <w:p>
      <w:pPr>
        <w:widowControl/>
        <w:spacing w:line="500" w:lineRule="exact"/>
        <w:ind w:firstLine="280" w:firstLineChars="100"/>
        <w:rPr>
          <w:rFonts w:ascii="仿宋_GB2312" w:hAnsi="仿宋" w:eastAsia="仿宋_GB2312" w:cs="仿宋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  <w:shd w:val="clear" w:color="auto" w:fill="FFFFFF"/>
        </w:rPr>
        <w:t>随着社会公众对于政府工作的知情、参与和监督意识不断增强，对政府信息公开工作也提出了新的挑战和要求。2017年，我委在政府信息工作中，仍然存在着很多难题需要破解。一是公开要求和申请越来越复杂，</w:t>
      </w:r>
      <w:r>
        <w:rPr>
          <w:rFonts w:hint="eastAsia" w:ascii="仿宋_GB2312" w:hAnsi="仿宋" w:eastAsia="仿宋_GB2312"/>
          <w:sz w:val="28"/>
          <w:szCs w:val="28"/>
        </w:rPr>
        <w:t>相关处室和部门容易出现畏难畏险情绪，对业务知识掌握不够熟练，对于法律法规掌握不够全面，仍需在实践中不断摸索和总结经验教训</w:t>
      </w:r>
      <w:r>
        <w:rPr>
          <w:rFonts w:hint="eastAsia" w:ascii="仿宋_GB2312" w:hAnsi="仿宋" w:eastAsia="仿宋_GB2312" w:cs="仿宋"/>
          <w:sz w:val="28"/>
          <w:szCs w:val="28"/>
          <w:shd w:val="clear" w:color="auto" w:fill="FFFFFF"/>
        </w:rPr>
        <w:t>。二是负责政府信息公开人员人数少，多为兼职，在繁重而纷杂的工作中，职业素养和业务素质亟待提高。三是信息公开平台迁移后大部分信息公开工作进行了调整和改变，各部门和处室及前后台协调整顿工作仍需加强。四是虽然我委系统已经将政务信息公开工作纳入年度考核计划中，但是个别单位仍需提升意识，改进 “推一推，动一动”的工作作风。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（二）改进措施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shd w:val="clear" w:color="auto" w:fill="FFFFFF"/>
        </w:rPr>
        <w:t>2018年我委将进一步加大住建系统政府信息公开工作力度，提高工作热情和工作效率，狠抓实干，坚持不懈，有效保障人民群众对于政府信息的知情权和监督权。</w:t>
      </w:r>
      <w:r>
        <w:rPr>
          <w:rFonts w:hint="eastAsia" w:ascii="仿宋_GB2312" w:hAnsi="仿宋" w:eastAsia="仿宋_GB2312" w:cs="Arial"/>
          <w:color w:val="0E4A79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" w:eastAsia="仿宋_GB2312" w:cs="Arial"/>
          <w:color w:val="0E4A79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:shd w:val="clear" w:color="auto" w:fill="FFFFFF"/>
        </w:rPr>
        <w:t>一是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继续提升业务能力，</w:t>
      </w:r>
      <w:r>
        <w:rPr>
          <w:rFonts w:hint="eastAsia" w:ascii="仿宋_GB2312" w:hAnsi="仿宋" w:eastAsia="仿宋_GB2312" w:cs="仿宋_GB2312"/>
          <w:sz w:val="28"/>
          <w:szCs w:val="28"/>
        </w:rPr>
        <w:t>加强法律法规和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业务知识学习，加强和公检法部门的联系，</w:t>
      </w:r>
      <w:r>
        <w:rPr>
          <w:rFonts w:hint="eastAsia" w:ascii="仿宋_GB2312" w:hAnsi="仿宋" w:eastAsia="仿宋_GB2312" w:cs="仿宋_GB2312"/>
          <w:sz w:val="28"/>
          <w:szCs w:val="28"/>
        </w:rPr>
        <w:t>加强调查研究，加强协作，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在工作中寻求新思路、新办法。</w:t>
      </w:r>
    </w:p>
    <w:p>
      <w:pPr>
        <w:spacing w:line="50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二是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继续加强迁移后的政府信息平台建设。梳理和完善政府信息公开类别和目录，推动各类服务项目的“最多跑一次”工作，完善在线咨询、网上办理、电子监察等网络交互功能。加大多媒体信息推广力度，加强与其他部门、新闻媒体、社区团体等合作互动，做好民众宣传、交流等工作。</w:t>
      </w:r>
    </w:p>
    <w:p>
      <w:pPr>
        <w:widowControl/>
        <w:spacing w:line="500" w:lineRule="exact"/>
        <w:ind w:firstLine="560" w:firstLineChars="200"/>
        <w:rPr>
          <w:rFonts w:ascii="仿宋_GB2312" w:hAnsi="仿宋" w:eastAsia="仿宋_GB2312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:shd w:val="clear" w:color="auto" w:fill="FFFFFF"/>
        </w:rPr>
        <w:t>三是提升全系统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政府信息公开工作意识。加强领导，强化委属各单位工作机构职能，继续加大监督管理力度，确保工作常态化、日常化，不仅要确保政府信息的数量和内容，同时确保公开信息的及时性和有效性。确立有效考评机制，规范运行操作，完全稽查考核机制。</w:t>
      </w: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shd w:val="clear" w:color="auto" w:fill="FFFFFF"/>
        </w:rPr>
        <w:t>四是继续加强重点领域信息公开工作。</w:t>
      </w:r>
      <w:r>
        <w:rPr>
          <w:rFonts w:hint="eastAsia" w:ascii="仿宋_GB2312" w:hAnsi="仿宋" w:eastAsia="仿宋_GB2312"/>
          <w:sz w:val="28"/>
          <w:szCs w:val="28"/>
        </w:rPr>
        <w:t>继续完善保障房建设、城乡危旧房改造、棚户区改造等重点领域信息公开制度、及时公开政策规定、规划计划、建设信息、分配信息、退出信息等，加强规范管理，方便群众办事，切实地“办事办好，实事做实”。</w:t>
      </w:r>
    </w:p>
    <w:p>
      <w:pPr>
        <w:spacing w:line="500" w:lineRule="exact"/>
        <w:ind w:firstLine="723" w:firstLineChars="200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napToGrid w:val="0"/>
        <w:spacing w:line="324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政府信息公开情况统计表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>（2017年度）</w:t>
      </w:r>
    </w:p>
    <w:p>
      <w:pPr>
        <w:widowControl/>
        <w:snapToGrid w:val="0"/>
        <w:spacing w:line="324" w:lineRule="auto"/>
        <w:rPr>
          <w:rFonts w:ascii="仿宋_GB2312" w:hAnsi="仿宋_GB2312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</w:rPr>
        <w:t>填报单位：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</w:rPr>
        <w:t>温州市住房和城乡建设委员会</w:t>
      </w:r>
    </w:p>
    <w:tbl>
      <w:tblPr>
        <w:tblStyle w:val="9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（一）主动公开政府信息数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500(媒体公开）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（一）回应公众关注热点或重大舆情数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3(审理中)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20</w:t>
            </w:r>
          </w:p>
        </w:tc>
      </w:tr>
    </w:tbl>
    <w:p>
      <w:pPr>
        <w:widowControl/>
        <w:snapToGrid w:val="0"/>
        <w:spacing w:line="324" w:lineRule="auto"/>
        <w:jc w:val="left"/>
        <w:rPr>
          <w:rFonts w:ascii="仿宋_GB2312" w:hAnsi="仿宋_GB2312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</w:rPr>
        <w:t>单位负责人：王大顺                  审核人：   胡海忠       填报人：朱姝姝</w:t>
      </w:r>
    </w:p>
    <w:p>
      <w:pPr>
        <w:widowControl/>
        <w:snapToGrid w:val="0"/>
        <w:spacing w:line="324" w:lineRule="auto"/>
        <w:jc w:val="left"/>
        <w:rPr>
          <w:rFonts w:ascii="仿宋_GB2312" w:hAnsi="仿宋_GB2312" w:eastAsia="仿宋_GB2312" w:cs="仿宋_GB2312"/>
          <w:b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FZFSK--GBK1-0"/>
          <w:kern w:val="0"/>
          <w:sz w:val="24"/>
        </w:rPr>
        <w:t>联系电话：   89987022             填报日期:2018.1.5</w:t>
      </w:r>
    </w:p>
    <w:p>
      <w:pPr>
        <w:widowControl/>
        <w:snapToGrid w:val="0"/>
        <w:spacing w:line="324" w:lineRule="auto"/>
        <w:ind w:firstLine="400" w:firstLineChars="200"/>
        <w:jc w:val="left"/>
        <w:rPr>
          <w:rFonts w:ascii="仿宋_GB2312" w:hAnsi="宋体" w:eastAsia="仿宋_GB2312" w:cs="宋体"/>
          <w:color w:val="000000"/>
          <w:kern w:val="0"/>
          <w:sz w:val="20"/>
        </w:rPr>
      </w:pPr>
    </w:p>
    <w:p/>
    <w:p>
      <w:pPr>
        <w:widowControl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85F21"/>
    <w:multiLevelType w:val="multilevel"/>
    <w:tmpl w:val="26E85F2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172A27"/>
    <w:rsid w:val="0000234E"/>
    <w:rsid w:val="00051BF3"/>
    <w:rsid w:val="000701A7"/>
    <w:rsid w:val="000B1C41"/>
    <w:rsid w:val="000B1F07"/>
    <w:rsid w:val="000C54D9"/>
    <w:rsid w:val="000D6559"/>
    <w:rsid w:val="00154B4E"/>
    <w:rsid w:val="00172A27"/>
    <w:rsid w:val="00196889"/>
    <w:rsid w:val="001B42D0"/>
    <w:rsid w:val="001D437A"/>
    <w:rsid w:val="002105DB"/>
    <w:rsid w:val="00235293"/>
    <w:rsid w:val="0029405D"/>
    <w:rsid w:val="002B0A12"/>
    <w:rsid w:val="002B1956"/>
    <w:rsid w:val="002C5F25"/>
    <w:rsid w:val="003100D2"/>
    <w:rsid w:val="00315028"/>
    <w:rsid w:val="00331C6B"/>
    <w:rsid w:val="0037581F"/>
    <w:rsid w:val="00376BB6"/>
    <w:rsid w:val="00382043"/>
    <w:rsid w:val="003979E9"/>
    <w:rsid w:val="003A1FE8"/>
    <w:rsid w:val="003C23CE"/>
    <w:rsid w:val="003C41C4"/>
    <w:rsid w:val="003D7500"/>
    <w:rsid w:val="0040752B"/>
    <w:rsid w:val="004140F2"/>
    <w:rsid w:val="004309DE"/>
    <w:rsid w:val="00431CD6"/>
    <w:rsid w:val="00446824"/>
    <w:rsid w:val="004D59CA"/>
    <w:rsid w:val="004E2811"/>
    <w:rsid w:val="004E2B63"/>
    <w:rsid w:val="005174BD"/>
    <w:rsid w:val="00526839"/>
    <w:rsid w:val="005441AE"/>
    <w:rsid w:val="00562020"/>
    <w:rsid w:val="00586194"/>
    <w:rsid w:val="005937EA"/>
    <w:rsid w:val="005E7495"/>
    <w:rsid w:val="006702E3"/>
    <w:rsid w:val="006C6D88"/>
    <w:rsid w:val="006F3736"/>
    <w:rsid w:val="00745AC7"/>
    <w:rsid w:val="007923AA"/>
    <w:rsid w:val="007B69A9"/>
    <w:rsid w:val="007F2C76"/>
    <w:rsid w:val="0086422E"/>
    <w:rsid w:val="008F5FF6"/>
    <w:rsid w:val="009364F0"/>
    <w:rsid w:val="00965509"/>
    <w:rsid w:val="00970B2C"/>
    <w:rsid w:val="00992FFC"/>
    <w:rsid w:val="00993FC1"/>
    <w:rsid w:val="00A02B0D"/>
    <w:rsid w:val="00A45045"/>
    <w:rsid w:val="00A53942"/>
    <w:rsid w:val="00A571CF"/>
    <w:rsid w:val="00A6323F"/>
    <w:rsid w:val="00AA0D00"/>
    <w:rsid w:val="00AC58BC"/>
    <w:rsid w:val="00AD383C"/>
    <w:rsid w:val="00AE4F2A"/>
    <w:rsid w:val="00B010F2"/>
    <w:rsid w:val="00B164E4"/>
    <w:rsid w:val="00B16C3B"/>
    <w:rsid w:val="00B22337"/>
    <w:rsid w:val="00B276D1"/>
    <w:rsid w:val="00B3765E"/>
    <w:rsid w:val="00B45186"/>
    <w:rsid w:val="00B727C9"/>
    <w:rsid w:val="00C54AAD"/>
    <w:rsid w:val="00C6543D"/>
    <w:rsid w:val="00C92F03"/>
    <w:rsid w:val="00CB58B9"/>
    <w:rsid w:val="00D24C75"/>
    <w:rsid w:val="00D76B09"/>
    <w:rsid w:val="00D94508"/>
    <w:rsid w:val="00DE208F"/>
    <w:rsid w:val="00E565BB"/>
    <w:rsid w:val="00EA0ADF"/>
    <w:rsid w:val="00EA241B"/>
    <w:rsid w:val="00F10ED9"/>
    <w:rsid w:val="00F40326"/>
    <w:rsid w:val="00F476AE"/>
    <w:rsid w:val="00F67F49"/>
    <w:rsid w:val="00F812A1"/>
    <w:rsid w:val="00F90548"/>
    <w:rsid w:val="00FD03F1"/>
    <w:rsid w:val="6FA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ody Text"/>
    <w:basedOn w:val="1"/>
    <w:uiPriority w:val="0"/>
    <w:pPr>
      <w:snapToGrid w:val="0"/>
      <w:spacing w:line="40" w:lineRule="atLeast"/>
      <w:jc w:val="center"/>
    </w:pPr>
    <w:rPr>
      <w:rFonts w:eastAsia="创艺简标宋"/>
      <w:b/>
      <w:sz w:val="36"/>
      <w:szCs w:val="20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kern w:val="2"/>
      <w:sz w:val="18"/>
      <w:szCs w:val="18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16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7">
    <w:name w:val="批注文字 Char"/>
    <w:basedOn w:val="10"/>
    <w:link w:val="3"/>
    <w:uiPriority w:val="0"/>
    <w:rPr>
      <w:kern w:val="2"/>
      <w:sz w:val="21"/>
      <w:szCs w:val="24"/>
    </w:rPr>
  </w:style>
  <w:style w:type="paragraph" w:customStyle="1" w:styleId="18">
    <w:name w:val="_Style 6"/>
    <w:basedOn w:val="2"/>
    <w:uiPriority w:val="0"/>
    <w:pPr>
      <w:tabs>
        <w:tab w:val="left" w:pos="1008"/>
      </w:tabs>
      <w:spacing w:after="160" w:line="240" w:lineRule="exact"/>
      <w:ind w:left="1008" w:hanging="1008"/>
      <w:jc w:val="left"/>
    </w:pPr>
  </w:style>
  <w:style w:type="character" w:customStyle="1" w:styleId="19">
    <w:name w:val="标题 5 Char"/>
    <w:basedOn w:val="10"/>
    <w:link w:val="2"/>
    <w:semiHidden/>
    <w:uiPriority w:val="9"/>
    <w:rPr>
      <w:b/>
      <w:bCs/>
      <w:kern w:val="2"/>
      <w:sz w:val="28"/>
      <w:szCs w:val="28"/>
    </w:rPr>
  </w:style>
  <w:style w:type="paragraph" w:customStyle="1" w:styleId="20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2017</a:t>
            </a:r>
            <a:r>
              <a:rPr lang="zh-CN" altLang="en-US"/>
              <a:t>年</a:t>
            </a:r>
            <a:endParaRPr lang="zh-CN" alt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delete val="1"/>
          </c:dLbls>
          <c:cat>
            <c:strRef>
              <c:f>Sheet1!$A$2:$A$9</c:f>
              <c:strCache>
                <c:ptCount val="8"/>
                <c:pt idx="0">
                  <c:v>机构信息</c:v>
                </c:pt>
                <c:pt idx="1">
                  <c:v>行政执法</c:v>
                </c:pt>
                <c:pt idx="2">
                  <c:v>工作信息</c:v>
                </c:pt>
                <c:pt idx="3">
                  <c:v>政策文件</c:v>
                </c:pt>
                <c:pt idx="4">
                  <c:v>为民办实事</c:v>
                </c:pt>
                <c:pt idx="5">
                  <c:v>人事信息</c:v>
                </c:pt>
                <c:pt idx="6">
                  <c:v>政府采购</c:v>
                </c:pt>
                <c:pt idx="7">
                  <c:v>通知公告类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100</c:v>
                </c:pt>
                <c:pt idx="1">
                  <c:v>2000</c:v>
                </c:pt>
                <c:pt idx="2">
                  <c:v>1700</c:v>
                </c:pt>
                <c:pt idx="3">
                  <c:v>320</c:v>
                </c:pt>
                <c:pt idx="4">
                  <c:v>700</c:v>
                </c:pt>
                <c:pt idx="5">
                  <c:v>50</c:v>
                </c:pt>
                <c:pt idx="6">
                  <c:v>50</c:v>
                </c:pt>
                <c:pt idx="7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225600"/>
        <c:axId val="57228672"/>
      </c:barChart>
      <c:catAx>
        <c:axId val="57225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228672"/>
        <c:crosses val="autoZero"/>
        <c:auto val="1"/>
        <c:lblAlgn val="ctr"/>
        <c:lblOffset val="100"/>
        <c:noMultiLvlLbl val="0"/>
      </c:catAx>
      <c:valAx>
        <c:axId val="572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2256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9</Pages>
  <Words>4378</Words>
  <Characters>4528</Characters>
  <Lines>36</Lines>
  <Paragraphs>10</Paragraphs>
  <TotalTime>85</TotalTime>
  <ScaleCrop>false</ScaleCrop>
  <LinksUpToDate>false</LinksUpToDate>
  <CharactersWithSpaces>4877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2018-01-09T02:52:00Z</dcterms:created>
  <dc:creator>MC SYSTEM</dc:creator>
  <cp:lastModifiedBy>Administrator</cp:lastModifiedBy>
  <cp:lastPrinted>2010-03-16T00:52:00Z</cp:lastPrinted>
  <dcterms:modified xsi:type="dcterms:W3CDTF">2022-08-09T08:55:27Z</dcterms:modified>
  <dc:title>温州市建设局2009年度政府信息公开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8331329B0AE24BBCB90EAEC8E352A03B</vt:lpwstr>
  </property>
</Properties>
</file>