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D" w:rsidRDefault="0081110D" w:rsidP="00290E21">
      <w:pPr>
        <w:spacing w:beforeLines="450"/>
        <w:ind w:firstLineChars="50" w:firstLine="522"/>
        <w:jc w:val="center"/>
        <w:rPr>
          <w:rFonts w:ascii="宋体"/>
          <w:b/>
          <w:color w:val="FF0000"/>
          <w:spacing w:val="4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40"/>
          <w:sz w:val="96"/>
          <w:szCs w:val="96"/>
        </w:rPr>
        <w:t>乐清市教育局文件</w:t>
      </w:r>
    </w:p>
    <w:p w:rsidR="0081110D" w:rsidRDefault="0081110D" w:rsidP="00290E21">
      <w:pPr>
        <w:spacing w:line="560" w:lineRule="exact"/>
        <w:jc w:val="center"/>
        <w:rPr>
          <w:rFonts w:ascii="仿宋_GB2312" w:eastAsia="仿宋_GB2312"/>
          <w:sz w:val="32"/>
          <w:szCs w:val="24"/>
        </w:rPr>
      </w:pPr>
    </w:p>
    <w:p w:rsidR="0081110D" w:rsidRDefault="0081110D" w:rsidP="00290E21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6D6A80">
        <w:rPr>
          <w:rFonts w:ascii="仿宋_GB2312" w:eastAsia="仿宋_GB2312" w:hAnsi="宋体" w:cs="仿宋_GB2312" w:hint="eastAsia"/>
          <w:sz w:val="32"/>
          <w:szCs w:val="32"/>
        </w:rPr>
        <w:t>乐教</w:t>
      </w:r>
      <w:r>
        <w:rPr>
          <w:rFonts w:ascii="仿宋_GB2312" w:eastAsia="仿宋_GB2312" w:hAnsi="宋体" w:cs="仿宋_GB2312" w:hint="eastAsia"/>
          <w:sz w:val="32"/>
          <w:szCs w:val="32"/>
        </w:rPr>
        <w:t>普</w:t>
      </w:r>
      <w:r w:rsidRPr="006D6A80">
        <w:rPr>
          <w:rFonts w:ascii="仿宋_GB2312" w:eastAsia="仿宋_GB2312" w:hAnsi="宋体" w:cs="仿宋_GB2312" w:hint="eastAsia"/>
          <w:sz w:val="32"/>
          <w:szCs w:val="32"/>
        </w:rPr>
        <w:t>〔</w:t>
      </w:r>
      <w:r w:rsidRPr="006D6A80"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/>
          <w:sz w:val="32"/>
          <w:szCs w:val="32"/>
        </w:rPr>
        <w:t>7</w:t>
      </w:r>
      <w:r w:rsidRPr="006D6A80"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18</w:t>
      </w:r>
      <w:r w:rsidRPr="006D6A80"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81110D" w:rsidRPr="00290E21" w:rsidRDefault="0081110D" w:rsidP="00290E21">
      <w:pPr>
        <w:spacing w:line="440" w:lineRule="exact"/>
        <w:rPr>
          <w:rFonts w:ascii="仿宋_GB2312" w:hAnsi="Times New Roman" w:cs="Times New Roman"/>
          <w:kern w:val="2"/>
          <w:szCs w:val="24"/>
        </w:rPr>
      </w:pPr>
      <w:r>
        <w:rPr>
          <w:noProof/>
        </w:rPr>
        <w:pict>
          <v:line id="_x0000_s1026" style="position:absolute;z-index:251658752" from="-8.7pt,13.4pt" to="459pt,13.4pt" strokecolor="red" strokeweight="2pt"/>
        </w:pict>
      </w:r>
    </w:p>
    <w:p w:rsidR="0081110D" w:rsidRDefault="0081110D" w:rsidP="00241612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41612">
        <w:rPr>
          <w:rFonts w:ascii="方正小标宋简体" w:eastAsia="方正小标宋简体" w:hAnsi="方正小标宋简体" w:cs="方正小标宋简体" w:hint="eastAsia"/>
          <w:sz w:val="44"/>
          <w:szCs w:val="44"/>
        </w:rPr>
        <w:t>乐清市教育局关于开展乐清市中小学教育</w:t>
      </w:r>
    </w:p>
    <w:p w:rsidR="0081110D" w:rsidRPr="00241612" w:rsidRDefault="0081110D" w:rsidP="00241612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41612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教学质量增值评价的通知</w:t>
      </w: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</w:p>
    <w:p w:rsidR="0081110D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各学区、各中小学：</w:t>
      </w:r>
    </w:p>
    <w:p w:rsidR="0081110D" w:rsidRPr="00241612" w:rsidRDefault="0081110D" w:rsidP="00290E21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为进一步推进教育教学质量综合评价改革，完善我市中小学教育质量评价体系，促进教育内涵发展，提升教育教学质量，根据国家、省、市中长期教育改革和发展规划纲要和《教育部关于推进中小学教育质量综合评价改革的意见》（教基二〔</w:t>
      </w:r>
      <w:r w:rsidRPr="00241612">
        <w:rPr>
          <w:rFonts w:ascii="仿宋_GB2312" w:eastAsia="仿宋_GB2312" w:hAnsi="仿宋" w:cs="仿宋_GB2312"/>
          <w:sz w:val="32"/>
          <w:szCs w:val="32"/>
        </w:rPr>
        <w:t>2013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〕</w:t>
      </w:r>
      <w:r w:rsidRPr="00241612">
        <w:rPr>
          <w:rFonts w:ascii="仿宋_GB2312" w:eastAsia="仿宋_GB2312" w:hAnsi="仿宋" w:cs="仿宋_GB2312"/>
          <w:sz w:val="32"/>
          <w:szCs w:val="32"/>
        </w:rPr>
        <w:t>2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号）文件精神，经研究，决定对我市中小学教育教学质量实施增值评价，现将有关事项通知如下：</w:t>
      </w:r>
    </w:p>
    <w:p w:rsidR="0081110D" w:rsidRPr="00241612" w:rsidRDefault="0081110D" w:rsidP="00241612">
      <w:pPr>
        <w:spacing w:line="52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241612">
        <w:rPr>
          <w:rFonts w:ascii="黑体" w:eastAsia="黑体" w:hAnsi="黑体" w:cs="黑体" w:hint="eastAsia"/>
          <w:sz w:val="32"/>
          <w:szCs w:val="32"/>
        </w:rPr>
        <w:t>一、总体目标</w:t>
      </w:r>
    </w:p>
    <w:p w:rsidR="0081110D" w:rsidRPr="00241612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以《温州市中小学教育质量评价实施方案（试行）》（温教评〔</w:t>
      </w:r>
      <w:r w:rsidRPr="00241612">
        <w:rPr>
          <w:rFonts w:ascii="仿宋_GB2312" w:eastAsia="仿宋_GB2312" w:hAnsi="仿宋" w:cs="仿宋_GB2312"/>
          <w:sz w:val="32"/>
          <w:szCs w:val="32"/>
        </w:rPr>
        <w:t>2013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〕</w:t>
      </w:r>
      <w:r w:rsidRPr="00241612">
        <w:rPr>
          <w:rFonts w:ascii="仿宋_GB2312" w:eastAsia="仿宋_GB2312" w:hAnsi="仿宋" w:cs="仿宋_GB2312"/>
          <w:sz w:val="32"/>
          <w:szCs w:val="32"/>
        </w:rPr>
        <w:t xml:space="preserve">107 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号）为依据，进一步拓展与完善我市中小学教育质量评价模式，面向全体学生，关注评价的起点和过程，客观、公正、科学地评价学校的教育教学质量，推进教育公平，促进学校发展，全面提升我市的教育教学质量。</w:t>
      </w:r>
    </w:p>
    <w:p w:rsidR="0081110D" w:rsidRPr="00241612" w:rsidRDefault="0081110D" w:rsidP="00290E21">
      <w:pPr>
        <w:spacing w:line="520" w:lineRule="exact"/>
        <w:ind w:firstLineChars="198" w:firstLine="634"/>
        <w:rPr>
          <w:rFonts w:ascii="黑体" w:eastAsia="黑体" w:hAnsi="黑体" w:cs="Times New Roman"/>
          <w:sz w:val="32"/>
          <w:szCs w:val="32"/>
        </w:rPr>
      </w:pPr>
      <w:r w:rsidRPr="00241612">
        <w:rPr>
          <w:rFonts w:ascii="黑体" w:eastAsia="黑体" w:hAnsi="黑体" w:cs="黑体" w:hint="eastAsia"/>
          <w:sz w:val="32"/>
          <w:szCs w:val="32"/>
        </w:rPr>
        <w:t>二、实施路径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增值评价是发展性评价的一种方式，它以学生为评价对象，以尊重学生间差异为前提，关注每一个学生在原有基础上的进步程度，注重评价的过程，强调学生的发展。主要从四个维度，检测学生接受一定阶段教育后，在各自起点或基础上进步、发展、成长的幅度，并依此对学校的教育教学效能进行价值判断的评价模式。</w:t>
      </w:r>
    </w:p>
    <w:p w:rsidR="0081110D" w:rsidRPr="00241612" w:rsidRDefault="0081110D" w:rsidP="00241612">
      <w:pPr>
        <w:spacing w:line="520" w:lineRule="exact"/>
        <w:ind w:firstLine="645"/>
        <w:rPr>
          <w:rFonts w:ascii="楷体_GB2312" w:eastAsia="楷体_GB2312" w:hAnsi="仿宋" w:cs="Times New Roman"/>
          <w:sz w:val="32"/>
          <w:szCs w:val="32"/>
        </w:rPr>
      </w:pPr>
      <w:r w:rsidRPr="00241612">
        <w:rPr>
          <w:rFonts w:ascii="楷体_GB2312" w:eastAsia="楷体_GB2312" w:hAnsi="仿宋" w:cs="楷体_GB2312" w:hint="eastAsia"/>
          <w:sz w:val="32"/>
          <w:szCs w:val="32"/>
        </w:rPr>
        <w:t>（一）设定增值评价指标</w:t>
      </w: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一是品德行为的增值。主要评价学生在行为习惯、公民素养、人格品质与理想信念的发展状况，旨在引导学生拥有更稳定的良好的道德品质心理特征。</w:t>
      </w: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二是学业水平的增值。主要评价学生根据课程标准在各门文化学科领域的学习进步情况，旨在引导学生在知识与技能，过程与方法，情感、态度与价值观等方面更好地发展。</w:t>
      </w: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三是心理健康的增值。主要评价学生在身体素质、心理品质等方面的成长状况，旨在引导学生拥有更健全的身体与心理素质以及良好的生活方式。</w:t>
      </w:r>
    </w:p>
    <w:p w:rsidR="0081110D" w:rsidRDefault="0081110D" w:rsidP="00241612">
      <w:pPr>
        <w:spacing w:line="520" w:lineRule="exact"/>
        <w:ind w:firstLine="570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四是学习品质的增值。主要评价学生在学习环境、学习策略、学习动机、学习负担和问题解决能力等方面的发展状况，旨在引导学生更愿意学、更加会学和学得更有意义。</w:t>
      </w:r>
    </w:p>
    <w:p w:rsidR="0081110D" w:rsidRPr="00241612" w:rsidRDefault="0081110D" w:rsidP="00241612">
      <w:pPr>
        <w:spacing w:line="520" w:lineRule="exact"/>
        <w:ind w:firstLine="570"/>
        <w:rPr>
          <w:rFonts w:ascii="楷体_GB2312" w:eastAsia="楷体_GB2312" w:hAnsi="仿宋" w:cs="Times New Roman"/>
          <w:sz w:val="32"/>
          <w:szCs w:val="32"/>
        </w:rPr>
      </w:pPr>
      <w:r w:rsidRPr="00241612">
        <w:rPr>
          <w:rFonts w:ascii="楷体_GB2312" w:eastAsia="楷体_GB2312" w:hAnsi="仿宋" w:cs="楷体_GB2312" w:hint="eastAsia"/>
          <w:sz w:val="32"/>
          <w:szCs w:val="32"/>
        </w:rPr>
        <w:t>（二）引进增值评价系统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我市增值评价的模型采用大连现代学习科学研究院的增值评价系统。采用回归分析法，通过回归方程等统计分析技术，同时考虑学生起点水平、学习者背景、学校特征等因素，评价学生实际成绩与预期成绩间的差异，即增值量，超出预期越多则增值越大。</w:t>
      </w:r>
    </w:p>
    <w:p w:rsidR="0081110D" w:rsidRPr="00241612" w:rsidRDefault="0081110D" w:rsidP="00241612">
      <w:pPr>
        <w:spacing w:line="520" w:lineRule="exact"/>
        <w:ind w:firstLine="645"/>
        <w:rPr>
          <w:rFonts w:ascii="楷体_GB2312" w:eastAsia="楷体_GB2312" w:hAnsi="仿宋" w:cs="Times New Roman"/>
          <w:sz w:val="32"/>
          <w:szCs w:val="32"/>
        </w:rPr>
      </w:pPr>
      <w:r w:rsidRPr="00241612">
        <w:rPr>
          <w:rFonts w:ascii="楷体_GB2312" w:eastAsia="楷体_GB2312" w:hAnsi="仿宋" w:cs="楷体_GB2312" w:hint="eastAsia"/>
          <w:sz w:val="32"/>
          <w:szCs w:val="32"/>
        </w:rPr>
        <w:t>（三）构建增值评价数据追踪体系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以我市中小学教育教学质量监测及中考成绩等起点数据为基础，建立对起始年级（小学从四年级开始）进行基线测试，每学年对学生进行一次统一质量监测的制度，采用追踪测验的研究范式，用统一的测量指标及评价维度衡量各学区、各学校不同学段或年级段的各类数据，为学校提供自我评价、自我完善的依据，建立数据驱动改善教学的机制，促进学校寻求学生最大幅度的增值。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黑体" w:eastAsia="黑体" w:hAnsi="黑体" w:cs="黑体" w:hint="eastAsia"/>
          <w:sz w:val="32"/>
          <w:szCs w:val="32"/>
        </w:rPr>
        <w:t>三、评价结果应用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乐清市中小学教育质量增值评价结果将作为完善教育政策措施、加强教育宏观管理、改进教研教学方式和学校发展性评价的重要依据，各校要正确运用评价结果，调整教育策略，改进课堂教学方式，提高课堂教学效益。</w:t>
      </w:r>
      <w:bookmarkStart w:id="0" w:name="_GoBack"/>
      <w:bookmarkEnd w:id="0"/>
    </w:p>
    <w:p w:rsidR="0081110D" w:rsidRPr="00241612" w:rsidRDefault="0081110D" w:rsidP="00241612">
      <w:pPr>
        <w:spacing w:line="520" w:lineRule="exact"/>
        <w:ind w:firstLine="645"/>
        <w:rPr>
          <w:rFonts w:ascii="楷体_GB2312" w:eastAsia="楷体_GB2312" w:hAnsi="仿宋" w:cs="Times New Roman"/>
          <w:sz w:val="32"/>
          <w:szCs w:val="32"/>
        </w:rPr>
      </w:pPr>
      <w:r w:rsidRPr="00241612">
        <w:rPr>
          <w:rFonts w:ascii="楷体_GB2312" w:eastAsia="楷体_GB2312" w:hAnsi="仿宋" w:cs="楷体_GB2312" w:hint="eastAsia"/>
          <w:sz w:val="32"/>
          <w:szCs w:val="32"/>
        </w:rPr>
        <w:t>（一）构建学校教学质量考核方式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以我市学业质量监测成绩为基准，以学校标准分、</w:t>
      </w:r>
      <w:r w:rsidRPr="00241612">
        <w:rPr>
          <w:rFonts w:ascii="仿宋_GB2312" w:eastAsia="仿宋_GB2312" w:hAnsi="仿宋" w:cs="仿宋_GB2312"/>
          <w:sz w:val="32"/>
          <w:szCs w:val="32"/>
        </w:rPr>
        <w:t>A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等率（前</w:t>
      </w:r>
      <w:r w:rsidRPr="00241612">
        <w:rPr>
          <w:rFonts w:ascii="仿宋_GB2312" w:eastAsia="仿宋_GB2312" w:hAnsi="仿宋" w:cs="仿宋_GB2312"/>
          <w:sz w:val="32"/>
          <w:szCs w:val="32"/>
        </w:rPr>
        <w:t>20%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率）、</w:t>
      </w:r>
      <w:r w:rsidRPr="00241612">
        <w:rPr>
          <w:rFonts w:ascii="仿宋_GB2312" w:eastAsia="仿宋_GB2312" w:hAnsi="仿宋" w:cs="仿宋_GB2312"/>
          <w:sz w:val="32"/>
          <w:szCs w:val="32"/>
        </w:rPr>
        <w:t>B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等率（前</w:t>
      </w:r>
      <w:r w:rsidRPr="00241612">
        <w:rPr>
          <w:rFonts w:ascii="仿宋_GB2312" w:eastAsia="仿宋_GB2312" w:hAnsi="仿宋" w:cs="仿宋_GB2312"/>
          <w:sz w:val="32"/>
          <w:szCs w:val="32"/>
        </w:rPr>
        <w:t>20%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－</w:t>
      </w:r>
      <w:r w:rsidRPr="00241612">
        <w:rPr>
          <w:rFonts w:ascii="仿宋_GB2312" w:eastAsia="仿宋_GB2312" w:hAnsi="仿宋" w:cs="仿宋_GB2312"/>
          <w:sz w:val="32"/>
          <w:szCs w:val="32"/>
        </w:rPr>
        <w:t>40%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率）、</w:t>
      </w:r>
      <w:r w:rsidRPr="00241612">
        <w:rPr>
          <w:rFonts w:ascii="仿宋_GB2312" w:eastAsia="仿宋_GB2312" w:hAnsi="仿宋" w:cs="仿宋_GB2312"/>
          <w:sz w:val="32"/>
          <w:szCs w:val="32"/>
        </w:rPr>
        <w:t>E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等率（后</w:t>
      </w:r>
      <w:r w:rsidRPr="00241612">
        <w:rPr>
          <w:rFonts w:ascii="仿宋_GB2312" w:eastAsia="仿宋_GB2312" w:hAnsi="仿宋" w:cs="仿宋_GB2312"/>
          <w:sz w:val="32"/>
          <w:szCs w:val="32"/>
        </w:rPr>
        <w:t>20%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率）为评价指标，设置学校综合指数。“学校综合指数＝学校标准分</w:t>
      </w:r>
      <w:r w:rsidRPr="00241612">
        <w:rPr>
          <w:rFonts w:ascii="仿宋_GB2312" w:eastAsia="仿宋_GB2312" w:hAnsi="仿宋" w:cs="仿宋_GB2312"/>
          <w:sz w:val="32"/>
          <w:szCs w:val="32"/>
        </w:rPr>
        <w:t>/100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＋</w:t>
      </w:r>
      <w:r w:rsidRPr="00241612">
        <w:rPr>
          <w:rFonts w:ascii="仿宋_GB2312" w:eastAsia="仿宋_GB2312" w:hAnsi="仿宋" w:cs="仿宋_GB2312"/>
          <w:sz w:val="32"/>
          <w:szCs w:val="32"/>
        </w:rPr>
        <w:t>A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等率＋</w:t>
      </w:r>
      <w:r w:rsidRPr="00241612">
        <w:rPr>
          <w:rFonts w:ascii="仿宋_GB2312" w:eastAsia="仿宋_GB2312" w:hAnsi="仿宋" w:cs="仿宋_GB2312"/>
          <w:sz w:val="32"/>
          <w:szCs w:val="32"/>
        </w:rPr>
        <w:t xml:space="preserve"> 0.7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×</w:t>
      </w:r>
      <w:r w:rsidRPr="00241612">
        <w:rPr>
          <w:rFonts w:ascii="仿宋_GB2312" w:eastAsia="仿宋_GB2312" w:hAnsi="仿宋" w:cs="仿宋_GB2312"/>
          <w:sz w:val="32"/>
          <w:szCs w:val="32"/>
        </w:rPr>
        <w:t>B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等率－</w:t>
      </w:r>
      <w:r w:rsidRPr="00241612">
        <w:rPr>
          <w:rFonts w:ascii="仿宋_GB2312" w:eastAsia="仿宋_GB2312" w:hAnsi="仿宋" w:cs="仿宋_GB2312"/>
          <w:sz w:val="32"/>
          <w:szCs w:val="32"/>
        </w:rPr>
        <w:t>E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等率”。以学校综合指数增量值为依据，考核学校的年度增值情况。各年段按学校综合指数年度增量值从高到低排序，每</w:t>
      </w:r>
      <w:r w:rsidRPr="00241612">
        <w:rPr>
          <w:rFonts w:ascii="仿宋_GB2312" w:eastAsia="仿宋_GB2312" w:hAnsi="仿宋" w:cs="仿宋_GB2312"/>
          <w:sz w:val="32"/>
          <w:szCs w:val="32"/>
        </w:rPr>
        <w:t>5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个百分点为一个量化等级，分</w:t>
      </w:r>
      <w:r w:rsidRPr="00241612">
        <w:rPr>
          <w:rFonts w:ascii="仿宋_GB2312" w:eastAsia="仿宋_GB2312" w:hAnsi="仿宋" w:cs="仿宋_GB2312"/>
          <w:sz w:val="32"/>
          <w:szCs w:val="32"/>
        </w:rPr>
        <w:t>20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个等级依次赋予</w:t>
      </w:r>
      <w:r w:rsidRPr="00241612">
        <w:rPr>
          <w:rFonts w:ascii="仿宋_GB2312" w:eastAsia="仿宋_GB2312" w:hAnsi="仿宋" w:cs="仿宋_GB2312"/>
          <w:sz w:val="32"/>
          <w:szCs w:val="32"/>
        </w:rPr>
        <w:t>40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41612">
        <w:rPr>
          <w:rFonts w:ascii="仿宋_GB2312" w:eastAsia="仿宋_GB2312" w:hAnsi="仿宋" w:cs="仿宋_GB2312"/>
          <w:sz w:val="32"/>
          <w:szCs w:val="32"/>
        </w:rPr>
        <w:t>38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41612">
        <w:rPr>
          <w:rFonts w:ascii="仿宋_GB2312" w:eastAsia="仿宋_GB2312" w:hAnsi="仿宋" w:cs="仿宋_GB2312"/>
          <w:sz w:val="32"/>
          <w:szCs w:val="32"/>
        </w:rPr>
        <w:t>36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……分。若一次监测两个（或两个以上）年级的，学校增值量按各年级的增值累计量计算，并将此考核结果纳入校长教学质量考核体系。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楷体_GB2312" w:eastAsia="楷体_GB2312" w:hAnsi="仿宋" w:cs="楷体_GB2312" w:hint="eastAsia"/>
          <w:sz w:val="32"/>
          <w:szCs w:val="32"/>
        </w:rPr>
        <w:t>（二）建立数据分析反馈制度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学校在收到“学校增值报告”后，要在一个月内向全体教师反馈增值报告的内容，反馈内容包括：基于数据的学业情况和非学业情况、优势与经验、存在问题、改进策略等，并将数据分析报告按规定上交到教研室评价办公室。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楷体_GB2312" w:eastAsia="楷体_GB2312" w:hAnsi="仿宋" w:cs="楷体_GB2312" w:hint="eastAsia"/>
          <w:sz w:val="32"/>
          <w:szCs w:val="32"/>
        </w:rPr>
        <w:t>（三）设立学科教师教学质量奖</w:t>
      </w:r>
    </w:p>
    <w:p w:rsidR="0081110D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以我市学业质量监测成绩为基准，以学科班级标准分、</w:t>
      </w:r>
      <w:r w:rsidRPr="00241612">
        <w:rPr>
          <w:rFonts w:ascii="仿宋_GB2312" w:eastAsia="仿宋_GB2312" w:hAnsi="仿宋" w:cs="仿宋_GB2312"/>
          <w:sz w:val="32"/>
          <w:szCs w:val="32"/>
        </w:rPr>
        <w:t>A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等率（前</w:t>
      </w:r>
      <w:r w:rsidRPr="00241612">
        <w:rPr>
          <w:rFonts w:ascii="仿宋_GB2312" w:eastAsia="仿宋_GB2312" w:hAnsi="仿宋" w:cs="仿宋_GB2312"/>
          <w:sz w:val="32"/>
          <w:szCs w:val="32"/>
        </w:rPr>
        <w:t>20%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率）、</w:t>
      </w:r>
      <w:r w:rsidRPr="00241612">
        <w:rPr>
          <w:rFonts w:ascii="仿宋_GB2312" w:eastAsia="仿宋_GB2312" w:hAnsi="仿宋" w:cs="仿宋_GB2312"/>
          <w:sz w:val="32"/>
          <w:szCs w:val="32"/>
        </w:rPr>
        <w:t>B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等率（前</w:t>
      </w:r>
      <w:r w:rsidRPr="00241612">
        <w:rPr>
          <w:rFonts w:ascii="仿宋_GB2312" w:eastAsia="仿宋_GB2312" w:hAnsi="仿宋" w:cs="仿宋_GB2312"/>
          <w:sz w:val="32"/>
          <w:szCs w:val="32"/>
        </w:rPr>
        <w:t>20%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－</w:t>
      </w:r>
      <w:r w:rsidRPr="00241612">
        <w:rPr>
          <w:rFonts w:ascii="仿宋_GB2312" w:eastAsia="仿宋_GB2312" w:hAnsi="仿宋" w:cs="仿宋_GB2312"/>
          <w:sz w:val="32"/>
          <w:szCs w:val="32"/>
        </w:rPr>
        <w:t>40%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率）、</w:t>
      </w:r>
      <w:r w:rsidRPr="00241612">
        <w:rPr>
          <w:rFonts w:ascii="仿宋_GB2312" w:eastAsia="仿宋_GB2312" w:hAnsi="仿宋" w:cs="仿宋_GB2312"/>
          <w:sz w:val="32"/>
          <w:szCs w:val="32"/>
        </w:rPr>
        <w:t>E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等率（后</w:t>
      </w:r>
      <w:r w:rsidRPr="00241612">
        <w:rPr>
          <w:rFonts w:ascii="仿宋_GB2312" w:eastAsia="仿宋_GB2312" w:hAnsi="仿宋" w:cs="仿宋_GB2312"/>
          <w:sz w:val="32"/>
          <w:szCs w:val="32"/>
        </w:rPr>
        <w:t>20%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率）为评价指标，设置学科班级综合指数。“学科班级综合指数＝班级标准分</w:t>
      </w:r>
      <w:r w:rsidRPr="00241612">
        <w:rPr>
          <w:rFonts w:ascii="仿宋_GB2312" w:eastAsia="仿宋_GB2312" w:hAnsi="仿宋" w:cs="仿宋_GB2312"/>
          <w:sz w:val="32"/>
          <w:szCs w:val="32"/>
        </w:rPr>
        <w:t>/100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＋</w:t>
      </w:r>
      <w:r w:rsidRPr="00241612">
        <w:rPr>
          <w:rFonts w:ascii="仿宋_GB2312" w:eastAsia="仿宋_GB2312" w:hAnsi="仿宋" w:cs="仿宋_GB2312"/>
          <w:sz w:val="32"/>
          <w:szCs w:val="32"/>
        </w:rPr>
        <w:t>A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等率＋</w:t>
      </w:r>
      <w:r w:rsidRPr="00241612">
        <w:rPr>
          <w:rFonts w:ascii="仿宋_GB2312" w:eastAsia="仿宋_GB2312" w:hAnsi="仿宋" w:cs="仿宋_GB2312"/>
          <w:sz w:val="32"/>
          <w:szCs w:val="32"/>
        </w:rPr>
        <w:t xml:space="preserve"> 0.7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×</w:t>
      </w:r>
      <w:r w:rsidRPr="00241612">
        <w:rPr>
          <w:rFonts w:ascii="仿宋_GB2312" w:eastAsia="仿宋_GB2312" w:hAnsi="仿宋" w:cs="仿宋_GB2312"/>
          <w:sz w:val="32"/>
          <w:szCs w:val="32"/>
        </w:rPr>
        <w:t>B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等率－</w:t>
      </w:r>
      <w:r w:rsidRPr="00241612">
        <w:rPr>
          <w:rFonts w:ascii="仿宋_GB2312" w:eastAsia="仿宋_GB2312" w:hAnsi="仿宋" w:cs="仿宋_GB2312"/>
          <w:sz w:val="32"/>
          <w:szCs w:val="32"/>
        </w:rPr>
        <w:t>E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等率”。以学科班级综合指数增量值为依据，各年级从高到低排序，按全市班级总数的</w:t>
      </w:r>
      <w:r w:rsidRPr="00241612">
        <w:rPr>
          <w:rFonts w:ascii="仿宋_GB2312" w:eastAsia="仿宋_GB2312" w:hAnsi="仿宋" w:cs="仿宋_GB2312"/>
          <w:sz w:val="32"/>
          <w:szCs w:val="32"/>
        </w:rPr>
        <w:t>2%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41612">
        <w:rPr>
          <w:rFonts w:ascii="仿宋_GB2312" w:eastAsia="仿宋_GB2312" w:hAnsi="仿宋" w:cs="仿宋_GB2312"/>
          <w:sz w:val="32"/>
          <w:szCs w:val="32"/>
        </w:rPr>
        <w:t>4%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241612">
        <w:rPr>
          <w:rFonts w:ascii="仿宋_GB2312" w:eastAsia="仿宋_GB2312" w:hAnsi="仿宋" w:cs="仿宋_GB2312"/>
          <w:sz w:val="32"/>
          <w:szCs w:val="32"/>
        </w:rPr>
        <w:t>6%</w:t>
      </w:r>
      <w:r w:rsidRPr="00241612">
        <w:rPr>
          <w:rFonts w:ascii="仿宋_GB2312" w:eastAsia="仿宋_GB2312" w:hAnsi="仿宋" w:cs="仿宋_GB2312" w:hint="eastAsia"/>
          <w:sz w:val="32"/>
          <w:szCs w:val="32"/>
        </w:rPr>
        <w:t>，分学段设一、二、三等奖，颁发荣誉证书。教师担任多个班级的以最高增量值计，不重复获奖。</w:t>
      </w:r>
    </w:p>
    <w:p w:rsidR="0081110D" w:rsidRPr="00241612" w:rsidRDefault="0081110D" w:rsidP="00241612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我市的教育教学质量增值评价工作尚处于起步阶段，评价指标构成、数据采集途径、评价模型建构、数据反馈制度、教师奖励机制等工作，将视评价工作开展情况逐步进行调整与完善。</w:t>
      </w: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</w:p>
    <w:p w:rsidR="0081110D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</w:p>
    <w:p w:rsidR="0081110D" w:rsidRDefault="0081110D" w:rsidP="00290E21">
      <w:pPr>
        <w:spacing w:line="520" w:lineRule="exact"/>
        <w:ind w:firstLineChars="1750" w:firstLine="5600"/>
        <w:rPr>
          <w:rFonts w:ascii="仿宋_GB2312" w:eastAsia="仿宋_GB2312" w:hAnsi="仿宋" w:cs="Times New Roman"/>
          <w:sz w:val="32"/>
          <w:szCs w:val="32"/>
        </w:rPr>
      </w:pPr>
      <w:r w:rsidRPr="00241612">
        <w:rPr>
          <w:rFonts w:ascii="仿宋_GB2312" w:eastAsia="仿宋_GB2312" w:hAnsi="仿宋" w:cs="仿宋_GB2312" w:hint="eastAsia"/>
          <w:sz w:val="32"/>
          <w:szCs w:val="32"/>
        </w:rPr>
        <w:t>乐清教育局</w:t>
      </w:r>
    </w:p>
    <w:p w:rsidR="0081110D" w:rsidRPr="00241612" w:rsidRDefault="0081110D" w:rsidP="00290E21">
      <w:pPr>
        <w:tabs>
          <w:tab w:val="left" w:pos="7560"/>
        </w:tabs>
        <w:spacing w:line="520" w:lineRule="exact"/>
        <w:ind w:firstLineChars="1650" w:firstLine="5280"/>
        <w:rPr>
          <w:rFonts w:ascii="仿宋_GB2312" w:eastAsia="仿宋_GB2312" w:hAnsi="仿宋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7"/>
        </w:smartTagPr>
        <w:r w:rsidRPr="00241612">
          <w:rPr>
            <w:rFonts w:ascii="仿宋_GB2312" w:eastAsia="仿宋_GB2312" w:hAnsi="仿宋" w:cs="仿宋_GB2312"/>
            <w:sz w:val="32"/>
            <w:szCs w:val="32"/>
          </w:rPr>
          <w:t>2017</w:t>
        </w:r>
        <w:r w:rsidRPr="00241612">
          <w:rPr>
            <w:rFonts w:ascii="仿宋_GB2312" w:eastAsia="仿宋_GB2312" w:hAnsi="仿宋" w:cs="仿宋_GB2312" w:hint="eastAsia"/>
            <w:sz w:val="32"/>
            <w:szCs w:val="32"/>
          </w:rPr>
          <w:t>年</w:t>
        </w:r>
        <w:r w:rsidRPr="00241612">
          <w:rPr>
            <w:rFonts w:ascii="仿宋_GB2312" w:eastAsia="仿宋_GB2312" w:hAnsi="仿宋" w:cs="仿宋_GB2312"/>
            <w:sz w:val="32"/>
            <w:szCs w:val="32"/>
          </w:rPr>
          <w:t>5</w:t>
        </w:r>
        <w:r w:rsidRPr="00241612">
          <w:rPr>
            <w:rFonts w:ascii="仿宋_GB2312" w:eastAsia="仿宋_GB2312" w:hAnsi="仿宋" w:cs="仿宋_GB2312" w:hint="eastAsia"/>
            <w:sz w:val="32"/>
            <w:szCs w:val="32"/>
          </w:rPr>
          <w:t>月</w:t>
        </w:r>
        <w:r w:rsidRPr="00241612">
          <w:rPr>
            <w:rFonts w:ascii="仿宋_GB2312" w:eastAsia="仿宋_GB2312" w:hAnsi="仿宋" w:cs="仿宋_GB2312"/>
            <w:sz w:val="32"/>
            <w:szCs w:val="32"/>
          </w:rPr>
          <w:t>3</w:t>
        </w:r>
        <w:r w:rsidRPr="00241612">
          <w:rPr>
            <w:rFonts w:ascii="仿宋_GB2312" w:eastAsia="仿宋_GB2312" w:hAnsi="仿宋" w:cs="仿宋_GB2312" w:hint="eastAsia"/>
            <w:sz w:val="32"/>
            <w:szCs w:val="32"/>
          </w:rPr>
          <w:t>日</w:t>
        </w:r>
      </w:smartTag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</w:p>
    <w:p w:rsidR="0081110D" w:rsidRPr="00241612" w:rsidRDefault="0081110D" w:rsidP="00241612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</w:p>
    <w:p w:rsidR="0081110D" w:rsidRDefault="0081110D" w:rsidP="00241612"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 w:rsidR="0081110D" w:rsidRDefault="0081110D" w:rsidP="00241612"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 w:rsidR="0081110D" w:rsidRDefault="0081110D" w:rsidP="00241612"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 w:rsidR="0081110D" w:rsidRPr="008B6E8C" w:rsidRDefault="0081110D" w:rsidP="00241612">
      <w:pPr>
        <w:spacing w:line="560" w:lineRule="exact"/>
        <w:ind w:firstLine="420"/>
        <w:rPr>
          <w:rFonts w:ascii="仿宋_GB2312" w:eastAsia="仿宋_GB2312" w:cs="Times New Roman"/>
          <w:sz w:val="32"/>
          <w:szCs w:val="32"/>
        </w:rPr>
      </w:pPr>
    </w:p>
    <w:p w:rsidR="0081110D" w:rsidRPr="00241612" w:rsidRDefault="0081110D" w:rsidP="00F32AB5">
      <w:pPr>
        <w:spacing w:line="640" w:lineRule="exact"/>
        <w:ind w:firstLineChars="100" w:firstLine="210"/>
        <w:rPr>
          <w:rFonts w:cs="Times New Roman"/>
        </w:rPr>
      </w:pPr>
      <w:r>
        <w:rPr>
          <w:noProof/>
        </w:rPr>
        <w:pict>
          <v:line id="_x0000_s1027" style="position:absolute;left:0;text-align:left;z-index:251657728" from="0,7.2pt" to="459pt,7.2pt"/>
        </w:pict>
      </w:r>
      <w:r>
        <w:rPr>
          <w:noProof/>
        </w:rPr>
        <w:pict>
          <v:line id="_x0000_s1028" style="position:absolute;left:0;text-align:left;z-index:251656704" from="0,35.2pt" to="459pt,35.2pt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乐清市教育局办公室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7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2017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5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印发</w:t>
      </w:r>
    </w:p>
    <w:sectPr w:rsidR="0081110D" w:rsidRPr="00241612" w:rsidSect="00241612">
      <w:footerReference w:type="default" r:id="rId6"/>
      <w:pgSz w:w="11906" w:h="16838"/>
      <w:pgMar w:top="1588" w:right="1474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0D" w:rsidRDefault="008111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110D" w:rsidRDefault="008111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0D" w:rsidRPr="00241612" w:rsidRDefault="0081110D" w:rsidP="009C66C9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241612">
      <w:rPr>
        <w:rStyle w:val="PageNumber"/>
        <w:rFonts w:ascii="宋体" w:hAnsi="宋体" w:cs="宋体"/>
        <w:sz w:val="28"/>
        <w:szCs w:val="28"/>
      </w:rPr>
      <w:fldChar w:fldCharType="begin"/>
    </w:r>
    <w:r w:rsidRPr="0024161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24161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- 4 -</w:t>
    </w:r>
    <w:r w:rsidRPr="00241612">
      <w:rPr>
        <w:rStyle w:val="PageNumber"/>
        <w:rFonts w:ascii="宋体" w:hAnsi="宋体" w:cs="宋体"/>
        <w:sz w:val="28"/>
        <w:szCs w:val="28"/>
      </w:rPr>
      <w:fldChar w:fldCharType="end"/>
    </w:r>
  </w:p>
  <w:p w:rsidR="0081110D" w:rsidRDefault="0081110D" w:rsidP="0024161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0D" w:rsidRDefault="008111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110D" w:rsidRDefault="008111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183EC3"/>
    <w:rsid w:val="0003373C"/>
    <w:rsid w:val="00044AEF"/>
    <w:rsid w:val="000571A6"/>
    <w:rsid w:val="00067F45"/>
    <w:rsid w:val="000C4CC8"/>
    <w:rsid w:val="00101E33"/>
    <w:rsid w:val="00124C82"/>
    <w:rsid w:val="001B0B3B"/>
    <w:rsid w:val="001B7412"/>
    <w:rsid w:val="00241612"/>
    <w:rsid w:val="00290E21"/>
    <w:rsid w:val="00387721"/>
    <w:rsid w:val="003A6F3E"/>
    <w:rsid w:val="003C7692"/>
    <w:rsid w:val="003D0C5C"/>
    <w:rsid w:val="00416924"/>
    <w:rsid w:val="00426385"/>
    <w:rsid w:val="004B4460"/>
    <w:rsid w:val="00510FC3"/>
    <w:rsid w:val="0054087C"/>
    <w:rsid w:val="005702BE"/>
    <w:rsid w:val="0057155D"/>
    <w:rsid w:val="005852C5"/>
    <w:rsid w:val="005C2783"/>
    <w:rsid w:val="00684426"/>
    <w:rsid w:val="006D6A80"/>
    <w:rsid w:val="00743531"/>
    <w:rsid w:val="007768EA"/>
    <w:rsid w:val="0081110D"/>
    <w:rsid w:val="008920CA"/>
    <w:rsid w:val="008B6E8C"/>
    <w:rsid w:val="008F475B"/>
    <w:rsid w:val="00920FCA"/>
    <w:rsid w:val="009C66C9"/>
    <w:rsid w:val="00A4662B"/>
    <w:rsid w:val="00B53862"/>
    <w:rsid w:val="00BF7A31"/>
    <w:rsid w:val="00D672E3"/>
    <w:rsid w:val="00DF25E9"/>
    <w:rsid w:val="00E8755C"/>
    <w:rsid w:val="00F32AB5"/>
    <w:rsid w:val="00F50F8B"/>
    <w:rsid w:val="00F82C21"/>
    <w:rsid w:val="0A985483"/>
    <w:rsid w:val="0E3618A8"/>
    <w:rsid w:val="2EB4761D"/>
    <w:rsid w:val="3B4D5621"/>
    <w:rsid w:val="3E421E89"/>
    <w:rsid w:val="584207B9"/>
    <w:rsid w:val="649D3DF3"/>
    <w:rsid w:val="6A18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5D"/>
    <w:rPr>
      <w:rFonts w:cs="Calibri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7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52C5"/>
    <w:rPr>
      <w:rFonts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033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74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2C5"/>
    <w:rPr>
      <w:rFonts w:cs="Times New Roman"/>
      <w:kern w:val="0"/>
      <w:sz w:val="2"/>
      <w:szCs w:val="2"/>
    </w:rPr>
  </w:style>
  <w:style w:type="paragraph" w:styleId="Header">
    <w:name w:val="header"/>
    <w:basedOn w:val="Normal"/>
    <w:link w:val="HeaderChar"/>
    <w:uiPriority w:val="99"/>
    <w:rsid w:val="0024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4</Pages>
  <Words>295</Words>
  <Characters>1686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cp:lastPrinted>2017-05-03T02:26:00Z</cp:lastPrinted>
  <dcterms:created xsi:type="dcterms:W3CDTF">2017-04-06T02:07:00Z</dcterms:created>
  <dcterms:modified xsi:type="dcterms:W3CDTF">2017-05-04T06:58:00Z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