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Lines="100" w:afterLines="100" w:line="240" w:lineRule="auto"/>
        <w:ind w:left="0" w:leftChars="0" w:firstLine="0" w:firstLineChars="0"/>
        <w:jc w:val="center"/>
        <w:rPr>
          <w:b w:val="0"/>
          <w:sz w:val="36"/>
          <w:szCs w:val="36"/>
          <w:highlight w:val="none"/>
        </w:rPr>
      </w:pPr>
      <w:r>
        <w:rPr>
          <w:rFonts w:hint="eastAsia"/>
          <w:sz w:val="36"/>
          <w:szCs w:val="36"/>
          <w:highlight w:val="none"/>
        </w:rPr>
        <w:t>绍兴市妇幼保健院（绍兴市儿童医院）建设项目</w:t>
      </w:r>
    </w:p>
    <w:p>
      <w:pPr>
        <w:pStyle w:val="3"/>
        <w:spacing w:after="0" w:line="360" w:lineRule="auto"/>
        <w:jc w:val="left"/>
        <w:outlineLvl w:val="1"/>
        <w:rPr>
          <w:rFonts w:hint="eastAsia" w:cs="宋体"/>
          <w:b/>
          <w:sz w:val="24"/>
          <w:szCs w:val="24"/>
        </w:rPr>
      </w:pPr>
    </w:p>
    <w:p>
      <w:pPr>
        <w:pStyle w:val="3"/>
        <w:spacing w:after="0" w:line="360" w:lineRule="auto"/>
        <w:jc w:val="left"/>
        <w:outlineLvl w:val="1"/>
        <w:rPr>
          <w:rFonts w:hint="eastAsia" w:cs="宋体"/>
          <w:b/>
          <w:sz w:val="24"/>
          <w:szCs w:val="24"/>
        </w:rPr>
      </w:pPr>
    </w:p>
    <w:p>
      <w:pPr>
        <w:pStyle w:val="3"/>
        <w:spacing w:after="0" w:line="360" w:lineRule="auto"/>
        <w:jc w:val="left"/>
        <w:outlineLvl w:val="1"/>
        <w:rPr>
          <w:rFonts w:hint="eastAsia" w:cs="宋体"/>
          <w:b/>
          <w:sz w:val="24"/>
          <w:szCs w:val="24"/>
        </w:rPr>
      </w:pPr>
    </w:p>
    <w:p>
      <w:pPr>
        <w:pStyle w:val="3"/>
        <w:spacing w:after="0" w:line="360" w:lineRule="auto"/>
        <w:jc w:val="center"/>
        <w:outlineLvl w:val="1"/>
        <w:rPr>
          <w:rFonts w:hint="eastAsia" w:cs="宋体"/>
          <w:b/>
          <w:sz w:val="84"/>
          <w:szCs w:val="84"/>
        </w:rPr>
      </w:pPr>
      <w:r>
        <w:rPr>
          <w:rFonts w:hint="eastAsia" w:cs="宋体"/>
          <w:b/>
          <w:sz w:val="84"/>
          <w:szCs w:val="84"/>
        </w:rPr>
        <w:t>环</w:t>
      </w:r>
    </w:p>
    <w:p>
      <w:pPr>
        <w:pStyle w:val="3"/>
        <w:spacing w:after="0" w:line="360" w:lineRule="auto"/>
        <w:jc w:val="center"/>
        <w:outlineLvl w:val="1"/>
        <w:rPr>
          <w:rFonts w:hint="eastAsia" w:cs="宋体"/>
          <w:b/>
          <w:sz w:val="84"/>
          <w:szCs w:val="84"/>
        </w:rPr>
      </w:pPr>
      <w:r>
        <w:rPr>
          <w:rFonts w:hint="eastAsia" w:cs="宋体"/>
          <w:b/>
          <w:sz w:val="84"/>
          <w:szCs w:val="84"/>
        </w:rPr>
        <w:t>境</w:t>
      </w:r>
    </w:p>
    <w:p>
      <w:pPr>
        <w:pStyle w:val="3"/>
        <w:spacing w:after="0" w:line="360" w:lineRule="auto"/>
        <w:jc w:val="center"/>
        <w:outlineLvl w:val="1"/>
        <w:rPr>
          <w:rFonts w:hint="eastAsia" w:cs="宋体"/>
          <w:b/>
          <w:sz w:val="84"/>
          <w:szCs w:val="84"/>
        </w:rPr>
      </w:pPr>
      <w:r>
        <w:rPr>
          <w:rFonts w:hint="eastAsia" w:cs="宋体"/>
          <w:b/>
          <w:sz w:val="84"/>
          <w:szCs w:val="84"/>
        </w:rPr>
        <w:t>保</w:t>
      </w:r>
    </w:p>
    <w:p>
      <w:pPr>
        <w:pStyle w:val="3"/>
        <w:spacing w:after="0" w:line="360" w:lineRule="auto"/>
        <w:jc w:val="center"/>
        <w:outlineLvl w:val="1"/>
        <w:rPr>
          <w:rFonts w:hint="eastAsia" w:cs="宋体"/>
          <w:b/>
          <w:sz w:val="84"/>
          <w:szCs w:val="84"/>
        </w:rPr>
      </w:pPr>
      <w:r>
        <w:rPr>
          <w:rFonts w:hint="eastAsia" w:cs="宋体"/>
          <w:b/>
          <w:sz w:val="84"/>
          <w:szCs w:val="84"/>
        </w:rPr>
        <w:t>护</w:t>
      </w:r>
    </w:p>
    <w:p>
      <w:pPr>
        <w:pStyle w:val="3"/>
        <w:spacing w:after="0" w:line="360" w:lineRule="auto"/>
        <w:jc w:val="center"/>
        <w:outlineLvl w:val="1"/>
        <w:rPr>
          <w:rFonts w:hint="eastAsia" w:cs="宋体"/>
          <w:b/>
          <w:sz w:val="84"/>
          <w:szCs w:val="84"/>
        </w:rPr>
      </w:pPr>
      <w:r>
        <w:rPr>
          <w:rFonts w:hint="eastAsia" w:cs="宋体"/>
          <w:b/>
          <w:sz w:val="84"/>
          <w:szCs w:val="84"/>
        </w:rPr>
        <w:t>措</w:t>
      </w:r>
    </w:p>
    <w:p>
      <w:pPr>
        <w:pStyle w:val="3"/>
        <w:spacing w:after="0" w:line="360" w:lineRule="auto"/>
        <w:jc w:val="center"/>
        <w:outlineLvl w:val="1"/>
        <w:rPr>
          <w:rFonts w:hint="eastAsia" w:cs="宋体"/>
          <w:b/>
          <w:sz w:val="84"/>
          <w:szCs w:val="84"/>
        </w:rPr>
      </w:pPr>
      <w:r>
        <w:rPr>
          <w:rFonts w:hint="eastAsia" w:cs="宋体"/>
          <w:b/>
          <w:sz w:val="84"/>
          <w:szCs w:val="84"/>
        </w:rPr>
        <w:t>施</w:t>
      </w:r>
    </w:p>
    <w:p>
      <w:pPr>
        <w:spacing w:line="360" w:lineRule="auto"/>
        <w:outlineLvl w:val="2"/>
        <w:rPr>
          <w:rFonts w:hint="eastAsia" w:ascii="宋体" w:hAnsi="宋体" w:cs="宋体"/>
          <w:b/>
          <w:sz w:val="24"/>
          <w:szCs w:val="24"/>
        </w:rPr>
      </w:pPr>
      <w:bookmarkStart w:id="0" w:name="_Toc372095678"/>
      <w:bookmarkStart w:id="1" w:name="_Toc252746234"/>
      <w:bookmarkStart w:id="2" w:name="_Toc252752680"/>
      <w:bookmarkStart w:id="3" w:name="_Toc258685610"/>
    </w:p>
    <w:p>
      <w:pPr>
        <w:spacing w:line="360" w:lineRule="auto"/>
        <w:outlineLvl w:val="2"/>
        <w:rPr>
          <w:rFonts w:hint="eastAsia" w:ascii="宋体" w:hAnsi="宋体" w:cs="宋体"/>
          <w:b/>
          <w:sz w:val="24"/>
          <w:szCs w:val="24"/>
        </w:rPr>
      </w:pPr>
    </w:p>
    <w:p>
      <w:pPr>
        <w:spacing w:line="360" w:lineRule="auto"/>
        <w:outlineLvl w:val="2"/>
        <w:rPr>
          <w:rFonts w:hint="eastAsia" w:ascii="宋体" w:hAnsi="宋体" w:cs="宋体"/>
          <w:b/>
          <w:sz w:val="24"/>
          <w:szCs w:val="24"/>
        </w:rPr>
      </w:pPr>
    </w:p>
    <w:p>
      <w:pPr>
        <w:spacing w:line="360" w:lineRule="auto"/>
        <w:outlineLvl w:val="2"/>
        <w:rPr>
          <w:rFonts w:hint="eastAsia" w:ascii="宋体" w:hAnsi="宋体" w:cs="宋体"/>
          <w:b/>
          <w:sz w:val="24"/>
          <w:szCs w:val="24"/>
        </w:rPr>
      </w:pPr>
    </w:p>
    <w:p>
      <w:pPr>
        <w:spacing w:line="360" w:lineRule="auto"/>
        <w:outlineLvl w:val="2"/>
        <w:rPr>
          <w:rFonts w:hint="eastAsia" w:ascii="宋体" w:hAnsi="宋体" w:cs="宋体"/>
          <w:b/>
          <w:sz w:val="24"/>
          <w:szCs w:val="24"/>
        </w:rPr>
      </w:pPr>
    </w:p>
    <w:p>
      <w:pPr>
        <w:spacing w:line="360" w:lineRule="auto"/>
        <w:outlineLvl w:val="2"/>
        <w:rPr>
          <w:rFonts w:hint="eastAsia" w:ascii="宋体" w:hAnsi="宋体" w:cs="宋体"/>
          <w:b/>
          <w:sz w:val="24"/>
          <w:szCs w:val="24"/>
        </w:rPr>
      </w:pPr>
    </w:p>
    <w:p>
      <w:pPr>
        <w:spacing w:line="360" w:lineRule="auto"/>
        <w:outlineLvl w:val="2"/>
        <w:rPr>
          <w:rFonts w:hint="eastAsia" w:ascii="宋体" w:hAnsi="宋体" w:cs="宋体"/>
          <w:b/>
          <w:sz w:val="24"/>
          <w:szCs w:val="24"/>
        </w:rPr>
      </w:pPr>
    </w:p>
    <w:p>
      <w:pPr>
        <w:spacing w:line="360" w:lineRule="auto"/>
        <w:outlineLvl w:val="2"/>
        <w:rPr>
          <w:rFonts w:hint="eastAsia" w:ascii="宋体" w:hAnsi="宋体" w:cs="宋体"/>
          <w:b/>
          <w:sz w:val="24"/>
          <w:szCs w:val="24"/>
        </w:rPr>
      </w:pPr>
    </w:p>
    <w:p>
      <w:pPr>
        <w:spacing w:line="360" w:lineRule="auto"/>
        <w:outlineLvl w:val="2"/>
        <w:rPr>
          <w:rFonts w:hint="eastAsia" w:ascii="宋体" w:hAnsi="宋体" w:cs="宋体"/>
          <w:b/>
          <w:sz w:val="24"/>
          <w:szCs w:val="24"/>
          <w:lang w:val="en-US" w:eastAsia="zh-CN"/>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spacing w:line="360" w:lineRule="auto"/>
        <w:outlineLvl w:val="2"/>
        <w:rPr>
          <w:rFonts w:hint="eastAsia" w:ascii="宋体" w:hAnsi="宋体" w:cs="宋体"/>
          <w:b/>
          <w:sz w:val="24"/>
          <w:szCs w:val="24"/>
        </w:rPr>
      </w:pPr>
      <w:r>
        <w:rPr>
          <w:rFonts w:hint="eastAsia" w:ascii="宋体" w:hAnsi="宋体" w:cs="宋体"/>
          <w:b/>
          <w:sz w:val="24"/>
          <w:szCs w:val="24"/>
          <w:lang w:val="en-US" w:eastAsia="zh-CN"/>
        </w:rPr>
        <w:t>一、</w:t>
      </w:r>
      <w:r>
        <w:rPr>
          <w:rFonts w:hint="eastAsia" w:ascii="宋体" w:hAnsi="宋体" w:cs="宋体"/>
          <w:b/>
          <w:sz w:val="24"/>
          <w:szCs w:val="24"/>
        </w:rPr>
        <w:t>扬尘控制</w:t>
      </w:r>
      <w:bookmarkEnd w:id="0"/>
      <w:bookmarkEnd w:id="1"/>
      <w:bookmarkEnd w:id="2"/>
      <w:bookmarkEnd w:id="3"/>
    </w:p>
    <w:p>
      <w:pPr>
        <w:numPr>
          <w:ilvl w:val="0"/>
          <w:numId w:val="0"/>
        </w:numPr>
        <w:spacing w:line="360" w:lineRule="auto"/>
        <w:ind w:firstLine="480" w:firstLineChars="200"/>
        <w:rPr>
          <w:rFonts w:hint="eastAsia" w:ascii="宋体" w:hAnsi="宋体" w:cs="宋体"/>
          <w:sz w:val="24"/>
          <w:szCs w:val="24"/>
        </w:rPr>
      </w:pPr>
      <w:r>
        <w:rPr>
          <w:rFonts w:hint="eastAsia" w:ascii="宋体" w:hAnsi="宋体" w:cs="宋体"/>
          <w:sz w:val="24"/>
          <w:szCs w:val="24"/>
          <w:lang w:val="en-US" w:eastAsia="zh-CN"/>
        </w:rPr>
        <w:t>1.</w:t>
      </w:r>
      <w:r>
        <w:rPr>
          <w:rFonts w:hint="eastAsia" w:ascii="宋体" w:hAnsi="宋体" w:cs="宋体"/>
          <w:sz w:val="24"/>
          <w:szCs w:val="24"/>
        </w:rPr>
        <w:t>施工现场主要道路进行硬化处理，土方集中堆放于场外。对于场内堆放用于回填的土方及暂未施工的裸露场地均采用彩条布进行覆盖。</w:t>
      </w:r>
    </w:p>
    <w:p>
      <w:pPr>
        <w:numPr>
          <w:ilvl w:val="0"/>
          <w:numId w:val="0"/>
        </w:numPr>
        <w:spacing w:line="360" w:lineRule="auto"/>
        <w:jc w:val="center"/>
        <w:rPr>
          <w:rFonts w:hint="eastAsia" w:eastAsiaTheme="minorEastAsia"/>
          <w:lang w:eastAsia="zh-CN"/>
        </w:rPr>
      </w:pPr>
      <w:r>
        <w:rPr>
          <w:rFonts w:hint="eastAsia" w:eastAsiaTheme="minorEastAsia"/>
          <w:lang w:eastAsia="zh-CN"/>
        </w:rPr>
        <w:drawing>
          <wp:inline distT="0" distB="0" distL="114300" distR="114300">
            <wp:extent cx="2289810" cy="1695450"/>
            <wp:effectExtent l="0" t="0" r="15240" b="0"/>
            <wp:docPr id="7" name="图片 7" descr="C:/Users/ADMINI~1/AppData/Local/Temp/picturecompress_2021010508335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picturecompress_20210105083356/output_1.jpgoutput_1"/>
                    <pic:cNvPicPr>
                      <a:picLocks noChangeAspect="1"/>
                    </pic:cNvPicPr>
                  </pic:nvPicPr>
                  <pic:blipFill>
                    <a:blip r:embed="rId7"/>
                    <a:stretch>
                      <a:fillRect/>
                    </a:stretch>
                  </pic:blipFill>
                  <pic:spPr>
                    <a:xfrm>
                      <a:off x="0" y="0"/>
                      <a:ext cx="2289810" cy="1695450"/>
                    </a:xfrm>
                    <a:prstGeom prst="rect">
                      <a:avLst/>
                    </a:prstGeom>
                  </pic:spPr>
                </pic:pic>
              </a:graphicData>
            </a:graphic>
          </wp:inline>
        </w:drawing>
      </w:r>
    </w:p>
    <w:p>
      <w:pPr>
        <w:numPr>
          <w:ilvl w:val="0"/>
          <w:numId w:val="0"/>
        </w:numPr>
        <w:spacing w:line="360" w:lineRule="auto"/>
        <w:jc w:val="center"/>
        <w:rPr>
          <w:rFonts w:hint="default" w:eastAsiaTheme="minorEastAsia"/>
          <w:lang w:val="en-US" w:eastAsia="zh-CN"/>
        </w:rPr>
      </w:pPr>
      <w:r>
        <w:rPr>
          <w:rFonts w:hint="eastAsia" w:eastAsiaTheme="minorEastAsia"/>
          <w:lang w:val="en-US" w:eastAsia="zh-CN"/>
        </w:rPr>
        <w:t>裸土覆盖</w:t>
      </w:r>
    </w:p>
    <w:p>
      <w:pPr>
        <w:numPr>
          <w:ilvl w:val="0"/>
          <w:numId w:val="0"/>
        </w:numPr>
        <w:spacing w:line="360" w:lineRule="auto"/>
        <w:ind w:firstLine="480" w:firstLineChars="200"/>
        <w:rPr>
          <w:rFonts w:hint="eastAsia"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施工现场大门口设置洗车池用来冲洗车辆。</w:t>
      </w:r>
    </w:p>
    <w:p>
      <w:pPr>
        <w:numPr>
          <w:ilvl w:val="0"/>
          <w:numId w:val="0"/>
        </w:numPr>
        <w:spacing w:line="360" w:lineRule="auto"/>
        <w:jc w:val="left"/>
      </w:pPr>
      <w:r>
        <w:drawing>
          <wp:inline distT="0" distB="0" distL="114300" distR="114300">
            <wp:extent cx="2729865" cy="1858645"/>
            <wp:effectExtent l="0" t="0" r="13335" b="8255"/>
            <wp:docPr id="1" name="图片 6"/>
            <wp:cNvGraphicFramePr/>
            <a:graphic xmlns:a="http://schemas.openxmlformats.org/drawingml/2006/main">
              <a:graphicData uri="http://schemas.openxmlformats.org/drawingml/2006/picture">
                <pic:pic xmlns:pic="http://schemas.openxmlformats.org/drawingml/2006/picture">
                  <pic:nvPicPr>
                    <pic:cNvPr id="1" name="图片 6"/>
                    <pic:cNvPicPr/>
                  </pic:nvPicPr>
                  <pic:blipFill>
                    <a:blip r:embed="rId8"/>
                    <a:stretch>
                      <a:fillRect/>
                    </a:stretch>
                  </pic:blipFill>
                  <pic:spPr>
                    <a:xfrm>
                      <a:off x="0" y="0"/>
                      <a:ext cx="2729865" cy="1858645"/>
                    </a:xfrm>
                    <a:prstGeom prst="rect">
                      <a:avLst/>
                    </a:prstGeom>
                    <a:effectLst>
                      <a:innerShdw blurRad="63500" dist="50800" dir="2700000">
                        <a:prstClr val="black">
                          <a:alpha val="50000"/>
                        </a:prstClr>
                      </a:innerShdw>
                    </a:effectLst>
                  </pic:spPr>
                </pic:pic>
              </a:graphicData>
            </a:graphic>
          </wp:inline>
        </w:drawing>
      </w:r>
      <w:r>
        <w:drawing>
          <wp:inline distT="0" distB="0" distL="114300" distR="114300">
            <wp:extent cx="1862455" cy="2498090"/>
            <wp:effectExtent l="0" t="0" r="16510" b="4445"/>
            <wp:docPr id="3" name="图片 3" descr="C:/Users/ADMINI~1/AppData/Local/Temp/picturecompress_2021010808392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picturecompress_20210108083924/output_1.jpgoutput_1"/>
                    <pic:cNvPicPr>
                      <a:picLocks noChangeAspect="1"/>
                    </pic:cNvPicPr>
                  </pic:nvPicPr>
                  <pic:blipFill>
                    <a:blip r:embed="rId9"/>
                    <a:srcRect r="32145"/>
                    <a:stretch>
                      <a:fillRect/>
                    </a:stretch>
                  </pic:blipFill>
                  <pic:spPr>
                    <a:xfrm rot="5400000">
                      <a:off x="0" y="0"/>
                      <a:ext cx="1862455" cy="2498090"/>
                    </a:xfrm>
                    <a:prstGeom prst="rect">
                      <a:avLst/>
                    </a:prstGeom>
                  </pic:spPr>
                </pic:pic>
              </a:graphicData>
            </a:graphic>
          </wp:inline>
        </w:drawing>
      </w:r>
    </w:p>
    <w:p>
      <w:pPr>
        <w:numPr>
          <w:ilvl w:val="0"/>
          <w:numId w:val="0"/>
        </w:numPr>
        <w:spacing w:line="360" w:lineRule="auto"/>
        <w:ind w:firstLine="1680" w:firstLineChars="700"/>
        <w:jc w:val="left"/>
        <w:rPr>
          <w:rFonts w:hint="default" w:ascii="宋体" w:hAnsi="宋体" w:cs="宋体"/>
          <w:sz w:val="24"/>
          <w:szCs w:val="24"/>
          <w:lang w:val="en-US"/>
        </w:rPr>
      </w:pPr>
      <w:r>
        <w:rPr>
          <w:rFonts w:hint="eastAsia" w:ascii="宋体" w:hAnsi="宋体" w:cs="宋体"/>
          <w:sz w:val="24"/>
          <w:szCs w:val="24"/>
          <w:lang w:val="en-US" w:eastAsia="zh-CN"/>
        </w:rPr>
        <w:t xml:space="preserve">洗车池                          </w:t>
      </w:r>
      <w:r>
        <w:rPr>
          <w:rFonts w:hint="eastAsia"/>
          <w:sz w:val="21"/>
          <w:szCs w:val="21"/>
          <w:lang w:val="en-US" w:eastAsia="zh-CN"/>
        </w:rPr>
        <w:t>专职保洁员冲洗车辆</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3.遇有四级以上大风天气，不进行土方回填、转运以及其他可能产生扬尘污染的施工。</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4.施工现场材料存放区、加工区及模板存放场地平整坚实。</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5.施工现场根据设计要求采用预拌砂浆。</w:t>
      </w:r>
    </w:p>
    <w:p>
      <w:pPr>
        <w:spacing w:line="360" w:lineRule="auto"/>
        <w:ind w:firstLine="420" w:firstLineChars="200"/>
        <w:jc w:val="center"/>
      </w:pPr>
      <w:r>
        <w:drawing>
          <wp:inline distT="0" distB="0" distL="114300" distR="114300">
            <wp:extent cx="3059430" cy="2341880"/>
            <wp:effectExtent l="0" t="0" r="7620" b="1270"/>
            <wp:docPr id="13" name="图片 12" descr="微信图片_20201113104541"/>
            <wp:cNvGraphicFramePr/>
            <a:graphic xmlns:a="http://schemas.openxmlformats.org/drawingml/2006/main">
              <a:graphicData uri="http://schemas.openxmlformats.org/drawingml/2006/picture">
                <pic:pic xmlns:pic="http://schemas.openxmlformats.org/drawingml/2006/picture">
                  <pic:nvPicPr>
                    <pic:cNvPr id="13" name="图片 12" descr="微信图片_20201113104541"/>
                    <pic:cNvPicPr/>
                  </pic:nvPicPr>
                  <pic:blipFill>
                    <a:blip r:embed="rId10"/>
                    <a:srcRect/>
                    <a:stretch>
                      <a:fillRect/>
                    </a:stretch>
                  </pic:blipFill>
                  <pic:spPr>
                    <a:xfrm>
                      <a:off x="0" y="0"/>
                      <a:ext cx="3060000" cy="2341880"/>
                    </a:xfrm>
                    <a:prstGeom prst="rect">
                      <a:avLst/>
                    </a:prstGeom>
                    <a:effectLst>
                      <a:innerShdw blurRad="63500" dist="50800" dir="8100000">
                        <a:prstClr val="black">
                          <a:alpha val="50000"/>
                        </a:prstClr>
                      </a:innerShdw>
                    </a:effectLst>
                  </pic:spPr>
                </pic:pic>
              </a:graphicData>
            </a:graphic>
          </wp:inline>
        </w:drawing>
      </w:r>
    </w:p>
    <w:p>
      <w:pPr>
        <w:spacing w:line="360" w:lineRule="auto"/>
        <w:ind w:firstLine="420" w:firstLineChars="200"/>
        <w:jc w:val="center"/>
        <w:rPr>
          <w:rFonts w:hint="default" w:eastAsia="宋体"/>
          <w:lang w:val="en-US" w:eastAsia="zh-CN"/>
        </w:rPr>
      </w:pPr>
      <w:r>
        <w:rPr>
          <w:rFonts w:hint="eastAsia"/>
          <w:lang w:val="en-US" w:eastAsia="zh-CN"/>
        </w:rPr>
        <w:t>预拌砂浆</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6.施工现场垃圾集中堆放，并及时清运。</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7.建筑物内施工垃圾的清运，采用吊斗运输，严禁凌空抛掷。</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8.施工现场非作业区达到目测无扬尘的要求。对现场易飞扬物质采取有效措施，如洒水、地面硬化、围档、密网覆盖、封闭等，防止扬尘产生。</w:t>
      </w:r>
    </w:p>
    <w:p>
      <w:pPr>
        <w:spacing w:line="360" w:lineRule="auto"/>
        <w:ind w:firstLine="420" w:firstLineChars="200"/>
        <w:jc w:val="both"/>
      </w:pPr>
      <w:r>
        <w:drawing>
          <wp:inline distT="0" distB="0" distL="114300" distR="114300">
            <wp:extent cx="2421890" cy="1694815"/>
            <wp:effectExtent l="0" t="0" r="16510" b="635"/>
            <wp:docPr id="4" name="图片 3" descr="C:/Users/ADMINI~1/AppData/Local/Temp/picturecompress_20201111192220/output_1.pngoutput_1"/>
            <wp:cNvGraphicFramePr/>
            <a:graphic xmlns:a="http://schemas.openxmlformats.org/drawingml/2006/main">
              <a:graphicData uri="http://schemas.openxmlformats.org/drawingml/2006/picture">
                <pic:pic xmlns:pic="http://schemas.openxmlformats.org/drawingml/2006/picture">
                  <pic:nvPicPr>
                    <pic:cNvPr id="4" name="图片 3" descr="C:/Users/ADMINI~1/AppData/Local/Temp/picturecompress_20201111192220/output_1.pngoutput_1"/>
                    <pic:cNvPicPr/>
                  </pic:nvPicPr>
                  <pic:blipFill>
                    <a:blip r:embed="rId11"/>
                    <a:srcRect/>
                    <a:stretch>
                      <a:fillRect/>
                    </a:stretch>
                  </pic:blipFill>
                  <pic:spPr>
                    <a:xfrm>
                      <a:off x="0" y="0"/>
                      <a:ext cx="2421890" cy="1694815"/>
                    </a:xfrm>
                    <a:prstGeom prst="rect">
                      <a:avLst/>
                    </a:prstGeom>
                    <a:effectLst>
                      <a:innerShdw blurRad="63500" dist="50800" dir="2700000">
                        <a:prstClr val="black">
                          <a:alpha val="50000"/>
                        </a:prstClr>
                      </a:innerShdw>
                    </a:effectLst>
                  </pic:spPr>
                </pic:pic>
              </a:graphicData>
            </a:graphic>
          </wp:inline>
        </w:drawing>
      </w:r>
      <w:r>
        <w:drawing>
          <wp:inline distT="0" distB="0" distL="114300" distR="114300">
            <wp:extent cx="2431415" cy="1689735"/>
            <wp:effectExtent l="0" t="0" r="698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12"/>
                    <a:srcRect t="28416"/>
                    <a:stretch>
                      <a:fillRect/>
                    </a:stretch>
                  </pic:blipFill>
                  <pic:spPr>
                    <a:xfrm>
                      <a:off x="0" y="0"/>
                      <a:ext cx="2431415" cy="1689735"/>
                    </a:xfrm>
                    <a:prstGeom prst="rect">
                      <a:avLst/>
                    </a:prstGeom>
                    <a:effectLst>
                      <a:innerShdw blurRad="63500" dist="50800" dir="2700000">
                        <a:prstClr val="black">
                          <a:alpha val="50000"/>
                        </a:prstClr>
                      </a:innerShdw>
                    </a:effectLst>
                  </pic:spPr>
                </pic:pic>
              </a:graphicData>
            </a:graphic>
          </wp:inline>
        </w:drawing>
      </w:r>
    </w:p>
    <w:p>
      <w:pPr>
        <w:spacing w:line="360" w:lineRule="auto"/>
        <w:ind w:firstLine="420" w:firstLineChars="200"/>
        <w:jc w:val="both"/>
        <w:rPr>
          <w:rFonts w:hint="eastAsia"/>
          <w:lang w:val="en-US" w:eastAsia="zh-CN"/>
        </w:rPr>
      </w:pPr>
      <w:r>
        <w:rPr>
          <w:rFonts w:hint="eastAsia"/>
          <w:lang w:val="en-US" w:eastAsia="zh-CN"/>
        </w:rPr>
        <w:t xml:space="preserve">            雾炮降尘                                 围墙喷淋</w:t>
      </w:r>
    </w:p>
    <w:p>
      <w:pPr>
        <w:spacing w:line="360" w:lineRule="auto"/>
        <w:ind w:firstLine="420" w:firstLineChars="200"/>
        <w:jc w:val="center"/>
      </w:pPr>
      <w:r>
        <w:drawing>
          <wp:inline distT="0" distB="0" distL="114300" distR="114300">
            <wp:extent cx="3321685" cy="2174875"/>
            <wp:effectExtent l="0" t="0" r="12065" b="15875"/>
            <wp:docPr id="5" name="图片 4"/>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13"/>
                    <a:stretch>
                      <a:fillRect/>
                    </a:stretch>
                  </pic:blipFill>
                  <pic:spPr>
                    <a:xfrm>
                      <a:off x="0" y="0"/>
                      <a:ext cx="3321685" cy="2174875"/>
                    </a:xfrm>
                    <a:prstGeom prst="rect">
                      <a:avLst/>
                    </a:prstGeom>
                    <a:effectLst>
                      <a:innerShdw blurRad="63500" dist="50800" dir="2700000">
                        <a:prstClr val="black">
                          <a:alpha val="50000"/>
                        </a:prstClr>
                      </a:innerShdw>
                    </a:effectLst>
                  </pic:spPr>
                </pic:pic>
              </a:graphicData>
            </a:graphic>
          </wp:inline>
        </w:drawing>
      </w:r>
    </w:p>
    <w:p>
      <w:pPr>
        <w:spacing w:line="360" w:lineRule="auto"/>
        <w:ind w:firstLine="420" w:firstLineChars="200"/>
        <w:jc w:val="center"/>
        <w:rPr>
          <w:rFonts w:hint="default" w:eastAsia="宋体"/>
          <w:lang w:val="en-US" w:eastAsia="zh-CN"/>
        </w:rPr>
      </w:pPr>
      <w:r>
        <w:rPr>
          <w:rFonts w:hint="eastAsia"/>
          <w:lang w:val="en-US" w:eastAsia="zh-CN"/>
        </w:rPr>
        <w:t>塔吊喷淋</w:t>
      </w:r>
    </w:p>
    <w:p>
      <w:pPr>
        <w:spacing w:line="360" w:lineRule="auto"/>
        <w:outlineLvl w:val="2"/>
        <w:rPr>
          <w:rFonts w:hint="eastAsia" w:ascii="宋体" w:hAnsi="宋体" w:cs="宋体"/>
          <w:b/>
          <w:sz w:val="24"/>
          <w:szCs w:val="24"/>
        </w:rPr>
      </w:pPr>
      <w:bookmarkStart w:id="4" w:name="_Toc258685611"/>
      <w:bookmarkStart w:id="5" w:name="_Toc252752681"/>
      <w:bookmarkStart w:id="6" w:name="_Toc372095679"/>
      <w:bookmarkStart w:id="7" w:name="_Toc252746235"/>
      <w:r>
        <w:rPr>
          <w:rFonts w:hint="eastAsia" w:ascii="宋体" w:hAnsi="宋体" w:cs="宋体"/>
          <w:b/>
          <w:sz w:val="24"/>
          <w:szCs w:val="24"/>
          <w:lang w:val="en-US" w:eastAsia="zh-CN"/>
        </w:rPr>
        <w:t>二、</w:t>
      </w:r>
      <w:r>
        <w:rPr>
          <w:rFonts w:hint="eastAsia" w:ascii="宋体" w:hAnsi="宋体" w:cs="宋体"/>
          <w:b/>
          <w:sz w:val="24"/>
          <w:szCs w:val="24"/>
        </w:rPr>
        <w:t>有害气体排放控制</w:t>
      </w:r>
      <w:bookmarkEnd w:id="4"/>
      <w:bookmarkEnd w:id="5"/>
      <w:bookmarkEnd w:id="6"/>
      <w:bookmarkEnd w:id="7"/>
    </w:p>
    <w:p>
      <w:pPr>
        <w:spacing w:line="360" w:lineRule="auto"/>
        <w:ind w:firstLine="480" w:firstLineChars="200"/>
        <w:rPr>
          <w:rFonts w:hint="eastAsia" w:ascii="宋体" w:hAnsi="宋体" w:cs="宋体"/>
          <w:sz w:val="24"/>
          <w:szCs w:val="24"/>
        </w:rPr>
      </w:pPr>
      <w:r>
        <w:rPr>
          <w:rFonts w:hint="eastAsia" w:ascii="宋体" w:hAnsi="宋体" w:cs="宋体"/>
          <w:sz w:val="24"/>
          <w:szCs w:val="24"/>
        </w:rPr>
        <w:t>1.施工现场严禁焚烧各类废弃物。</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2.施工车辆、机械设备的尾气排放必须符合国家和</w:t>
      </w:r>
      <w:r>
        <w:rPr>
          <w:rFonts w:hint="eastAsia" w:ascii="宋体" w:hAnsi="宋体" w:cs="宋体"/>
          <w:sz w:val="24"/>
          <w:szCs w:val="24"/>
          <w:lang w:val="en-US" w:eastAsia="zh-CN"/>
        </w:rPr>
        <w:t>安徽省</w:t>
      </w:r>
      <w:r>
        <w:rPr>
          <w:rFonts w:hint="eastAsia" w:ascii="宋体" w:hAnsi="宋体" w:cs="宋体"/>
          <w:sz w:val="24"/>
          <w:szCs w:val="24"/>
        </w:rPr>
        <w:t>规定的排放标准。</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3.建筑材料中有害物质含量符合现行国家标准GB-18580～18588和《建筑材料放射性核素限量》GB-6566的要求。</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4.室内装修严禁采用沥青、煤焦油类防腐、防潮处理剂。</w:t>
      </w:r>
    </w:p>
    <w:p>
      <w:pPr>
        <w:spacing w:line="360" w:lineRule="auto"/>
        <w:outlineLvl w:val="2"/>
        <w:rPr>
          <w:rFonts w:hint="eastAsia" w:ascii="宋体" w:hAnsi="宋体" w:cs="宋体"/>
          <w:b/>
          <w:sz w:val="24"/>
          <w:szCs w:val="24"/>
        </w:rPr>
      </w:pPr>
      <w:bookmarkStart w:id="8" w:name="_Toc258685612"/>
      <w:bookmarkStart w:id="9" w:name="_Toc372095680"/>
      <w:bookmarkStart w:id="10" w:name="_Toc252746236"/>
      <w:bookmarkStart w:id="11" w:name="_Toc252752682"/>
      <w:r>
        <w:rPr>
          <w:rFonts w:hint="eastAsia" w:ascii="宋体" w:hAnsi="宋体" w:cs="宋体"/>
          <w:b/>
          <w:sz w:val="24"/>
          <w:szCs w:val="24"/>
          <w:lang w:val="en-US" w:eastAsia="zh-CN"/>
        </w:rPr>
        <w:t>三、</w:t>
      </w:r>
      <w:r>
        <w:rPr>
          <w:rFonts w:hint="eastAsia" w:ascii="宋体" w:hAnsi="宋体" w:cs="宋体"/>
          <w:b/>
          <w:sz w:val="24"/>
          <w:szCs w:val="24"/>
        </w:rPr>
        <w:t>水土污染控制</w:t>
      </w:r>
      <w:bookmarkEnd w:id="8"/>
      <w:bookmarkEnd w:id="9"/>
      <w:bookmarkEnd w:id="10"/>
      <w:bookmarkEnd w:id="11"/>
    </w:p>
    <w:p>
      <w:pPr>
        <w:spacing w:line="360" w:lineRule="auto"/>
        <w:ind w:firstLine="480" w:firstLineChars="200"/>
        <w:rPr>
          <w:rFonts w:hint="eastAsia" w:ascii="宋体" w:hAnsi="宋体" w:cs="宋体"/>
          <w:sz w:val="24"/>
          <w:szCs w:val="24"/>
        </w:rPr>
      </w:pPr>
      <w:r>
        <w:rPr>
          <w:rFonts w:hint="eastAsia" w:ascii="宋体" w:hAnsi="宋体" w:cs="宋体"/>
          <w:sz w:val="24"/>
          <w:szCs w:val="24"/>
        </w:rPr>
        <w:t>1.施工现场混凝土输送泵及运输车辆清洗处设置洗车池及沉淀池。</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2.施工现场存放的油料和化学溶剂等物品设有专门的危险品库房，地面垫竹胶板防渗漏。废弃的油料和化学溶剂集中处理，不得随意倾倒。</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3.食堂设隔油池，及时清理。</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4.</w:t>
      </w:r>
      <w:r>
        <w:rPr>
          <w:rFonts w:hint="eastAsia" w:ascii="宋体" w:hAnsi="宋体" w:cs="宋体"/>
          <w:color w:val="000000"/>
          <w:sz w:val="24"/>
          <w:szCs w:val="24"/>
        </w:rPr>
        <w:t>油漆、涂料等按计划用量随用随开启，不用时及时封闭，避免有害物质的滞留，</w:t>
      </w:r>
      <w:r>
        <w:rPr>
          <w:rFonts w:hint="eastAsia" w:ascii="宋体" w:hAnsi="宋体" w:cs="宋体"/>
          <w:sz w:val="24"/>
          <w:szCs w:val="24"/>
        </w:rPr>
        <w:t>仓库、油库、隔油池、化粪池、垃圾站等处采取防漏防渗措施，防止危险品、化学品、污染物、固体废物中有害物质的泄漏；</w:t>
      </w:r>
    </w:p>
    <w:p>
      <w:pPr>
        <w:pStyle w:val="3"/>
        <w:spacing w:after="0" w:line="360" w:lineRule="auto"/>
        <w:ind w:firstLine="480" w:firstLineChars="200"/>
        <w:jc w:val="left"/>
        <w:rPr>
          <w:rFonts w:hint="eastAsia" w:cs="宋体"/>
          <w:sz w:val="24"/>
          <w:szCs w:val="24"/>
        </w:rPr>
      </w:pPr>
      <w:r>
        <w:rPr>
          <w:rFonts w:hint="eastAsia" w:cs="宋体"/>
          <w:color w:val="000000"/>
          <w:sz w:val="24"/>
          <w:szCs w:val="24"/>
        </w:rPr>
        <w:t>5.</w:t>
      </w:r>
      <w:r>
        <w:rPr>
          <w:rFonts w:hint="eastAsia" w:cs="宋体"/>
          <w:sz w:val="24"/>
          <w:szCs w:val="24"/>
        </w:rPr>
        <w:t>施工现场污水排放应达到国家标准《污水综合排放标准》（GB8978-1996）的要求。</w:t>
      </w:r>
    </w:p>
    <w:p>
      <w:pPr>
        <w:spacing w:line="360" w:lineRule="auto"/>
        <w:outlineLvl w:val="2"/>
        <w:rPr>
          <w:rFonts w:hint="eastAsia" w:ascii="宋体" w:hAnsi="宋体" w:cs="宋体"/>
          <w:b/>
          <w:sz w:val="24"/>
          <w:szCs w:val="24"/>
        </w:rPr>
      </w:pPr>
      <w:bookmarkStart w:id="12" w:name="_Toc252752683"/>
      <w:bookmarkStart w:id="13" w:name="_Toc258685613"/>
      <w:bookmarkStart w:id="14" w:name="_Toc372095681"/>
      <w:bookmarkStart w:id="15" w:name="_Toc252746237"/>
      <w:r>
        <w:rPr>
          <w:rFonts w:hint="eastAsia" w:ascii="宋体" w:hAnsi="宋体" w:cs="宋体"/>
          <w:b/>
          <w:sz w:val="24"/>
          <w:szCs w:val="24"/>
          <w:lang w:val="en-US" w:eastAsia="zh-CN"/>
        </w:rPr>
        <w:t>四、</w:t>
      </w:r>
      <w:r>
        <w:rPr>
          <w:rFonts w:hint="eastAsia" w:ascii="宋体" w:hAnsi="宋体" w:cs="宋体"/>
          <w:b/>
          <w:sz w:val="24"/>
          <w:szCs w:val="24"/>
        </w:rPr>
        <w:t>噪声污染控制</w:t>
      </w:r>
      <w:bookmarkEnd w:id="12"/>
      <w:bookmarkEnd w:id="13"/>
      <w:bookmarkEnd w:id="14"/>
      <w:bookmarkEnd w:id="15"/>
    </w:p>
    <w:p>
      <w:pPr>
        <w:spacing w:line="360" w:lineRule="auto"/>
        <w:ind w:firstLine="480" w:firstLineChars="200"/>
        <w:rPr>
          <w:rFonts w:hint="eastAsia" w:ascii="宋体" w:hAnsi="宋体" w:cs="宋体"/>
          <w:sz w:val="24"/>
          <w:szCs w:val="24"/>
        </w:rPr>
      </w:pPr>
      <w:r>
        <w:rPr>
          <w:rFonts w:hint="eastAsia" w:ascii="宋体" w:hAnsi="宋体" w:cs="宋体"/>
          <w:sz w:val="24"/>
          <w:szCs w:val="24"/>
        </w:rPr>
        <w:t>1.施工现场应根据国家标准GB/T12524－90《建筑施工场界噪声测量方法》和GB12523－90《建筑施工场地噪声限值》的要求制定降噪措施，并对施工现场场界噪声进行检测和记录，噪声排放不得超过国家标准。</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2.施工现场的降噪声设备设置在远离居民区的一侧，如靠近建设路一侧。</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3.运输材料的车辆进入施工现场，严禁鸣笛。装卸材料应做到轻拿轻放。</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4.使用低噪音、低振动的机具，采取隔音与隔振措施，避免或减少施工噪音和振动。</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5.现场地泵周围采用砌240厚砖墙进行围护（或用钢管搭设，彩钢板围护），设置地泵房，以防噪音扩散。</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6.木工机具必须设在木工房内，木工房采用砖砌240厚砖墙进行围护（或用钢管搭设，彩钢板围护），以防噪音扩散；</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7.施工现场场界噪声应符合下表规定。</w:t>
      </w:r>
    </w:p>
    <w:p>
      <w:pPr>
        <w:spacing w:line="360" w:lineRule="auto"/>
        <w:jc w:val="center"/>
        <w:rPr>
          <w:rFonts w:hint="eastAsia" w:ascii="宋体" w:hAnsi="宋体" w:cs="宋体"/>
          <w:sz w:val="24"/>
          <w:szCs w:val="24"/>
        </w:rPr>
      </w:pPr>
      <w:r>
        <w:rPr>
          <w:rFonts w:hint="eastAsia" w:ascii="宋体" w:hAnsi="宋体" w:cs="宋体"/>
          <w:sz w:val="24"/>
          <w:szCs w:val="24"/>
        </w:rPr>
        <w:t>施工阶段噪声限值表</w:t>
      </w:r>
    </w:p>
    <w:tbl>
      <w:tblPr>
        <w:tblStyle w:val="6"/>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1"/>
        <w:gridCol w:w="4503"/>
        <w:gridCol w:w="1178"/>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1"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 w:val="24"/>
                <w:szCs w:val="24"/>
              </w:rPr>
            </w:pPr>
            <w:r>
              <w:rPr>
                <w:rFonts w:hint="eastAsia" w:ascii="宋体" w:hAnsi="宋体" w:cs="宋体"/>
                <w:sz w:val="24"/>
                <w:szCs w:val="24"/>
              </w:rPr>
              <w:t>施工阶段</w:t>
            </w:r>
          </w:p>
        </w:tc>
        <w:tc>
          <w:tcPr>
            <w:tcW w:w="4503"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 w:val="24"/>
                <w:szCs w:val="24"/>
              </w:rPr>
            </w:pPr>
            <w:r>
              <w:rPr>
                <w:rFonts w:hint="eastAsia" w:ascii="宋体" w:hAnsi="宋体" w:cs="宋体"/>
                <w:sz w:val="24"/>
                <w:szCs w:val="24"/>
              </w:rPr>
              <w:t>主要噪声源</w:t>
            </w:r>
          </w:p>
        </w:tc>
        <w:tc>
          <w:tcPr>
            <w:tcW w:w="2538"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 w:val="24"/>
                <w:szCs w:val="24"/>
              </w:rPr>
            </w:pPr>
            <w:r>
              <w:rPr>
                <w:rFonts w:hint="eastAsia" w:ascii="宋体" w:hAnsi="宋体" w:cs="宋体"/>
                <w:sz w:val="24"/>
                <w:szCs w:val="24"/>
              </w:rPr>
              <w:t>噪声限值（dB）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left"/>
              <w:rPr>
                <w:rFonts w:hint="eastAsia" w:ascii="宋体" w:hAnsi="宋体" w:cs="宋体"/>
                <w:sz w:val="24"/>
                <w:szCs w:val="24"/>
              </w:rPr>
            </w:pPr>
          </w:p>
        </w:tc>
        <w:tc>
          <w:tcPr>
            <w:tcW w:w="450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left"/>
              <w:rPr>
                <w:rFonts w:hint="eastAsia" w:ascii="宋体" w:hAnsi="宋体" w:cs="宋体"/>
                <w:sz w:val="24"/>
                <w:szCs w:val="24"/>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 w:val="24"/>
                <w:szCs w:val="24"/>
              </w:rPr>
            </w:pPr>
            <w:r>
              <w:rPr>
                <w:rFonts w:hint="eastAsia" w:ascii="宋体" w:hAnsi="宋体" w:cs="宋体"/>
                <w:sz w:val="24"/>
                <w:szCs w:val="24"/>
              </w:rPr>
              <w:t>昼间</w:t>
            </w:r>
          </w:p>
        </w:tc>
        <w:tc>
          <w:tcPr>
            <w:tcW w:w="13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 w:val="24"/>
                <w:szCs w:val="24"/>
              </w:rPr>
            </w:pPr>
            <w:r>
              <w:rPr>
                <w:rFonts w:hint="eastAsia" w:ascii="宋体" w:hAnsi="宋体" w:cs="宋体"/>
                <w:sz w:val="24"/>
                <w:szCs w:val="24"/>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 w:val="24"/>
                <w:szCs w:val="24"/>
              </w:rPr>
            </w:pPr>
            <w:r>
              <w:rPr>
                <w:rFonts w:hint="eastAsia" w:ascii="宋体" w:hAnsi="宋体" w:cs="宋体"/>
                <w:sz w:val="24"/>
                <w:szCs w:val="24"/>
              </w:rPr>
              <w:t>土石方</w:t>
            </w:r>
          </w:p>
        </w:tc>
        <w:tc>
          <w:tcPr>
            <w:tcW w:w="450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 w:val="24"/>
                <w:szCs w:val="24"/>
              </w:rPr>
            </w:pPr>
            <w:r>
              <w:rPr>
                <w:rFonts w:hint="eastAsia" w:ascii="宋体" w:hAnsi="宋体" w:cs="宋体"/>
                <w:sz w:val="24"/>
                <w:szCs w:val="24"/>
              </w:rPr>
              <w:t>挖掘机、装载机等</w:t>
            </w:r>
          </w:p>
        </w:tc>
        <w:tc>
          <w:tcPr>
            <w:tcW w:w="11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 w:val="24"/>
                <w:szCs w:val="24"/>
              </w:rPr>
            </w:pPr>
            <w:r>
              <w:rPr>
                <w:rFonts w:hint="eastAsia" w:ascii="宋体" w:hAnsi="宋体" w:cs="宋体"/>
                <w:sz w:val="24"/>
                <w:szCs w:val="24"/>
              </w:rPr>
              <w:t>75</w:t>
            </w:r>
          </w:p>
        </w:tc>
        <w:tc>
          <w:tcPr>
            <w:tcW w:w="13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 w:val="24"/>
                <w:szCs w:val="24"/>
              </w:rPr>
            </w:pPr>
            <w:r>
              <w:rPr>
                <w:rFonts w:hint="eastAsia" w:ascii="宋体" w:hAnsi="宋体" w:cs="宋体"/>
                <w:sz w:val="24"/>
                <w:szCs w:val="24"/>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 w:val="24"/>
                <w:szCs w:val="24"/>
              </w:rPr>
            </w:pPr>
            <w:r>
              <w:rPr>
                <w:rFonts w:hint="eastAsia" w:ascii="宋体" w:hAnsi="宋体" w:cs="宋体"/>
                <w:sz w:val="24"/>
                <w:szCs w:val="24"/>
              </w:rPr>
              <w:t>结构</w:t>
            </w:r>
          </w:p>
        </w:tc>
        <w:tc>
          <w:tcPr>
            <w:tcW w:w="450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 w:val="24"/>
                <w:szCs w:val="24"/>
              </w:rPr>
            </w:pPr>
            <w:r>
              <w:rPr>
                <w:rFonts w:hint="eastAsia" w:ascii="宋体" w:hAnsi="宋体" w:cs="宋体"/>
                <w:sz w:val="24"/>
                <w:szCs w:val="24"/>
              </w:rPr>
              <w:t>振捣棒、电锯等</w:t>
            </w:r>
          </w:p>
        </w:tc>
        <w:tc>
          <w:tcPr>
            <w:tcW w:w="11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 w:val="24"/>
                <w:szCs w:val="24"/>
              </w:rPr>
            </w:pPr>
            <w:r>
              <w:rPr>
                <w:rFonts w:hint="eastAsia" w:ascii="宋体" w:hAnsi="宋体" w:cs="宋体"/>
                <w:sz w:val="24"/>
                <w:szCs w:val="24"/>
              </w:rPr>
              <w:t>70</w:t>
            </w:r>
          </w:p>
        </w:tc>
        <w:tc>
          <w:tcPr>
            <w:tcW w:w="13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 w:val="24"/>
                <w:szCs w:val="24"/>
              </w:rPr>
            </w:pPr>
            <w:r>
              <w:rPr>
                <w:rFonts w:hint="eastAsia" w:ascii="宋体" w:hAnsi="宋体" w:cs="宋体"/>
                <w:sz w:val="24"/>
                <w:szCs w:val="24"/>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 w:val="24"/>
                <w:szCs w:val="24"/>
              </w:rPr>
            </w:pPr>
            <w:r>
              <w:rPr>
                <w:rFonts w:hint="eastAsia" w:ascii="宋体" w:hAnsi="宋体" w:cs="宋体"/>
                <w:sz w:val="24"/>
                <w:szCs w:val="24"/>
              </w:rPr>
              <w:t>装修</w:t>
            </w:r>
          </w:p>
        </w:tc>
        <w:tc>
          <w:tcPr>
            <w:tcW w:w="450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 w:val="24"/>
                <w:szCs w:val="24"/>
              </w:rPr>
            </w:pPr>
            <w:r>
              <w:rPr>
                <w:rFonts w:hint="eastAsia" w:ascii="宋体" w:hAnsi="宋体" w:cs="宋体"/>
                <w:sz w:val="24"/>
                <w:szCs w:val="24"/>
              </w:rPr>
              <w:t>吊车、升降机等</w:t>
            </w:r>
          </w:p>
        </w:tc>
        <w:tc>
          <w:tcPr>
            <w:tcW w:w="11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 w:val="24"/>
                <w:szCs w:val="24"/>
              </w:rPr>
            </w:pPr>
            <w:r>
              <w:rPr>
                <w:rFonts w:hint="eastAsia" w:ascii="宋体" w:hAnsi="宋体" w:cs="宋体"/>
                <w:sz w:val="24"/>
                <w:szCs w:val="24"/>
              </w:rPr>
              <w:t>65</w:t>
            </w:r>
          </w:p>
        </w:tc>
        <w:tc>
          <w:tcPr>
            <w:tcW w:w="13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 w:val="24"/>
                <w:szCs w:val="24"/>
              </w:rPr>
            </w:pPr>
            <w:r>
              <w:rPr>
                <w:rFonts w:hint="eastAsia" w:ascii="宋体" w:hAnsi="宋体" w:cs="宋体"/>
                <w:sz w:val="24"/>
                <w:szCs w:val="24"/>
              </w:rPr>
              <w:t>55</w:t>
            </w:r>
          </w:p>
        </w:tc>
      </w:tr>
    </w:tbl>
    <w:p>
      <w:pPr>
        <w:spacing w:line="360" w:lineRule="auto"/>
        <w:outlineLvl w:val="2"/>
        <w:rPr>
          <w:rFonts w:hint="eastAsia" w:ascii="宋体" w:hAnsi="宋体" w:cs="宋体"/>
          <w:b/>
          <w:sz w:val="24"/>
          <w:szCs w:val="24"/>
        </w:rPr>
      </w:pPr>
      <w:bookmarkStart w:id="16" w:name="_Toc252752684"/>
      <w:bookmarkStart w:id="17" w:name="_Toc372095682"/>
      <w:bookmarkStart w:id="18" w:name="_Toc258685614"/>
      <w:bookmarkStart w:id="19" w:name="_Toc252746238"/>
      <w:r>
        <w:rPr>
          <w:rFonts w:hint="eastAsia" w:ascii="宋体" w:hAnsi="宋体" w:cs="宋体"/>
          <w:b/>
          <w:sz w:val="24"/>
          <w:szCs w:val="24"/>
          <w:lang w:val="en-US" w:eastAsia="zh-CN"/>
        </w:rPr>
        <w:t>五、</w:t>
      </w:r>
      <w:r>
        <w:rPr>
          <w:rFonts w:hint="eastAsia" w:ascii="宋体" w:hAnsi="宋体" w:cs="宋体"/>
          <w:b/>
          <w:sz w:val="24"/>
          <w:szCs w:val="24"/>
        </w:rPr>
        <w:t>光污染控制</w:t>
      </w:r>
      <w:bookmarkEnd w:id="16"/>
      <w:bookmarkEnd w:id="17"/>
      <w:bookmarkEnd w:id="18"/>
      <w:bookmarkEnd w:id="19"/>
    </w:p>
    <w:p>
      <w:pPr>
        <w:spacing w:line="360" w:lineRule="auto"/>
        <w:ind w:firstLine="480" w:firstLineChars="200"/>
        <w:rPr>
          <w:rFonts w:hint="eastAsia" w:ascii="宋体" w:hAnsi="宋体" w:cs="宋体"/>
          <w:sz w:val="24"/>
          <w:szCs w:val="24"/>
        </w:rPr>
      </w:pPr>
      <w:r>
        <w:rPr>
          <w:rFonts w:hint="eastAsia" w:ascii="宋体" w:hAnsi="宋体" w:cs="宋体"/>
          <w:sz w:val="24"/>
          <w:szCs w:val="24"/>
        </w:rPr>
        <w:t>1.必要时的夜间施工，合理布置现场照明，照明灯必须有定向灯罩，能有效控制灯光方向和范围，在保证施工现场施工作业面有足够光照的条件下合理调整灯光照射方向，减少对周围居民生活的干扰。</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2.在高处进行电焊作业时应采取遮挡措施，避免电弧光外泄。</w:t>
      </w:r>
    </w:p>
    <w:p>
      <w:pPr>
        <w:spacing w:line="360" w:lineRule="auto"/>
        <w:outlineLvl w:val="2"/>
        <w:rPr>
          <w:rFonts w:hint="eastAsia" w:ascii="宋体" w:hAnsi="宋体" w:cs="宋体"/>
          <w:b/>
          <w:sz w:val="24"/>
          <w:szCs w:val="24"/>
        </w:rPr>
      </w:pPr>
      <w:bookmarkStart w:id="20" w:name="_Toc372095683"/>
      <w:bookmarkStart w:id="21" w:name="_Toc258685615"/>
      <w:bookmarkStart w:id="22" w:name="_Toc252746239"/>
      <w:bookmarkStart w:id="23" w:name="_Toc252752685"/>
      <w:r>
        <w:rPr>
          <w:rFonts w:hint="eastAsia" w:ascii="宋体" w:hAnsi="宋体" w:cs="宋体"/>
          <w:b/>
          <w:sz w:val="24"/>
          <w:szCs w:val="24"/>
          <w:lang w:val="en-US" w:eastAsia="zh-CN"/>
        </w:rPr>
        <w:t>六、</w:t>
      </w:r>
      <w:r>
        <w:rPr>
          <w:rFonts w:hint="eastAsia" w:ascii="宋体" w:hAnsi="宋体" w:cs="宋体"/>
          <w:b/>
          <w:sz w:val="24"/>
          <w:szCs w:val="24"/>
        </w:rPr>
        <w:t>施工固体废弃物控制</w:t>
      </w:r>
      <w:bookmarkEnd w:id="20"/>
      <w:bookmarkEnd w:id="21"/>
      <w:bookmarkEnd w:id="22"/>
      <w:bookmarkEnd w:id="23"/>
    </w:p>
    <w:p>
      <w:pPr>
        <w:spacing w:line="360" w:lineRule="auto"/>
        <w:ind w:firstLine="480" w:firstLineChars="200"/>
        <w:rPr>
          <w:rFonts w:hint="eastAsia" w:ascii="宋体" w:hAnsi="宋体" w:cs="宋体"/>
          <w:sz w:val="24"/>
          <w:szCs w:val="24"/>
        </w:rPr>
      </w:pPr>
      <w:r>
        <w:rPr>
          <w:rFonts w:hint="eastAsia" w:ascii="宋体" w:hAnsi="宋体" w:cs="宋体"/>
          <w:sz w:val="24"/>
          <w:szCs w:val="24"/>
        </w:rPr>
        <w:t>1.施工中减少施工固体废弃物的产生。工程结束后，对施工中产生的固体废弃物全部清除。</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2.施工现场设置封闭式垃圾站，施工垃圾、生活垃圾分类存放，并按规定及时清运消纳。</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3.垃圾站（箱）对可回收垃圾和不可回收垃圾进行分类堆放，对于有毒有害废弃物如电池、墨盒、油漆、涂料等应回收后交有资质的单位处理，不能作为建筑垃圾外运，避免污染土壤和地下水。</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4.加强建筑垃圾的回收再利用，对于碎石类、土石方类建筑垃圾，可采用地基填埋、铺路等方式提高再利用率。</w:t>
      </w:r>
    </w:p>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bookmarkStart w:id="24" w:name="_GoBack"/>
    <w:bookmarkEnd w:id="24"/>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Jdq+trDAgAA1gUAAA4AAAAA&#10;AAAAAQAgAAAAHwEAAGRycy9lMm9Eb2MueG1sUEsFBgAAAAAGAAYAWQEAAFQGA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B61771"/>
    <w:rsid w:val="3AB61771"/>
    <w:rsid w:val="6BD1361E"/>
    <w:rsid w:val="798166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character" w:default="1" w:styleId="7">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3">
    <w:name w:val="Body Text"/>
    <w:basedOn w:val="1"/>
    <w:qFormat/>
    <w:uiPriority w:val="0"/>
    <w:pPr>
      <w:spacing w:after="120" w:afterLines="0"/>
    </w:pPr>
    <w:rPr>
      <w:rFonts w:ascii="宋体" w:hAnsi="宋体"/>
    </w:r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wd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Office_11.3.0.8775_F1E327BC-269C-435d-A152-05C5408002CA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2021-01-07T10:40:00Z</dcterms:created>
  <dc:creator>袁光辉</dc:creator>
  <cp:lastModifiedBy>杨</cp:lastModifiedBy>
  <dcterms:modified xsi:type="dcterms:W3CDTF">2021-01-08T01:07:18Z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