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洞头县2015年度政府性基金收支预算表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right="0" w:rightChars="0" w:firstLine="0" w:firstLineChars="0"/>
        <w:textAlignment w:val="auto"/>
        <w:outlineLvl w:val="9"/>
      </w:pPr>
      <w:r>
        <w:t xml:space="preserve">编制单位：洞头县财政局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t>单位：万元</w:t>
      </w:r>
    </w:p>
    <w:tbl>
      <w:tblPr>
        <w:tblStyle w:val="3"/>
        <w:tblW w:w="14440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999"/>
        <w:gridCol w:w="884"/>
        <w:gridCol w:w="1127"/>
        <w:gridCol w:w="978"/>
        <w:gridCol w:w="3582"/>
        <w:gridCol w:w="1365"/>
        <w:gridCol w:w="1305"/>
        <w:gridCol w:w="870"/>
        <w:gridCol w:w="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2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序号</w:t>
            </w:r>
          </w:p>
        </w:tc>
        <w:tc>
          <w:tcPr>
            <w:tcW w:w="299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政府性基金名称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收入预算</w:t>
            </w:r>
          </w:p>
        </w:tc>
        <w:tc>
          <w:tcPr>
            <w:tcW w:w="35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政府性基金名称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支出预算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999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同比增长（%）</w:t>
            </w:r>
          </w:p>
        </w:tc>
        <w:tc>
          <w:tcPr>
            <w:tcW w:w="3582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上年实际执行数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同比增长（%）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彩票公益金收入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一、政府性基金支出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50,712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114,942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-55.9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福利彩票公益金收入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彩票公益金支出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266.7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体育彩票公益金收入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用于社会福利彩票公益金支出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433.3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国有土地使用权出让收入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44,950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111,095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-59.5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用于体育事业彩票公益金支出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国有土地收益基金收入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588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325.2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国有土地使用权出让收入安排支出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44,950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110,429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-59.3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农业土地开发资金收入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国有土地收益基金支出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2,500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1,750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42.9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散装水泥专项资金收入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农业土地开发资金支出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新型墙体材料专项资金收入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新增建设用地土地有偿使用费支出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城市基础设施配套费收入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-16.7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散装水泥专项资金支出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-12.5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政府住房基金收入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138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144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-4.2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墙体材料专项基金支出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-77.8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其他政府性基金收入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2,321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2,170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城市基础设施配套费安排的支出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-16.7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1.社会抚养费收入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737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22.1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政府住房基金支出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144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-4.2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2.海域使用金收入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230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-4.3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其他政府性基金支出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2,539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2,155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17.8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3.防空地下室易地建设费收入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125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220.0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1.社会抚养费支出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798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30.8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4.污水处理费收入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218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0.9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2.海域使用金支出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220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83.3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5.其他收入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581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860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-32.4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3.防空地下室易地建设费支出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725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504.2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4.污水处理费支出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215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205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4.9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ind w:firstLine="216" w:firstLineChars="98"/>
            </w:pPr>
            <w:r>
              <w:t>5.其他支出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581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1,100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-47.2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二、政府性基金转移支出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29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       计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50,531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114,605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-55.9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        计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50,712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114,942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-55.9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400" w:lineRule="exact"/>
        <w:ind w:left="656" w:hanging="656" w:hangingChars="298"/>
      </w:pPr>
      <w:r>
        <w:t>说明：根据财预〔2014〕368号和浙财预〔2014〕38号文件规定，自2015年1月1日开始，地方教育费附加、地方水利建设资金等11项政府性基金纳入一般公共</w:t>
      </w:r>
      <w:bookmarkStart w:id="0" w:name="_GoBack"/>
      <w:bookmarkEnd w:id="0"/>
      <w:r>
        <w:t>预算收支管理，造成同比下降。</w:t>
      </w:r>
    </w:p>
    <w:p>
      <w:pPr/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146E3"/>
    <w:rsid w:val="32D146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2016-01-20T06:39:00Z</dcterms:created>
  <dc:creator>洞头区人大</dc:creator>
  <cp:lastModifiedBy>洞头区人大</cp:lastModifiedBy>
  <dcterms:modified xsi:type="dcterms:W3CDTF">2016-01-20T06:41:52Z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