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</w:pPr>
      <w:r>
        <w:rPr>
          <w:rFonts w:hint="eastAsia"/>
        </w:rPr>
        <w:t>附件1：</w:t>
      </w:r>
    </w:p>
    <w:p>
      <w:pPr>
        <w:spacing w:line="520" w:lineRule="exact"/>
      </w:pPr>
    </w:p>
    <w:p>
      <w:pPr>
        <w:spacing w:line="560" w:lineRule="exact"/>
        <w:jc w:val="center"/>
      </w:pPr>
      <w:r>
        <w:rPr>
          <w:rFonts w:hint="eastAsia"/>
        </w:rPr>
        <w:t>洞头县2015年国民经济和社会发展</w:t>
      </w:r>
    </w:p>
    <w:p>
      <w:pPr>
        <w:spacing w:afterLines="50" w:line="560" w:lineRule="exact"/>
        <w:jc w:val="center"/>
      </w:pPr>
      <w:r>
        <w:rPr>
          <w:rFonts w:hint="eastAsia"/>
        </w:rPr>
        <w:t>主要指标计划表</w:t>
      </w:r>
    </w:p>
    <w:tbl>
      <w:tblPr>
        <w:tblStyle w:val="5"/>
        <w:tblW w:w="907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"/>
        <w:gridCol w:w="2283"/>
        <w:gridCol w:w="895"/>
        <w:gridCol w:w="1016"/>
        <w:gridCol w:w="841"/>
        <w:gridCol w:w="868"/>
        <w:gridCol w:w="976"/>
        <w:gridCol w:w="935"/>
        <w:gridCol w:w="8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2656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指标名称</w:t>
            </w:r>
          </w:p>
        </w:tc>
        <w:tc>
          <w:tcPr>
            <w:tcW w:w="895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2013年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2014年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 xml:space="preserve">2015年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2656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完成数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计划数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完成数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增长率（%）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计划数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增长率（%）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373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约束性指标</w:t>
            </w: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1.单位生产总值综合能耗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吨标煤/</w:t>
            </w:r>
          </w:p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0.68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完成上级下达任务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0.66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-3.1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0.63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-1.9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2.主要污染物排放总量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完成上级下达任务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其中：化学需氧量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970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935.17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-4</w:t>
            </w: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      二氧化硫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563.8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551.2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-3</w:t>
            </w: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ind w:firstLine="653" w:firstLineChars="297"/>
              <w:textAlignment w:val="center"/>
            </w:pPr>
            <w:r>
              <w:rPr>
                <w:rFonts w:hint="eastAsia"/>
              </w:rPr>
              <w:t>氨氮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131.35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ind w:firstLine="658" w:firstLineChars="299"/>
              <w:textAlignment w:val="center"/>
            </w:pPr>
            <w:r>
              <w:rPr>
                <w:rFonts w:hint="eastAsia"/>
              </w:rPr>
              <w:t>氮氧化合物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174.8</w:t>
            </w: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164.96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-5.7</w:t>
            </w:r>
          </w:p>
        </w:tc>
        <w:tc>
          <w:tcPr>
            <w:tcW w:w="182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3.城镇登记失业率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2.19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≤4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2.15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≤4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4.城镇新增就业人数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1392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1378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5.人口自然增长率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‰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4.86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≤6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5.11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≤6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预期性指标</w:t>
            </w: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1.地区生产总值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49.33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54.3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54.56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8.8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59.5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7以上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   其中：第一产业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4.01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4.1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4.17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3.5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4.3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         第二产业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20.4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22.4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22.6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9.2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24.7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         工业增加值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12.37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13.7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13.4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11.7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14.5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         第三产业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24.92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27.8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27.79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9.3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30.5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2.工业总产值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53.35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58.22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9.1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62.8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ind w:firstLine="218" w:firstLineChars="99"/>
              <w:textAlignment w:val="center"/>
            </w:pPr>
            <w:r>
              <w:rPr>
                <w:rFonts w:hint="eastAsia"/>
              </w:rPr>
              <w:t>其中：规上工业总产值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44.34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47.27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51.1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3.限上固定资产投资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70.32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82.34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17.1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12以上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4.社会消费品零售总额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17.05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20.15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18.2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22.4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11以上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5.一般公共预算收入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3.83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4.14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4.5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17.4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5.36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6.外贸出口额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万美元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5661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5944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6368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6686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5以上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40" w:lineRule="exact"/>
              <w:ind w:left="220" w:hanging="220" w:hangingChars="100"/>
              <w:textAlignment w:val="center"/>
            </w:pPr>
            <w:r>
              <w:rPr>
                <w:rFonts w:hint="eastAsia"/>
              </w:rPr>
              <w:t>7.农村常住居民人均可支配收入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14942 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16617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16617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11.2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18196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40" w:lineRule="exact"/>
              <w:ind w:left="220" w:hanging="220" w:hangingChars="100"/>
              <w:textAlignment w:val="center"/>
            </w:pPr>
            <w:r>
              <w:rPr>
                <w:rFonts w:hint="eastAsia"/>
              </w:rPr>
              <w:t>8.城镇常住居民人均可支配收入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28897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31425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31730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9.8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34268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8以上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283" w:type="dxa"/>
            <w:vAlign w:val="center"/>
          </w:tcPr>
          <w:p>
            <w:pPr>
              <w:spacing w:line="260" w:lineRule="exact"/>
              <w:textAlignment w:val="center"/>
            </w:pPr>
            <w:r>
              <w:rPr>
                <w:rFonts w:hint="eastAsia"/>
              </w:rPr>
              <w:t>9.旅游接待人数</w:t>
            </w:r>
          </w:p>
        </w:tc>
        <w:tc>
          <w:tcPr>
            <w:tcW w:w="895" w:type="dxa"/>
            <w:vAlign w:val="center"/>
          </w:tcPr>
          <w:p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万人次</w:t>
            </w:r>
          </w:p>
        </w:tc>
        <w:tc>
          <w:tcPr>
            <w:tcW w:w="101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841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396</w:t>
            </w:r>
          </w:p>
        </w:tc>
        <w:tc>
          <w:tcPr>
            <w:tcW w:w="8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398</w:t>
            </w:r>
          </w:p>
        </w:tc>
        <w:tc>
          <w:tcPr>
            <w:tcW w:w="9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10.6</w:t>
            </w:r>
          </w:p>
        </w:tc>
        <w:tc>
          <w:tcPr>
            <w:tcW w:w="93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88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>
      <w:pPr>
        <w:spacing w:line="560" w:lineRule="exact"/>
      </w:pPr>
      <w:r>
        <w:rPr>
          <w:rFonts w:hint="eastAsia"/>
        </w:rPr>
        <w:t>备注：</w:t>
      </w:r>
    </w:p>
    <w:p>
      <w:pPr>
        <w:spacing w:line="560" w:lineRule="exact"/>
        <w:ind w:firstLine="440" w:firstLineChars="200"/>
      </w:pPr>
      <w:r>
        <w:rPr>
          <w:rFonts w:hint="eastAsia"/>
        </w:rPr>
        <w:t>1.地区生产总值绝对值按现价计算，增幅按可比价计算。</w:t>
      </w:r>
    </w:p>
    <w:p>
      <w:pPr>
        <w:spacing w:line="560" w:lineRule="exact"/>
        <w:ind w:firstLine="440" w:firstLineChars="200"/>
      </w:pPr>
      <w:r>
        <w:rPr>
          <w:rFonts w:hint="eastAsia"/>
        </w:rPr>
        <w:t>2.规上工业总产值是2015年新增指标，因此2014年无计划值。</w:t>
      </w:r>
    </w:p>
    <w:p>
      <w:pPr>
        <w:spacing w:line="560" w:lineRule="exact"/>
        <w:ind w:firstLine="440" w:firstLineChars="200"/>
      </w:pPr>
      <w:r>
        <w:rPr>
          <w:rFonts w:hint="eastAsia"/>
        </w:rPr>
        <w:t>3.根据现行统计制度，环保数据出自市级主管部门于2015年半年度公布，因此2014年主要污染物排放量仍为预计数。</w:t>
      </w:r>
    </w:p>
    <w:p>
      <w:pPr>
        <w:spacing w:line="560" w:lineRule="exact"/>
        <w:ind w:firstLine="440" w:firstLineChars="200"/>
      </w:pPr>
      <w:r>
        <w:rPr>
          <w:rFonts w:hint="eastAsia"/>
        </w:rPr>
        <w:t>4.2015年公共财政预算收入统计口径较2014年增加地方教育费附加等11项政府性基金，同口径相比增长10.0%(2014年同口径执行数4.87亿元)。</w:t>
      </w:r>
    </w:p>
    <w:p>
      <w:pPr>
        <w:spacing w:line="560" w:lineRule="exact"/>
        <w:ind w:firstLine="440" w:firstLineChars="200"/>
      </w:pPr>
      <w:r>
        <w:rPr>
          <w:rFonts w:hint="eastAsia"/>
        </w:rPr>
        <w:t>5.因统计制度改革，原“农村人均纯收入”改为“农村常住居民人均可支配收入”，原“城镇居民人均可支配收入”改为“城镇常住居民人均可支配收入”，2013年基数相应调整。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1F52"/>
    <w:rsid w:val="4B371F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eastAsia="仿宋_GB2312" w:asciiTheme="minorHAnsi" w:hAnsiTheme="minorHAnsi"/>
      <w:kern w:val="2"/>
      <w:sz w:val="18"/>
    </w:rPr>
  </w:style>
  <w:style w:type="character" w:styleId="4">
    <w:name w:val="page number"/>
    <w:basedOn w:val="3"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2016-01-20T03:00:00Z</dcterms:created>
  <dc:creator>洞头区人大</dc:creator>
  <cp:lastModifiedBy>洞头区人大</cp:lastModifiedBy>
  <dcterms:modified xsi:type="dcterms:W3CDTF">2016-01-20T03:02:33Z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