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-SA"/>
        </w:rPr>
        <w:t>附件：</w:t>
      </w:r>
      <w:bookmarkStart w:id="0" w:name="_GoBack"/>
      <w:bookmarkEnd w:id="0"/>
    </w:p>
    <w:p>
      <w:pPr>
        <w:pStyle w:val="2"/>
        <w:spacing w:line="62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2011年度政府信息公开情况统计表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0"/>
        <w:gridCol w:w="78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0" w:lineRule="atLeast"/>
              <w:ind w:left="1206" w:hanging="880"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24"/>
                <w:kern w:val="0"/>
                <w:sz w:val="24"/>
              </w:rPr>
              <w:t>一、主动公开政府信息情况统计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主动公开政府信息数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其中：网站公开数 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新闻发布会次数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听证会次数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次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通过电话、网络、口头等方式解答群众咨询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次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0" w:lineRule="atLeast"/>
              <w:ind w:left="1206" w:hanging="880"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spacing w:val="24"/>
                <w:kern w:val="0"/>
                <w:sz w:val="24"/>
              </w:rPr>
              <w:t>二、依申请公开情况统计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受理申请总数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326"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其中：1. 当面申请数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2. 其它形式申请数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对申请的答复总数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其中：1. 同意公开数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2. 同意部分公开数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3.“非《条例》所指政府信息”数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4.“信息不存在”数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 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5.“非本机关信息”数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 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6.“申请内容不明确”数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7.“重复申请”数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 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8. 不予公开数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其中：（1）“涉及国家秘密”数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（2）“涉及商业秘密”数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（3）“涉及个人隐私”数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  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（4）“过程中信息”数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 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（5）“危及安全和稳定”数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（6）“内部管理信息”数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（7）“法律法规规定的其他情形”数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9. 其它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24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24"/>
                <w:kern w:val="0"/>
                <w:sz w:val="24"/>
              </w:rPr>
              <w:t>三、政府信息公开复议、诉讼情况统计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bCs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行政复议数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其中：败诉数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行政诉讼数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其中：败诉数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" w:lineRule="atLeast"/>
              <w:ind w:left="1059" w:hanging="73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</w:tr>
    </w:tbl>
    <w:p>
      <w:pPr>
        <w:widowControl/>
        <w:spacing w:line="502" w:lineRule="atLeast"/>
        <w:ind w:firstLine="420" w:firstLineChars="200"/>
        <w:jc w:val="left"/>
        <w:rPr>
          <w:rFonts w:hint="eastAsia"/>
          <w:kern w:val="0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859F7"/>
    <w:rsid w:val="353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2020-07-15T09:06:00Z</dcterms:created>
  <dc:creator>汪YY</dc:creator>
  <cp:lastModifiedBy>汪YY</cp:lastModifiedBy>
  <dcterms:modified xsi:type="dcterms:W3CDTF">2020-07-15T09:07:04Z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