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附件：</w:t>
      </w:r>
    </w:p>
    <w:p>
      <w:pPr>
        <w:pStyle w:val="2"/>
        <w:bidi w:val="0"/>
        <w:jc w:val="center"/>
      </w:pPr>
      <w:r>
        <w:t>2009年度政府信息公开情况统计表</w:t>
      </w:r>
    </w:p>
    <w:tbl>
      <w:tblPr>
        <w:tblStyle w:val="5"/>
        <w:tblW w:w="7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25"/>
        <w:gridCol w:w="137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          标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一、主动公开信息总数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其中：县政府信息公开专题网站公开数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二、受理依申请公开信息总数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（一）0已答复总数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其中：1.同意公开答复数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2.同意部分公开答复数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3.否决公开答复总数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①申请内容不明确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②信息不存在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③非本机关政府信息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④属于免予公开范围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4.申请公开收取成本费小计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（二）未答复数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三、因政府信息公开申请行政复议、行政诉讼、行政申诉总数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其中：1．行政复议数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2．行政诉讼数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3．行政申诉数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B70B2"/>
    <w:rsid w:val="13D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2020-07-15T09:24:00Z</dcterms:created>
  <dc:creator>汪YY</dc:creator>
  <cp:lastModifiedBy>汪YY</cp:lastModifiedBy>
  <dcterms:modified xsi:type="dcterms:W3CDTF">2020-07-16T01:17:59Z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