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A065" w14:textId="77777777" w:rsidR="002935EA" w:rsidRDefault="002935EA" w:rsidP="002935EA">
      <w:pPr>
        <w:widowControl/>
        <w:shd w:val="clear" w:color="auto" w:fill="FFFFFF"/>
        <w:jc w:val="center"/>
        <w:rPr>
          <w:rFonts w:ascii="微软雅黑" w:eastAsia="微软雅黑" w:hAnsi="微软雅黑"/>
          <w:color w:val="000000"/>
          <w:sz w:val="45"/>
          <w:szCs w:val="45"/>
          <w:shd w:val="clear" w:color="auto" w:fill="FFFFFF"/>
        </w:rPr>
      </w:pPr>
      <w:r>
        <w:rPr>
          <w:rFonts w:ascii="微软雅黑" w:eastAsia="微软雅黑" w:hAnsi="微软雅黑" w:hint="eastAsia"/>
          <w:color w:val="000000"/>
          <w:sz w:val="45"/>
          <w:szCs w:val="45"/>
          <w:shd w:val="clear" w:color="auto" w:fill="FFFFFF"/>
        </w:rPr>
        <w:t>财政部 粮食和储备局</w:t>
      </w:r>
      <w:r>
        <w:rPr>
          <w:rFonts w:ascii="微软雅黑" w:eastAsia="微软雅黑" w:hAnsi="微软雅黑" w:hint="eastAsia"/>
          <w:color w:val="000000"/>
          <w:sz w:val="45"/>
          <w:szCs w:val="45"/>
        </w:rPr>
        <w:br/>
      </w:r>
      <w:bookmarkStart w:id="0" w:name="_GoBack"/>
      <w:r>
        <w:rPr>
          <w:rFonts w:ascii="微软雅黑" w:eastAsia="微软雅黑" w:hAnsi="微软雅黑" w:hint="eastAsia"/>
          <w:color w:val="000000"/>
          <w:sz w:val="45"/>
          <w:szCs w:val="45"/>
          <w:shd w:val="clear" w:color="auto" w:fill="FFFFFF"/>
        </w:rPr>
        <w:t>关于深入实施“优质粮食工程”的意见</w:t>
      </w:r>
    </w:p>
    <w:bookmarkEnd w:id="0"/>
    <w:p w14:paraId="50AD8FC3" w14:textId="77777777" w:rsidR="002935EA" w:rsidRDefault="002935EA" w:rsidP="002935EA">
      <w:pPr>
        <w:widowControl/>
        <w:shd w:val="clear" w:color="auto" w:fill="FFFFFF"/>
        <w:jc w:val="center"/>
        <w:rPr>
          <w:rFonts w:ascii="微软雅黑" w:eastAsia="微软雅黑" w:hAnsi="微软雅黑" w:cs="宋体"/>
          <w:color w:val="000000"/>
          <w:kern w:val="0"/>
          <w:sz w:val="45"/>
          <w:szCs w:val="45"/>
          <w:shd w:val="clear" w:color="auto" w:fill="FFFFFF"/>
        </w:rPr>
      </w:pPr>
    </w:p>
    <w:p w14:paraId="38A687B1" w14:textId="173112DE" w:rsidR="002935EA" w:rsidRPr="002935EA" w:rsidRDefault="002935EA" w:rsidP="002935EA">
      <w:pPr>
        <w:widowControl/>
        <w:shd w:val="clear" w:color="auto" w:fill="FFFFFF"/>
        <w:jc w:val="center"/>
        <w:rPr>
          <w:rFonts w:ascii="宋体" w:eastAsia="宋体" w:hAnsi="宋体" w:cs="宋体"/>
          <w:color w:val="000000"/>
          <w:kern w:val="0"/>
          <w:sz w:val="24"/>
          <w:szCs w:val="24"/>
        </w:rPr>
      </w:pPr>
      <w:proofErr w:type="gramStart"/>
      <w:r w:rsidRPr="002935EA">
        <w:rPr>
          <w:rFonts w:ascii="宋体" w:eastAsia="宋体" w:hAnsi="宋体" w:cs="宋体" w:hint="eastAsia"/>
          <w:color w:val="000000"/>
          <w:kern w:val="0"/>
          <w:sz w:val="24"/>
          <w:szCs w:val="24"/>
        </w:rPr>
        <w:t>财建〔2019〕</w:t>
      </w:r>
      <w:proofErr w:type="gramEnd"/>
      <w:r w:rsidRPr="002935EA">
        <w:rPr>
          <w:rFonts w:ascii="宋体" w:eastAsia="宋体" w:hAnsi="宋体" w:cs="宋体" w:hint="eastAsia"/>
          <w:color w:val="000000"/>
          <w:kern w:val="0"/>
          <w:sz w:val="24"/>
          <w:szCs w:val="24"/>
        </w:rPr>
        <w:t>287号</w:t>
      </w:r>
    </w:p>
    <w:tbl>
      <w:tblPr>
        <w:tblW w:w="5000" w:type="pct"/>
        <w:shd w:val="clear" w:color="auto" w:fill="FFFFFF"/>
        <w:tblCellMar>
          <w:left w:w="0" w:type="dxa"/>
          <w:right w:w="0" w:type="dxa"/>
        </w:tblCellMar>
        <w:tblLook w:val="04A0" w:firstRow="1" w:lastRow="0" w:firstColumn="1" w:lastColumn="0" w:noHBand="0" w:noVBand="1"/>
      </w:tblPr>
      <w:tblGrid>
        <w:gridCol w:w="8306"/>
      </w:tblGrid>
      <w:tr w:rsidR="002935EA" w:rsidRPr="002935EA" w14:paraId="5145FCF1" w14:textId="77777777" w:rsidTr="002935EA">
        <w:tc>
          <w:tcPr>
            <w:tcW w:w="0" w:type="auto"/>
            <w:shd w:val="clear" w:color="auto" w:fill="FFFFFF"/>
            <w:hideMark/>
          </w:tcPr>
          <w:p w14:paraId="67B07028" w14:textId="77777777" w:rsidR="002935EA" w:rsidRPr="002935EA" w:rsidRDefault="002935EA" w:rsidP="002935EA">
            <w:pPr>
              <w:widowControl/>
              <w:wordWrap w:val="0"/>
              <w:spacing w:before="225" w:line="450" w:lineRule="atLeast"/>
              <w:rPr>
                <w:rFonts w:ascii="宋体" w:eastAsia="宋体" w:hAnsi="宋体" w:cs="宋体" w:hint="eastAsia"/>
                <w:color w:val="000000"/>
                <w:kern w:val="0"/>
                <w:sz w:val="24"/>
                <w:szCs w:val="24"/>
              </w:rPr>
            </w:pPr>
            <w:r w:rsidRPr="002935EA">
              <w:rPr>
                <w:rFonts w:ascii="宋体" w:eastAsia="宋体" w:hAnsi="宋体" w:cs="宋体" w:hint="eastAsia"/>
                <w:color w:val="000000"/>
                <w:kern w:val="0"/>
                <w:sz w:val="24"/>
                <w:szCs w:val="24"/>
              </w:rPr>
              <w:t>各省、自治区、直辖市财政厅（局）、粮食和储备局（粮食局），新疆生产建设兵团财政局、粮食局：</w:t>
            </w:r>
          </w:p>
          <w:p w14:paraId="76CBAD15"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宋体" w:eastAsia="宋体" w:hAnsi="宋体" w:cs="宋体" w:hint="eastAsia"/>
                <w:color w:val="000000"/>
                <w:kern w:val="0"/>
                <w:sz w:val="24"/>
                <w:szCs w:val="24"/>
              </w:rPr>
              <w:t>实施“优质粮食工程”是落实乡村振兴战略和国家粮食安全战略，深化农业供给侧结构性改革的有力举措。启动以来，在增加绿色优质粮油产品供给，促进农民增收、企业增效、消费者得实惠等方面取得了积极成效。为深入贯彻落</w:t>
            </w:r>
            <w:proofErr w:type="gramStart"/>
            <w:r w:rsidRPr="002935EA">
              <w:rPr>
                <w:rFonts w:ascii="宋体" w:eastAsia="宋体" w:hAnsi="宋体" w:cs="宋体" w:hint="eastAsia"/>
                <w:color w:val="000000"/>
                <w:kern w:val="0"/>
                <w:sz w:val="24"/>
                <w:szCs w:val="24"/>
              </w:rPr>
              <w:t>实习近</w:t>
            </w:r>
            <w:proofErr w:type="gramEnd"/>
            <w:r w:rsidRPr="002935EA">
              <w:rPr>
                <w:rFonts w:ascii="宋体" w:eastAsia="宋体" w:hAnsi="宋体" w:cs="宋体" w:hint="eastAsia"/>
                <w:color w:val="000000"/>
                <w:kern w:val="0"/>
                <w:sz w:val="24"/>
                <w:szCs w:val="24"/>
              </w:rPr>
              <w:t>平新时代中国特色社会主义思想和党的十九大精神，现就深入实施“优质粮食工程”，进一步把惠农利民的好事办实办好，提出以下意见。</w:t>
            </w:r>
          </w:p>
          <w:p w14:paraId="7EBBF6CF"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宋体" w:eastAsia="宋体" w:hAnsi="宋体" w:cs="宋体" w:hint="eastAsia"/>
                <w:b/>
                <w:bCs/>
                <w:color w:val="000000"/>
                <w:kern w:val="0"/>
                <w:sz w:val="24"/>
                <w:szCs w:val="24"/>
              </w:rPr>
              <w:t>一、强化总体要求，创新“优质粮食工程”实施方法</w:t>
            </w:r>
          </w:p>
          <w:p w14:paraId="0BF870E4"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（一）突出“五优联动”。</w:t>
            </w:r>
            <w:r w:rsidRPr="002935EA">
              <w:rPr>
                <w:rFonts w:ascii="宋体" w:eastAsia="宋体" w:hAnsi="宋体" w:cs="宋体" w:hint="eastAsia"/>
                <w:color w:val="000000"/>
                <w:kern w:val="0"/>
                <w:sz w:val="24"/>
                <w:szCs w:val="24"/>
              </w:rPr>
              <w:t>充分发挥流通激励作用，提高粮食产后服务水平，强化质量安全检验监测保障，支持发展粮食精深加工，引导绿色优质粮油产品消费，</w:t>
            </w:r>
            <w:proofErr w:type="gramStart"/>
            <w:r w:rsidRPr="002935EA">
              <w:rPr>
                <w:rFonts w:ascii="宋体" w:eastAsia="宋体" w:hAnsi="宋体" w:cs="宋体" w:hint="eastAsia"/>
                <w:color w:val="000000"/>
                <w:kern w:val="0"/>
                <w:sz w:val="24"/>
                <w:szCs w:val="24"/>
              </w:rPr>
              <w:t>促进优粮优产</w:t>
            </w:r>
            <w:proofErr w:type="gramEnd"/>
            <w:r w:rsidRPr="002935EA">
              <w:rPr>
                <w:rFonts w:ascii="宋体" w:eastAsia="宋体" w:hAnsi="宋体" w:cs="宋体" w:hint="eastAsia"/>
                <w:color w:val="000000"/>
                <w:kern w:val="0"/>
                <w:sz w:val="24"/>
                <w:szCs w:val="24"/>
              </w:rPr>
              <w:t>、优购、优储、优加、</w:t>
            </w:r>
            <w:proofErr w:type="gramStart"/>
            <w:r w:rsidRPr="002935EA">
              <w:rPr>
                <w:rFonts w:ascii="宋体" w:eastAsia="宋体" w:hAnsi="宋体" w:cs="宋体" w:hint="eastAsia"/>
                <w:color w:val="000000"/>
                <w:kern w:val="0"/>
                <w:sz w:val="24"/>
                <w:szCs w:val="24"/>
              </w:rPr>
              <w:t>优销“五优联动”</w:t>
            </w:r>
            <w:proofErr w:type="gramEnd"/>
            <w:r w:rsidRPr="002935EA">
              <w:rPr>
                <w:rFonts w:ascii="宋体" w:eastAsia="宋体" w:hAnsi="宋体" w:cs="宋体" w:hint="eastAsia"/>
                <w:color w:val="000000"/>
                <w:kern w:val="0"/>
                <w:sz w:val="24"/>
                <w:szCs w:val="24"/>
              </w:rPr>
              <w:t>，推动粮食产业高质量发展，加快建设粮食产业强国。</w:t>
            </w:r>
          </w:p>
          <w:p w14:paraId="550FA0E3"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（二）聚焦目标任务。</w:t>
            </w:r>
            <w:r w:rsidRPr="002935EA">
              <w:rPr>
                <w:rFonts w:ascii="宋体" w:eastAsia="宋体" w:hAnsi="宋体" w:cs="宋体" w:hint="eastAsia"/>
                <w:color w:val="000000"/>
                <w:kern w:val="0"/>
                <w:sz w:val="24"/>
                <w:szCs w:val="24"/>
              </w:rPr>
              <w:t>各地要按照粮食产后服务体系力争实现产粮大县全覆盖、粮食质量安全检验监测体系</w:t>
            </w:r>
            <w:proofErr w:type="gramStart"/>
            <w:r w:rsidRPr="002935EA">
              <w:rPr>
                <w:rFonts w:ascii="宋体" w:eastAsia="宋体" w:hAnsi="宋体" w:cs="宋体" w:hint="eastAsia"/>
                <w:color w:val="000000"/>
                <w:kern w:val="0"/>
                <w:sz w:val="24"/>
                <w:szCs w:val="24"/>
              </w:rPr>
              <w:t>监测面</w:t>
            </w:r>
            <w:proofErr w:type="gramEnd"/>
            <w:r w:rsidRPr="002935EA">
              <w:rPr>
                <w:rFonts w:ascii="宋体" w:eastAsia="宋体" w:hAnsi="宋体" w:cs="宋体" w:hint="eastAsia"/>
                <w:color w:val="000000"/>
                <w:kern w:val="0"/>
                <w:sz w:val="24"/>
                <w:szCs w:val="24"/>
              </w:rPr>
              <w:t>扩大到60%左右、全国产粮大县的粮食优质品率提高30%左右的总体要求，进一步完善三年实施方案，将目标任务分解到示范县（市）、示范企业和相关项目。有条件的地方，可立足实际适当提高目标。</w:t>
            </w:r>
          </w:p>
          <w:p w14:paraId="539BF7EF"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（三）创新示范引领。</w:t>
            </w:r>
            <w:r w:rsidRPr="002935EA">
              <w:rPr>
                <w:rFonts w:ascii="宋体" w:eastAsia="宋体" w:hAnsi="宋体" w:cs="宋体" w:hint="eastAsia"/>
                <w:color w:val="000000"/>
                <w:kern w:val="0"/>
                <w:sz w:val="24"/>
                <w:szCs w:val="24"/>
              </w:rPr>
              <w:t>围绕延伸粮食产业链、提升价值链、打造供应链，培育壮大一批龙头骨干企业，促进粮食“产购储加销”体系建设和一二三产融合发展。选树推广一批先进典型，在全国形成百个典型示范县、千个先进示范企业（合作社）、万个样板店和一大批知名品牌的“百千万”典型引领示范格局。</w:t>
            </w:r>
          </w:p>
          <w:p w14:paraId="21837301"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lastRenderedPageBreak/>
              <w:t>（四）放大资金效应。</w:t>
            </w:r>
            <w:r w:rsidRPr="002935EA">
              <w:rPr>
                <w:rFonts w:ascii="宋体" w:eastAsia="宋体" w:hAnsi="宋体" w:cs="宋体" w:hint="eastAsia"/>
                <w:color w:val="000000"/>
                <w:kern w:val="0"/>
                <w:sz w:val="24"/>
                <w:szCs w:val="24"/>
              </w:rPr>
              <w:t>坚持以企业和地方投入为主、中央财政适当奖励，积极引导社会资本投入，发挥奖励资金“四两拨千斤”作用。同一项目同</w:t>
            </w:r>
            <w:proofErr w:type="gramStart"/>
            <w:r w:rsidRPr="002935EA">
              <w:rPr>
                <w:rFonts w:ascii="宋体" w:eastAsia="宋体" w:hAnsi="宋体" w:cs="宋体" w:hint="eastAsia"/>
                <w:color w:val="000000"/>
                <w:kern w:val="0"/>
                <w:sz w:val="24"/>
                <w:szCs w:val="24"/>
              </w:rPr>
              <w:t>一实施</w:t>
            </w:r>
            <w:proofErr w:type="gramEnd"/>
            <w:r w:rsidRPr="002935EA">
              <w:rPr>
                <w:rFonts w:ascii="宋体" w:eastAsia="宋体" w:hAnsi="宋体" w:cs="宋体" w:hint="eastAsia"/>
                <w:color w:val="000000"/>
                <w:kern w:val="0"/>
                <w:sz w:val="24"/>
                <w:szCs w:val="24"/>
              </w:rPr>
              <w:t>内容，已通过其他渠道或方式获得过中央财政资金的，原则上不再重复安排。突出精准扶贫，在项目安排上向国家级扶贫开发重点县和集中连片特殊困难县倾斜。</w:t>
            </w:r>
          </w:p>
          <w:p w14:paraId="4ADFA569"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宋体" w:eastAsia="宋体" w:hAnsi="宋体" w:cs="宋体" w:hint="eastAsia"/>
                <w:b/>
                <w:bCs/>
                <w:color w:val="000000"/>
                <w:kern w:val="0"/>
                <w:sz w:val="24"/>
                <w:szCs w:val="24"/>
              </w:rPr>
              <w:t>二、突出需求导向，优化粮食产后服务体系布局与功能</w:t>
            </w:r>
          </w:p>
          <w:p w14:paraId="00D981E5"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（五）优化服务体系布局。</w:t>
            </w:r>
            <w:r w:rsidRPr="002935EA">
              <w:rPr>
                <w:rFonts w:ascii="宋体" w:eastAsia="宋体" w:hAnsi="宋体" w:cs="宋体" w:hint="eastAsia"/>
                <w:color w:val="000000"/>
                <w:kern w:val="0"/>
                <w:sz w:val="24"/>
                <w:szCs w:val="24"/>
              </w:rPr>
              <w:t>根据区域粮食产量、生产集中度、服务辐射半径等，科学布点粮食产后服务中心，力争产粮大县全覆盖。现有设施设备已满足实际需要的产粮大县，原则上不安排新建项目。非产粮大县粮食生产较为集中的，可适当予以支持。</w:t>
            </w:r>
          </w:p>
          <w:p w14:paraId="3358CC04"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（六）坚持多元主体建设。</w:t>
            </w:r>
            <w:r w:rsidRPr="002935EA">
              <w:rPr>
                <w:rFonts w:ascii="宋体" w:eastAsia="宋体" w:hAnsi="宋体" w:cs="宋体" w:hint="eastAsia"/>
                <w:color w:val="000000"/>
                <w:kern w:val="0"/>
                <w:sz w:val="24"/>
                <w:szCs w:val="24"/>
              </w:rPr>
              <w:t>鼓励各类市场主体参与粮食产后服务体系建设，充分发挥新型农业经营主体、粮食企业和基层供销社等各自优势，择优确定建设主体。整合盘活现有仓储设施等资源，探索建立共投共建共享机制。</w:t>
            </w:r>
          </w:p>
          <w:p w14:paraId="7097742B"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（七）提升综合服务效能。</w:t>
            </w:r>
            <w:r w:rsidRPr="002935EA">
              <w:rPr>
                <w:rFonts w:ascii="宋体" w:eastAsia="宋体" w:hAnsi="宋体" w:cs="宋体" w:hint="eastAsia"/>
                <w:color w:val="000000"/>
                <w:kern w:val="0"/>
                <w:sz w:val="24"/>
                <w:szCs w:val="24"/>
              </w:rPr>
              <w:t>优化粮食产后服务中心建设内容，合理配置清理、干燥、收储、加工、销售等功能。原则上</w:t>
            </w:r>
            <w:proofErr w:type="gramStart"/>
            <w:r w:rsidRPr="002935EA">
              <w:rPr>
                <w:rFonts w:ascii="宋体" w:eastAsia="宋体" w:hAnsi="宋体" w:cs="宋体" w:hint="eastAsia"/>
                <w:color w:val="000000"/>
                <w:kern w:val="0"/>
                <w:sz w:val="24"/>
                <w:szCs w:val="24"/>
              </w:rPr>
              <w:t>不</w:t>
            </w:r>
            <w:proofErr w:type="gramEnd"/>
            <w:r w:rsidRPr="002935EA">
              <w:rPr>
                <w:rFonts w:ascii="宋体" w:eastAsia="宋体" w:hAnsi="宋体" w:cs="宋体" w:hint="eastAsia"/>
                <w:color w:val="000000"/>
                <w:kern w:val="0"/>
                <w:sz w:val="24"/>
                <w:szCs w:val="24"/>
              </w:rPr>
              <w:t>新建仓容，鼓励通过改造现有设施，实行粮食分等分仓储存。创新服务方式，既可开展“五代”服务，也可提供“一卖到位”等便捷服务，以及技术指导、生产资料、市场信息等延伸服务。</w:t>
            </w:r>
          </w:p>
          <w:p w14:paraId="7D507C3B"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宋体" w:eastAsia="宋体" w:hAnsi="宋体" w:cs="宋体" w:hint="eastAsia"/>
                <w:b/>
                <w:bCs/>
                <w:color w:val="000000"/>
                <w:kern w:val="0"/>
                <w:sz w:val="24"/>
                <w:szCs w:val="24"/>
              </w:rPr>
              <w:t>三、突出功能拓展，提高粮食质量安全检验监测能力</w:t>
            </w:r>
          </w:p>
          <w:p w14:paraId="13BAED88"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（八）完善强化功能。</w:t>
            </w:r>
            <w:r w:rsidRPr="002935EA">
              <w:rPr>
                <w:rFonts w:ascii="宋体" w:eastAsia="宋体" w:hAnsi="宋体" w:cs="宋体" w:hint="eastAsia"/>
                <w:color w:val="000000"/>
                <w:kern w:val="0"/>
                <w:sz w:val="24"/>
                <w:szCs w:val="24"/>
              </w:rPr>
              <w:t>以符合布局要求的粮食和储备部门现有事业单位为主要依托、粮食骨干企业和有关高校为补充，完善国家、省、市、县四级检验监测机构网络。根据功能定位和承担的任务，提升各级检验监测机构装备能力。</w:t>
            </w:r>
          </w:p>
          <w:p w14:paraId="053724E5"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（九）加强省级统筹。</w:t>
            </w:r>
            <w:r w:rsidRPr="002935EA">
              <w:rPr>
                <w:rFonts w:ascii="宋体" w:eastAsia="宋体" w:hAnsi="宋体" w:cs="宋体" w:hint="eastAsia"/>
                <w:color w:val="000000"/>
                <w:kern w:val="0"/>
                <w:sz w:val="24"/>
                <w:szCs w:val="24"/>
              </w:rPr>
              <w:t>各地要制定统一技术标准，合理确定设备配置与选型，明确运行配套条件。原则上由省级粮食和储备部门统一组织设备采购、项目验收和统筹调剂使用等工作。建立省级检验监测机构技术联络员制度，帮助基层提高业务能力。</w:t>
            </w:r>
          </w:p>
          <w:p w14:paraId="2F8F184B"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lastRenderedPageBreak/>
              <w:t>（十）提高服务水平。</w:t>
            </w:r>
            <w:r w:rsidRPr="002935EA">
              <w:rPr>
                <w:rFonts w:ascii="宋体" w:eastAsia="宋体" w:hAnsi="宋体" w:cs="宋体" w:hint="eastAsia"/>
                <w:color w:val="000000"/>
                <w:kern w:val="0"/>
                <w:sz w:val="24"/>
                <w:szCs w:val="24"/>
              </w:rPr>
              <w:t>各级检验监测机构要拓宽服务领域，创新运行机制，提高仪器设备利用率，加快从提供单一检验服务向综合服务转变。积极开展第三方检验服务，培育扩大检验市场，提供便捷优质服务。</w:t>
            </w:r>
          </w:p>
          <w:p w14:paraId="1FA3CA71"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宋体" w:eastAsia="宋体" w:hAnsi="宋体" w:cs="宋体" w:hint="eastAsia"/>
                <w:b/>
                <w:bCs/>
                <w:color w:val="000000"/>
                <w:kern w:val="0"/>
                <w:sz w:val="24"/>
                <w:szCs w:val="24"/>
              </w:rPr>
              <w:t>四、突出品牌提升，发挥“中国好粮油”行动示范引领作用</w:t>
            </w:r>
          </w:p>
          <w:p w14:paraId="699A18AE"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（十一）放大示范带动效应。</w:t>
            </w:r>
            <w:r w:rsidRPr="002935EA">
              <w:rPr>
                <w:rFonts w:ascii="宋体" w:eastAsia="宋体" w:hAnsi="宋体" w:cs="宋体" w:hint="eastAsia"/>
                <w:color w:val="000000"/>
                <w:kern w:val="0"/>
                <w:sz w:val="24"/>
                <w:szCs w:val="24"/>
              </w:rPr>
              <w:t>统筹兼顾产粮大县、特色粮油生产县，择优选定示范县（市）和示范企业。支持示范企业以“公司+合作社+基地+农户”模式结成利益共同体，开展订单收购，建设种植加工基地，增加优质粮油产品，带动农民持续增收。</w:t>
            </w:r>
          </w:p>
          <w:p w14:paraId="57B1BDED"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（十二）加强粮油品牌建设。</w:t>
            </w:r>
            <w:r w:rsidRPr="002935EA">
              <w:rPr>
                <w:rFonts w:ascii="宋体" w:eastAsia="宋体" w:hAnsi="宋体" w:cs="宋体" w:hint="eastAsia"/>
                <w:color w:val="000000"/>
                <w:kern w:val="0"/>
                <w:sz w:val="24"/>
                <w:szCs w:val="24"/>
              </w:rPr>
              <w:t>推出一批具有较高市场知名度、美誉度和竞争力的粮油名牌产品，拓宽销售渠道，增加有效供给。发挥好国家粮食电子交易平台作用。制定“好粮油”产品及标识管理办法，健全粮油企业信用监管体系。实行分级遴选，省级粮食和储备部门负责本省“好粮油”产品遴选，国家粮食和物资储备</w:t>
            </w:r>
            <w:proofErr w:type="gramStart"/>
            <w:r w:rsidRPr="002935EA">
              <w:rPr>
                <w:rFonts w:ascii="宋体" w:eastAsia="宋体" w:hAnsi="宋体" w:cs="宋体" w:hint="eastAsia"/>
                <w:color w:val="000000"/>
                <w:kern w:val="0"/>
                <w:sz w:val="24"/>
                <w:szCs w:val="24"/>
              </w:rPr>
              <w:t>局在此</w:t>
            </w:r>
            <w:proofErr w:type="gramEnd"/>
            <w:r w:rsidRPr="002935EA">
              <w:rPr>
                <w:rFonts w:ascii="宋体" w:eastAsia="宋体" w:hAnsi="宋体" w:cs="宋体" w:hint="eastAsia"/>
                <w:color w:val="000000"/>
                <w:kern w:val="0"/>
                <w:sz w:val="24"/>
                <w:szCs w:val="24"/>
              </w:rPr>
              <w:t>基础上择优遴选“中国好粮油”产品。</w:t>
            </w:r>
          </w:p>
          <w:p w14:paraId="58D00A75"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（十三）引导科学合理消费。</w:t>
            </w:r>
            <w:r w:rsidRPr="002935EA">
              <w:rPr>
                <w:rFonts w:ascii="宋体" w:eastAsia="宋体" w:hAnsi="宋体" w:cs="宋体" w:hint="eastAsia"/>
                <w:color w:val="000000"/>
                <w:kern w:val="0"/>
                <w:sz w:val="24"/>
                <w:szCs w:val="24"/>
              </w:rPr>
              <w:t>建立粮油质量调查和品质测报、“好粮油”产品调查监测信息发布机制。各级粮食和储备部门要宣传“好粮油”产品，普及营养知识，提高全社会健康消费认知水平，引领城乡居民由“吃得饱”向“吃得好”、吃得健康转变。</w:t>
            </w:r>
          </w:p>
          <w:p w14:paraId="402E10C8"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宋体" w:eastAsia="宋体" w:hAnsi="宋体" w:cs="宋体" w:hint="eastAsia"/>
                <w:b/>
                <w:bCs/>
                <w:color w:val="000000"/>
                <w:kern w:val="0"/>
                <w:sz w:val="24"/>
                <w:szCs w:val="24"/>
              </w:rPr>
              <w:t>五、精心组织实施，形成合力推动落地见效的良好局面</w:t>
            </w:r>
          </w:p>
          <w:p w14:paraId="4246A02C"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（十四）坚持分级负责。</w:t>
            </w:r>
            <w:r w:rsidRPr="002935EA">
              <w:rPr>
                <w:rFonts w:ascii="宋体" w:eastAsia="宋体" w:hAnsi="宋体" w:cs="宋体" w:hint="eastAsia"/>
                <w:color w:val="000000"/>
                <w:kern w:val="0"/>
                <w:sz w:val="24"/>
                <w:szCs w:val="24"/>
              </w:rPr>
              <w:t>粮食和储备、财政部门要在各级政府领导下，统筹做好项目规划、组织实施、运行管理和监督考核等工作。国家粮食和物资储备局根据本意见，制定粮食产后服务体系、粮食质量安全检验检测体系建设和“中国好粮油”行动计划的实施指南。国家粮食和物资储备局、财政部加强对各地实施情况的督导检查和中央财政奖励资金的绩效评价。</w:t>
            </w:r>
          </w:p>
          <w:p w14:paraId="2A7B97D2"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t>（十五）强化创新驱动。</w:t>
            </w:r>
            <w:r w:rsidRPr="002935EA">
              <w:rPr>
                <w:rFonts w:ascii="宋体" w:eastAsia="宋体" w:hAnsi="宋体" w:cs="宋体" w:hint="eastAsia"/>
                <w:color w:val="000000"/>
                <w:kern w:val="0"/>
                <w:sz w:val="24"/>
                <w:szCs w:val="24"/>
              </w:rPr>
              <w:t>实施“科技兴粮”和“人才兴粮”，推进产学研深度融合，鼓励企业加强技术改造和产品研发，加大烘干环保、快速检验、精深加工等新技术研发与推广力度，创新经营业态和服务方式。</w:t>
            </w:r>
          </w:p>
          <w:p w14:paraId="627C12FA" w14:textId="77777777" w:rsidR="002935EA" w:rsidRPr="002935EA" w:rsidRDefault="002935EA" w:rsidP="002935EA">
            <w:pPr>
              <w:widowControl/>
              <w:wordWrap w:val="0"/>
              <w:spacing w:before="225" w:line="450" w:lineRule="atLeast"/>
              <w:ind w:firstLine="480"/>
              <w:rPr>
                <w:rFonts w:ascii="宋体" w:eastAsia="宋体" w:hAnsi="宋体" w:cs="宋体" w:hint="eastAsia"/>
                <w:color w:val="000000"/>
                <w:kern w:val="0"/>
                <w:sz w:val="24"/>
                <w:szCs w:val="24"/>
              </w:rPr>
            </w:pPr>
            <w:r w:rsidRPr="002935EA">
              <w:rPr>
                <w:rFonts w:ascii="楷体" w:eastAsia="楷体" w:hAnsi="楷体" w:cs="宋体" w:hint="eastAsia"/>
                <w:color w:val="000000"/>
                <w:kern w:val="0"/>
                <w:sz w:val="24"/>
                <w:szCs w:val="24"/>
              </w:rPr>
              <w:lastRenderedPageBreak/>
              <w:t>（十六）构建长效机制。</w:t>
            </w:r>
            <w:r w:rsidRPr="002935EA">
              <w:rPr>
                <w:rFonts w:ascii="宋体" w:eastAsia="宋体" w:hAnsi="宋体" w:cs="宋体" w:hint="eastAsia"/>
                <w:color w:val="000000"/>
                <w:kern w:val="0"/>
                <w:sz w:val="24"/>
                <w:szCs w:val="24"/>
              </w:rPr>
              <w:t>“优质粮食工程”实施已列入粮食安全省长责任制考核重要内容。各地要创新完善相关政策举措，着力增品种、提品质、创品牌，更好满足城乡居民对绿色优质粮油产品的消费需求。</w:t>
            </w:r>
          </w:p>
          <w:p w14:paraId="4CF0E9CB" w14:textId="77777777" w:rsidR="002935EA" w:rsidRPr="002935EA" w:rsidRDefault="002935EA" w:rsidP="002935EA">
            <w:pPr>
              <w:widowControl/>
              <w:wordWrap w:val="0"/>
              <w:spacing w:before="225" w:line="450" w:lineRule="atLeast"/>
              <w:jc w:val="right"/>
              <w:rPr>
                <w:rFonts w:ascii="宋体" w:eastAsia="宋体" w:hAnsi="宋体" w:cs="宋体" w:hint="eastAsia"/>
                <w:color w:val="000000"/>
                <w:kern w:val="0"/>
                <w:sz w:val="24"/>
                <w:szCs w:val="24"/>
              </w:rPr>
            </w:pPr>
            <w:r w:rsidRPr="002935EA">
              <w:rPr>
                <w:rFonts w:ascii="宋体" w:eastAsia="宋体" w:hAnsi="宋体" w:cs="宋体" w:hint="eastAsia"/>
                <w:color w:val="000000"/>
                <w:kern w:val="0"/>
                <w:sz w:val="24"/>
                <w:szCs w:val="24"/>
              </w:rPr>
              <w:t>财政部</w:t>
            </w:r>
            <w:r w:rsidRPr="002935EA">
              <w:rPr>
                <w:rFonts w:ascii="宋体" w:eastAsia="宋体" w:hAnsi="宋体" w:cs="宋体" w:hint="eastAsia"/>
                <w:color w:val="000000"/>
                <w:kern w:val="0"/>
                <w:sz w:val="24"/>
                <w:szCs w:val="24"/>
              </w:rPr>
              <w:t> </w:t>
            </w:r>
            <w:r w:rsidRPr="002935EA">
              <w:rPr>
                <w:rFonts w:ascii="宋体" w:eastAsia="宋体" w:hAnsi="宋体" w:cs="宋体" w:hint="eastAsia"/>
                <w:color w:val="000000"/>
                <w:kern w:val="0"/>
                <w:sz w:val="24"/>
                <w:szCs w:val="24"/>
              </w:rPr>
              <w:t> </w:t>
            </w:r>
            <w:r w:rsidRPr="002935EA">
              <w:rPr>
                <w:rFonts w:ascii="宋体" w:eastAsia="宋体" w:hAnsi="宋体" w:cs="宋体" w:hint="eastAsia"/>
                <w:color w:val="000000"/>
                <w:kern w:val="0"/>
                <w:sz w:val="24"/>
                <w:szCs w:val="24"/>
              </w:rPr>
              <w:t>粮食和储备局</w:t>
            </w:r>
            <w:proofErr w:type="gramStart"/>
            <w:r w:rsidRPr="002935EA">
              <w:rPr>
                <w:rFonts w:ascii="宋体" w:eastAsia="宋体" w:hAnsi="宋体" w:cs="宋体" w:hint="eastAsia"/>
                <w:color w:val="000000"/>
                <w:kern w:val="0"/>
                <w:sz w:val="24"/>
                <w:szCs w:val="24"/>
              </w:rPr>
              <w:t xml:space="preserve">　　　　　</w:t>
            </w:r>
            <w:proofErr w:type="gramEnd"/>
            <w:r w:rsidRPr="002935EA">
              <w:rPr>
                <w:rFonts w:ascii="宋体" w:eastAsia="宋体" w:hAnsi="宋体" w:cs="宋体" w:hint="eastAsia"/>
                <w:color w:val="000000"/>
                <w:kern w:val="0"/>
                <w:sz w:val="24"/>
                <w:szCs w:val="24"/>
              </w:rPr>
              <w:t> </w:t>
            </w:r>
            <w:r w:rsidRPr="002935EA">
              <w:rPr>
                <w:rFonts w:ascii="宋体" w:eastAsia="宋体" w:hAnsi="宋体" w:cs="宋体" w:hint="eastAsia"/>
                <w:color w:val="000000"/>
                <w:kern w:val="0"/>
                <w:sz w:val="24"/>
                <w:szCs w:val="24"/>
              </w:rPr>
              <w:br/>
              <w:t xml:space="preserve">2019年6月6日　</w:t>
            </w:r>
          </w:p>
        </w:tc>
      </w:tr>
    </w:tbl>
    <w:p w14:paraId="5D086113" w14:textId="77777777" w:rsidR="002F6AC8" w:rsidRPr="002935EA" w:rsidRDefault="002F6AC8"/>
    <w:sectPr w:rsidR="002F6AC8" w:rsidRPr="002935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E0"/>
    <w:rsid w:val="001E10C5"/>
    <w:rsid w:val="002935EA"/>
    <w:rsid w:val="002F6AC8"/>
    <w:rsid w:val="003D4377"/>
    <w:rsid w:val="0080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33DF"/>
  <w15:chartTrackingRefBased/>
  <w15:docId w15:val="{E76A5963-D081-48B9-8950-9FD90793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35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吴奇南</dc:creator>
  <cp:keywords/>
  <dc:description/>
  <cp:lastModifiedBy>吴奇南</cp:lastModifiedBy>
  <cp:revision>3</cp:revision>
  <dcterms:created xsi:type="dcterms:W3CDTF">2019-08-09T07:35:00Z</dcterms:created>
  <dcterms:modified xsi:type="dcterms:W3CDTF">2019-08-09T07:35:00Z</dcterms:modified>
</cp:coreProperties>
</file>