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征求部门意见及采纳情况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说明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本办法已以书面形式征求市县（部门）意见，并于3月24日起在厅门户网站主动公开征求意见7个工作日，无反馈意见。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40E7D"/>
    <w:rsid w:val="56D4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2020-05-20T09:13:00Z</dcterms:created>
  <dc:creator>张志华</dc:creator>
  <cp:lastModifiedBy>张志华</cp:lastModifiedBy>
  <dcterms:modified xsi:type="dcterms:W3CDTF">2020-05-20T09:14:10Z</dcterms:modified>
  <dc:title>征求部门意见及采纳情况说明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