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征求部门意见及采纳情况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说明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本办法已以书面形式征求市县（部门）意见，并于11月30日起在厅外网主动公开征求意见7个工作日，无反馈意见。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67E07"/>
    <w:rsid w:val="3A367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2019-02-01T07:00:00Z</dcterms:created>
  <dc:creator>张志华</dc:creator>
  <cp:lastModifiedBy>张志华</cp:lastModifiedBy>
  <dcterms:modified xsi:type="dcterms:W3CDTF">2019-02-01T07:00:10Z</dcterms:modified>
  <dc:title>征求部门意见及采纳情况说明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