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征求部门意见及采纳情况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p>
      <w:pPr>
        <w:rPr>
          <w:rFonts w:hint="eastAsia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本办法已以书面形式征求各市财政局和省属有关单位意见，并于12月17日起在省财政厅外网主动公开征求意见7个工作日，未收到意见；12月20日起在省科技厅外网主动公开征求意见7个工作日，收到6条意见。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财政局、省属有关单位和公众意见主要集中在：一是希望进一步拓展专项项目直接费用、间接费用口径，考虑到专项项目支出口径问题政策性强，且要与上位政策文件做好衔接，故本办法已按国家最新政策口径规定，同时增加“国家对直接费用、间接费用口径有新规定的，按照国家规定执行”内容，尽可能采纳有关意见；二是对一些政策口径进行咨询，相关意见在管理办法中已基本明确，无需修改调整；三是对个别口径、投入方向、管理依据调整建议，已作解释反馈，意见人（咨询人）表示满意或认可，不再提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CE"/>
    <w:rsid w:val="002B5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2019-02-20T03:02:00Z</dcterms:created>
  <dc:creator>张志华</dc:creator>
  <cp:lastModifiedBy>张志华</cp:lastModifiedBy>
  <dcterms:modified xsi:type="dcterms:W3CDTF">2019-02-20T03:02:44Z</dcterms:modified>
  <dc:title>征求部门意见及采纳情况说明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