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 w:val="0"/>
        <w:spacing w:line="580" w:lineRule="exact"/>
        <w:rPr>
          <w:rFonts w:cs="Times New Roman"/>
          <w:sz w:val="32"/>
          <w:szCs w:val="32"/>
        </w:rPr>
      </w:pPr>
    </w:p>
    <w:p>
      <w:pPr>
        <w:widowControl w:val="0"/>
        <w:adjustRightInd w:val="0"/>
        <w:snapToGrid w:val="0"/>
        <w:spacing w:line="480" w:lineRule="exact"/>
        <w:rPr>
          <w:rFonts w:ascii="Calibri" w:hAnsi="Calibri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ascii="Calibri" w:hAnsi="Calibri" w:eastAsia="方正小标宋简体" w:cs="Times New Roman"/>
          <w:kern w:val="0"/>
          <w:sz w:val="44"/>
          <w:szCs w:val="44"/>
        </w:rPr>
        <w:t>沿海市、县（市、区）和省级有关单位名单</w:t>
      </w:r>
    </w:p>
    <w:bookmarkEnd w:id="0"/>
    <w:p>
      <w:pPr>
        <w:widowControl w:val="0"/>
        <w:adjustRightInd w:val="0"/>
        <w:snapToGrid w:val="0"/>
        <w:spacing w:line="480" w:lineRule="exact"/>
        <w:rPr>
          <w:rFonts w:ascii="Calibri" w:hAnsi="Calibri" w:eastAsia="方正小标宋简体" w:cs="Times New Roman"/>
          <w:kern w:val="0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一、沿海市、县（市、区）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宁波市、宁波市镇海区、宁波市北仑区、宁波市鄞州区、余姚市、慈溪市、奉化市、宁海县、象山县、温州市、温州市龙湾区、温州市洞头区、乐清市、瑞安市、平阳县、苍南县、嘉兴市、平湖市、海盐县、舟山市、舟山市定海区、舟山市普陀区、岱山县、嵊泗县、台州市、台州市椒江区、台州市路桥区、临海市、温岭市、玉环市、三门县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二、省级有关单位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省发展改革委、省经信厅、省财政厅、省生态环境厅、省建设厅、省交通运输厅、省水利厅、省农业农村厅、省文化和旅游厅、省林业局、省港航局，浙江海事局。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9300A"/>
    <w:rsid w:val="5299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00" w:lineRule="exact"/>
      <w:jc w:val="both"/>
    </w:pPr>
    <w:rPr>
      <w:rFonts w:ascii="Times New Roman" w:hAnsi="Times New Roman" w:eastAsia="仿宋_GB2312" w:cstheme="minorBidi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2019-07-31T09:32:00Z</dcterms:created>
  <dc:creator>麦芽糖</dc:creator>
  <cp:lastModifiedBy>麦芽糖</cp:lastModifiedBy>
  <dcterms:modified xsi:type="dcterms:W3CDTF">2019-07-31T09:33:00Z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