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B2" w:rsidRPr="00420575" w:rsidRDefault="003F49A7" w:rsidP="00F84DD2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 w:rsidRPr="00420575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 xml:space="preserve"> </w:t>
      </w:r>
      <w:r w:rsidR="00F84DD2">
        <w:rPr>
          <w:rFonts w:ascii="方正小标宋简体" w:eastAsia="方正小标宋简体" w:hAnsi="方正小标宋_GBK" w:cs="方正小标宋_GBK" w:hint="eastAsia"/>
          <w:bCs/>
          <w:sz w:val="36"/>
          <w:szCs w:val="44"/>
        </w:rPr>
        <w:t xml:space="preserve"> </w:t>
      </w:r>
    </w:p>
    <w:p w:rsidR="00F84DD2" w:rsidRPr="001465C3" w:rsidRDefault="00F84DD2" w:rsidP="00F84DD2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44"/>
        </w:rPr>
      </w:pPr>
      <w:r w:rsidRPr="001465C3">
        <w:rPr>
          <w:rFonts w:ascii="方正小标宋简体" w:eastAsia="方正小标宋简体" w:hAnsi="方正小标宋_GBK" w:cs="方正小标宋_GBK" w:hint="eastAsia"/>
          <w:bCs/>
          <w:sz w:val="36"/>
          <w:szCs w:val="44"/>
        </w:rPr>
        <w:t>杭州城市大脑数字赋能城市治理促进条例</w:t>
      </w:r>
      <w:r w:rsidR="00A671E5">
        <w:rPr>
          <w:rFonts w:ascii="方正小标宋简体" w:eastAsia="方正小标宋简体" w:hAnsi="方正小标宋_GBK" w:cs="方正小标宋_GBK" w:hint="eastAsia"/>
          <w:bCs/>
          <w:sz w:val="36"/>
          <w:szCs w:val="44"/>
        </w:rPr>
        <w:t>（草案）</w:t>
      </w:r>
    </w:p>
    <w:p w:rsidR="00F84DD2" w:rsidRPr="001465C3" w:rsidRDefault="00F84DD2" w:rsidP="00F84DD2">
      <w:pPr>
        <w:spacing w:line="560" w:lineRule="exac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1465C3">
        <w:rPr>
          <w:rFonts w:ascii="仿宋_GB2312" w:eastAsia="仿宋_GB2312" w:hAnsi="方正小标宋_GBK" w:cs="方正小标宋_GBK" w:hint="eastAsia"/>
          <w:bCs/>
          <w:sz w:val="32"/>
          <w:szCs w:val="32"/>
        </w:rPr>
        <w:t>（征求意见稿）</w:t>
      </w:r>
    </w:p>
    <w:p w:rsidR="00F84DD2" w:rsidRPr="001465C3" w:rsidRDefault="00F84DD2" w:rsidP="00F84DD2">
      <w:pPr>
        <w:spacing w:line="560" w:lineRule="exact"/>
        <w:rPr>
          <w:rFonts w:ascii="仿宋_GB2312" w:eastAsia="仿宋_GB2312"/>
          <w:bCs/>
          <w:sz w:val="36"/>
          <w:szCs w:val="44"/>
        </w:rPr>
      </w:pP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第一条【立法目的】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为了促进杭州城市大脑数</w:t>
      </w:r>
      <w:bookmarkStart w:id="0" w:name="_GoBack"/>
      <w:bookmarkEnd w:id="0"/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字赋能城市治理，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提升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城市治理体系和治理能力现代化，促进数字杭州发展，根据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《中华人民共和国网络安全法》《</w:t>
      </w:r>
      <w:r w:rsidRPr="00E862EA">
        <w:rPr>
          <w:rFonts w:ascii="仿宋_GB2312" w:eastAsia="仿宋_GB2312" w:hAnsi="仿宋_GB2312" w:cs="仿宋_GB2312" w:hint="eastAsia"/>
          <w:bCs/>
          <w:sz w:val="32"/>
          <w:szCs w:val="32"/>
        </w:rPr>
        <w:t>浙江省信息化促进条例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》等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有关法律、法规，结合本市实际，制定本条例。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第二条【适用范围】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本市行政区域内城市大脑数字赋能城市治理及相关活动适用本条例。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第三条【城市大脑定义】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本条例所称城市大脑，是指基于云计算、大数据、物联网、人工智能等新一代信息技术构建的，支撑经济、社会、政府数字化转型的开放式智能运营平台，是数字杭州建设的重要基础设施和综合应用工具。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第四条【数字赋能定义】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本条例所称数字赋能，是指城市大脑通过数据资源整合共享，推动政治、经济、文化、社会、生态等领域数字化建设应用，实现城市运行态势监测、公共资源配置、宏观决策指挥的数字化治理。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第五条【工作原则】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城市大脑数字赋能城市治理遵循政府引导、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社会参与、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应用主导、集约建设、汇聚整合、保障安全的原则。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第六条 【政府职责】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市人民政府应当加强城市大脑数字赋能城市治理工作的统筹协调，建立健全财政投入机制、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考核评估机制、规划发展机制以及与社会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共建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机制等各项工作机制。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区、县（市）人民政府负责推进、协调、监督本行政区域内城市大脑数字赋能城市治理工作。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第七条 【部门职责】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数据资源管理部门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本行政区域内的城市大脑数字赋能城市治理工作。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发展和改革、建设、经济和信息化、交通、公安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、城市管理、生态环境、市场监管、卫生健康、应急管理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等有关部门在各自职责范围内，做好城市大脑数字赋能城市治理相关工作。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第八条【数据采集】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市数据资源管理部门在法定职责范围内，整合行政机关、企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事业单位和其他组织的政务数据、城市公共服务数据、互联网数据等城市治理数据资源。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行政机关、企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事业单位和其他组织应当确保其所提供数据的及时性、准确性、真实性和完整性。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第九条【数据共享】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市数据资源管理部门应当建立健全城市治理数据资源共享体系，推进跨业</w:t>
      </w:r>
      <w:proofErr w:type="gramStart"/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务</w:t>
      </w:r>
      <w:proofErr w:type="gramEnd"/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、跨系统、跨部门、跨领域、跨层级的数据共享和业务协同，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保障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政府科学决策、高效监管、精准治理。</w:t>
      </w:r>
    </w:p>
    <w:p w:rsidR="00F84DD2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第十条【数据开发利用】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行政机关、企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事业单位和其他组织可以开发利用城市治理数据资源，推动大数据、人工智能领域科技成果的产业化落地。</w:t>
      </w:r>
    </w:p>
    <w:p w:rsidR="00F84DD2" w:rsidRPr="007625F0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数据资源的收集、报送、共享和开发利用，不得非法侵害个人信息、隐私和商业秘密。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第十一条【信息技术平台】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市人民政府应当优化城市治理数据中心布局，统筹规划建设云计算、大数据、物联网、人工智能等信息技术平台，为城市治理提供统一计算、存储、网络联通等技术支撑。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第十二条【公共支撑平台】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市人民政府应当统筹规划可信身份认证、公共信用、公共支付、电子签章、地理信息服务等一体化公共支撑平台，实现政府、社会、企业的城市治理数据资源互联互通、深度融合。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第十三条【政务服务应用】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县（市、区）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人民政府应当加强政务信息资源整合和基础数据共享服务，优化服务流程、简化办事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手续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，构建智能化、智慧化服务平台，实现政务服务跨区域、跨层级、跨部门的“一号申请、一窗受理、一网通办”。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第十四条【民生服务应用】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县（市、区）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人民政府应当加快推广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、创新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旅游、就医、泊车、健康码、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民意调查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公众参与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等民生服务数字化应用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第十五条【社会治理应用】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县（市、区）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人民政府应当加快推进交通、警务、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消防、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城管、市场监管、安监、检务、环保、审计、信用等社会治理领域的智慧化建设，赋能社会治理领域数字化应用。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第十六条【数据安全监管】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市数据资源管理部门应当建立数据安全监管制度，对城市治理数据资源的归集、传输、共享、访问、运用等数据资源利用行为进行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监管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确保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合法正当。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任何单位和个人可以对违法违规的数据资源利用行为进行举报。</w:t>
      </w:r>
    </w:p>
    <w:p w:rsidR="00F84DD2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第十七条【数据安全责任】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行政机关、企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事业单位和其他组织应当建立数据安全管控体系，落实数据安全主体责任，采取必要的安全保障措施，推动政府、社会、企业的安全技术和风险信息共享。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条【数据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纠纷化解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 w:rsidRPr="00067CE1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市数据资源部门应当建立数据纠纷解决机制，处理行政机关、企事业单位和个人在数据报送中产生的纠纷。 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条【引导社会参与】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县（市、区）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人民政府应当制定城市大脑数字赋能城市治理的财政、人才、科技、金融等政策措施，探索“政府主导社会参与”的建设运营模式，鼓励社会资本投入。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二十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条【专项资金评估】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市数据资源管理部门应当会同发展和改革、财政、审计等部门，定期对城市大脑数字赋能城市治理专项资金的配置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使用等进行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绩效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评估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，并根据评估结论及时调整。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条【长三角一体化】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市人民政府应当加强长三角区</w:t>
      </w:r>
      <w:proofErr w:type="gramStart"/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域城市</w:t>
      </w:r>
      <w:proofErr w:type="gramEnd"/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的交流与合作，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积极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推动城市大脑数字赋能城市治理模式创新、技术创新、应用创新，推进长三角区域一体化发展。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条【法律责任】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违反本条例规定的行为，法律、法规已有法律责任规定的，从其规定。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条【行政机关及其工作人员责任】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数据资源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管理部门与其他行政机关及其工作人员有下列行为之一的，由本级人民政府或者上级主管部门责令改正；情节严重的，对直接负责的主管人员和其他直接责任人员依法给予处分；构成犯罪的，依法追究刑事责任：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（一）未按照规定归集、传输、共享、访问、运用城市治理数据资源的；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（二）违法披露所获取的涉及个人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信息、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隐私、商业秘密的城市治理数据资源的；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（三）泄露、买卖所获取的城市治理数据资源的；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（四）非法复制、记录、储存城市治理数据资源的；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（五）未按照规定进行数据资源共享的；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（六）未依法履行数据资源安全监管职责的；</w:t>
      </w:r>
    </w:p>
    <w:p w:rsidR="00F84DD2" w:rsidRPr="001465C3" w:rsidRDefault="00F84DD2" w:rsidP="00F84DD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（七）其他滥用职权、玩忽职守、徇私舞弊的行为。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条【其他个人和组织责任】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>、法人和其他组织从事破坏城市大脑数字治理的基础设施、数据资源、应用系统等活动的，由数据资源管理部门协同有关行政执法机关调查处理；构成犯罪的，依法追究刑事责任。</w:t>
      </w:r>
    </w:p>
    <w:p w:rsidR="00F84DD2" w:rsidRPr="001465C3" w:rsidRDefault="00F84DD2" w:rsidP="00F84DD2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</w:t>
      </w:r>
      <w:r w:rsidRPr="00F506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条【施行日期】</w:t>
      </w:r>
      <w:r w:rsidRPr="001465C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本条例自XXXX年X月X日起施行。</w:t>
      </w:r>
    </w:p>
    <w:p w:rsidR="00F84DD2" w:rsidRPr="001465C3" w:rsidRDefault="00F84DD2" w:rsidP="00F84DD2">
      <w:pPr>
        <w:spacing w:line="560" w:lineRule="exact"/>
        <w:rPr>
          <w:rFonts w:ascii="仿宋_GB2312" w:eastAsia="仿宋_GB2312"/>
        </w:rPr>
      </w:pPr>
    </w:p>
    <w:p w:rsidR="009E344F" w:rsidRPr="00F84DD2" w:rsidRDefault="00E920A5"/>
    <w:sectPr w:rsidR="009E344F" w:rsidRPr="00F84DD2" w:rsidSect="00F1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0A5" w:rsidRDefault="00E920A5" w:rsidP="00F84DD2">
      <w:r>
        <w:separator/>
      </w:r>
    </w:p>
  </w:endnote>
  <w:endnote w:type="continuationSeparator" w:id="0">
    <w:p w:rsidR="00E920A5" w:rsidRDefault="00E920A5" w:rsidP="00F8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0A5" w:rsidRDefault="00E920A5" w:rsidP="00F84DD2">
      <w:r>
        <w:separator/>
      </w:r>
    </w:p>
  </w:footnote>
  <w:footnote w:type="continuationSeparator" w:id="0">
    <w:p w:rsidR="00E920A5" w:rsidRDefault="00E920A5" w:rsidP="00F8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575"/>
    <w:rsid w:val="0003486E"/>
    <w:rsid w:val="00171A1E"/>
    <w:rsid w:val="00307FD5"/>
    <w:rsid w:val="003E0691"/>
    <w:rsid w:val="003F49A7"/>
    <w:rsid w:val="004018C5"/>
    <w:rsid w:val="00414A1B"/>
    <w:rsid w:val="00417676"/>
    <w:rsid w:val="00420575"/>
    <w:rsid w:val="004B7088"/>
    <w:rsid w:val="0050596B"/>
    <w:rsid w:val="005B09F2"/>
    <w:rsid w:val="00622F1E"/>
    <w:rsid w:val="00723E83"/>
    <w:rsid w:val="00757242"/>
    <w:rsid w:val="0079332F"/>
    <w:rsid w:val="007E05C2"/>
    <w:rsid w:val="007E64B2"/>
    <w:rsid w:val="00975948"/>
    <w:rsid w:val="00A57CF1"/>
    <w:rsid w:val="00A671E5"/>
    <w:rsid w:val="00AB54B7"/>
    <w:rsid w:val="00B71A9C"/>
    <w:rsid w:val="00BC0872"/>
    <w:rsid w:val="00C72675"/>
    <w:rsid w:val="00C93A02"/>
    <w:rsid w:val="00D064B4"/>
    <w:rsid w:val="00D56CA3"/>
    <w:rsid w:val="00E920A5"/>
    <w:rsid w:val="00F133F5"/>
    <w:rsid w:val="00F42653"/>
    <w:rsid w:val="00F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31293F-428A-4401-AD82-C4542E9D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5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20575"/>
  </w:style>
  <w:style w:type="character" w:styleId="a4">
    <w:name w:val="Hyperlink"/>
    <w:basedOn w:val="a0"/>
    <w:uiPriority w:val="99"/>
    <w:semiHidden/>
    <w:unhideWhenUsed/>
    <w:rsid w:val="00420575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E64B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E64B2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8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4DD2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4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84D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365</Words>
  <Characters>2083</Characters>
  <Application>Microsoft Office Word</Application>
  <DocSecurity>0</DocSecurity>
  <Lines>17</Lines>
  <Paragraphs>4</Paragraphs>
  <ScaleCrop>false</ScaleCrop>
  <Company>ITSK.com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黄小依</dc:creator>
  <cp:lastModifiedBy>cc</cp:lastModifiedBy>
  <cp:revision>24</cp:revision>
  <dcterms:created xsi:type="dcterms:W3CDTF">2020-03-24T01:33:00Z</dcterms:created>
  <dcterms:modified xsi:type="dcterms:W3CDTF">2020-03-27T07:57:00Z</dcterms:modified>
</cp:coreProperties>
</file>