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247C7" w14:textId="5AA87302" w:rsidR="00E310B3" w:rsidRPr="00E310B3" w:rsidRDefault="00E310B3" w:rsidP="00E310B3">
      <w:pPr>
        <w:spacing w:line="560" w:lineRule="exact"/>
        <w:rPr>
          <w:rFonts w:ascii="黑体" w:eastAsia="黑体" w:hAnsi="黑体"/>
          <w:sz w:val="32"/>
          <w:szCs w:val="44"/>
        </w:rPr>
      </w:pPr>
      <w:bookmarkStart w:id="0" w:name="_Hlk9008402"/>
      <w:r w:rsidRPr="00E310B3">
        <w:rPr>
          <w:rFonts w:ascii="黑体" w:eastAsia="黑体" w:hAnsi="黑体" w:hint="eastAsia"/>
          <w:sz w:val="32"/>
          <w:szCs w:val="44"/>
        </w:rPr>
        <w:t>附件</w:t>
      </w:r>
    </w:p>
    <w:p w14:paraId="47F5E4EA" w14:textId="0E97E14A" w:rsidR="008F6C89" w:rsidRDefault="008F6C89" w:rsidP="008F6C89">
      <w:pPr>
        <w:spacing w:line="560" w:lineRule="exact"/>
        <w:jc w:val="center"/>
        <w:rPr>
          <w:rFonts w:ascii="黑体" w:eastAsia="黑体" w:hAnsi="黑体" w:hint="eastAsia"/>
          <w:sz w:val="44"/>
          <w:szCs w:val="44"/>
        </w:rPr>
      </w:pPr>
      <w:r w:rsidRPr="008F6C89">
        <w:rPr>
          <w:rFonts w:ascii="黑体" w:eastAsia="黑体" w:hAnsi="黑体" w:hint="eastAsia"/>
          <w:sz w:val="44"/>
          <w:szCs w:val="44"/>
        </w:rPr>
        <w:t>杭州市机动车清洁化三年行动方案（2021-2023年）</w:t>
      </w:r>
      <w:r w:rsidRPr="00F7429A">
        <w:rPr>
          <w:rFonts w:ascii="黑体" w:eastAsia="黑体" w:hAnsi="黑体"/>
          <w:sz w:val="44"/>
          <w:szCs w:val="44"/>
        </w:rPr>
        <w:t>任务分解表</w:t>
      </w:r>
    </w:p>
    <w:p w14:paraId="11090C16" w14:textId="214D63C6" w:rsidR="00DF2F42" w:rsidRPr="00E310B3" w:rsidRDefault="00DF2F42" w:rsidP="008F6C89">
      <w:pPr>
        <w:spacing w:line="560" w:lineRule="exact"/>
        <w:jc w:val="center"/>
        <w:rPr>
          <w:rFonts w:ascii="楷体_GB2312" w:eastAsia="楷体_GB2312" w:hAnsi="黑体" w:hint="eastAsia"/>
          <w:sz w:val="32"/>
          <w:szCs w:val="44"/>
        </w:rPr>
      </w:pPr>
      <w:r w:rsidRPr="00E310B3">
        <w:rPr>
          <w:rFonts w:ascii="楷体_GB2312" w:eastAsia="楷体_GB2312" w:hAnsi="黑体" w:hint="eastAsia"/>
          <w:sz w:val="32"/>
          <w:szCs w:val="44"/>
        </w:rPr>
        <w:t>（征求意见稿）</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275"/>
        <w:gridCol w:w="709"/>
        <w:gridCol w:w="6095"/>
        <w:gridCol w:w="1276"/>
        <w:gridCol w:w="1701"/>
        <w:gridCol w:w="1843"/>
      </w:tblGrid>
      <w:tr w:rsidR="007069D5" w:rsidRPr="00412A10" w14:paraId="5C650869" w14:textId="77777777" w:rsidTr="00876290">
        <w:trPr>
          <w:trHeight w:val="430"/>
          <w:tblHeader/>
          <w:jc w:val="center"/>
        </w:trPr>
        <w:tc>
          <w:tcPr>
            <w:tcW w:w="988" w:type="dxa"/>
            <w:vAlign w:val="center"/>
          </w:tcPr>
          <w:bookmarkEnd w:id="0"/>
          <w:p w14:paraId="6BB64645" w14:textId="55E999CE" w:rsidR="00CD2DB9" w:rsidRPr="00412A10" w:rsidRDefault="00CD2DB9" w:rsidP="00CD2DB9">
            <w:pPr>
              <w:snapToGrid w:val="0"/>
              <w:jc w:val="center"/>
              <w:rPr>
                <w:rFonts w:ascii="Times New Roman" w:eastAsia="黑体" w:hAnsi="Times New Roman"/>
                <w:sz w:val="24"/>
                <w:szCs w:val="24"/>
              </w:rPr>
            </w:pPr>
            <w:r>
              <w:rPr>
                <w:rFonts w:ascii="Times New Roman" w:eastAsia="黑体" w:hAnsi="Times New Roman" w:hint="eastAsia"/>
                <w:sz w:val="24"/>
                <w:szCs w:val="24"/>
              </w:rPr>
              <w:t>类别</w:t>
            </w:r>
          </w:p>
        </w:tc>
        <w:tc>
          <w:tcPr>
            <w:tcW w:w="1275" w:type="dxa"/>
            <w:vAlign w:val="center"/>
          </w:tcPr>
          <w:p w14:paraId="3F5BC524" w14:textId="4B29748B" w:rsidR="00CD2DB9" w:rsidRPr="00412A10" w:rsidRDefault="00073D01" w:rsidP="00CD2DB9">
            <w:pPr>
              <w:snapToGrid w:val="0"/>
              <w:jc w:val="center"/>
              <w:rPr>
                <w:rFonts w:ascii="Times New Roman" w:eastAsia="黑体" w:hAnsi="Times New Roman"/>
                <w:sz w:val="24"/>
                <w:szCs w:val="24"/>
              </w:rPr>
            </w:pPr>
            <w:r>
              <w:rPr>
                <w:rFonts w:ascii="Times New Roman" w:eastAsia="黑体" w:hAnsi="Times New Roman" w:hint="eastAsia"/>
                <w:sz w:val="24"/>
                <w:szCs w:val="24"/>
              </w:rPr>
              <w:t>项目</w:t>
            </w:r>
          </w:p>
        </w:tc>
        <w:tc>
          <w:tcPr>
            <w:tcW w:w="709" w:type="dxa"/>
            <w:vAlign w:val="center"/>
          </w:tcPr>
          <w:p w14:paraId="48FCC523" w14:textId="5234B59D" w:rsidR="00CD2DB9" w:rsidRDefault="00CD2DB9" w:rsidP="003222EE">
            <w:pPr>
              <w:snapToGrid w:val="0"/>
              <w:jc w:val="center"/>
              <w:rPr>
                <w:rFonts w:ascii="Times New Roman" w:eastAsia="黑体" w:hAnsi="Times New Roman"/>
                <w:sz w:val="24"/>
                <w:szCs w:val="24"/>
              </w:rPr>
            </w:pPr>
            <w:r>
              <w:rPr>
                <w:rFonts w:ascii="Times New Roman" w:eastAsia="黑体" w:hAnsi="Times New Roman" w:hint="eastAsia"/>
                <w:sz w:val="24"/>
                <w:szCs w:val="24"/>
              </w:rPr>
              <w:t>序号</w:t>
            </w:r>
          </w:p>
        </w:tc>
        <w:tc>
          <w:tcPr>
            <w:tcW w:w="6095" w:type="dxa"/>
            <w:vAlign w:val="center"/>
          </w:tcPr>
          <w:p w14:paraId="3EA6D1A4" w14:textId="213352D0" w:rsidR="00CD2DB9" w:rsidRPr="00412A10" w:rsidRDefault="00CD2DB9" w:rsidP="00CD2DB9">
            <w:pPr>
              <w:snapToGrid w:val="0"/>
              <w:ind w:left="420"/>
              <w:jc w:val="center"/>
              <w:rPr>
                <w:rFonts w:ascii="Times New Roman" w:eastAsia="黑体" w:hAnsi="Times New Roman"/>
                <w:sz w:val="24"/>
                <w:szCs w:val="24"/>
              </w:rPr>
            </w:pPr>
            <w:r>
              <w:rPr>
                <w:rFonts w:ascii="Times New Roman" w:eastAsia="黑体" w:hAnsi="Times New Roman" w:hint="eastAsia"/>
                <w:sz w:val="24"/>
                <w:szCs w:val="24"/>
              </w:rPr>
              <w:t>主要内容</w:t>
            </w:r>
          </w:p>
        </w:tc>
        <w:tc>
          <w:tcPr>
            <w:tcW w:w="1276" w:type="dxa"/>
            <w:vAlign w:val="center"/>
          </w:tcPr>
          <w:p w14:paraId="380B4718" w14:textId="0141E942" w:rsidR="00CD2DB9" w:rsidRPr="00412A10" w:rsidRDefault="00CD2DB9" w:rsidP="0009317C">
            <w:pPr>
              <w:snapToGrid w:val="0"/>
              <w:jc w:val="center"/>
              <w:rPr>
                <w:rFonts w:ascii="Times New Roman" w:eastAsia="黑体" w:hAnsi="Times New Roman"/>
                <w:sz w:val="24"/>
                <w:szCs w:val="24"/>
              </w:rPr>
            </w:pPr>
            <w:r>
              <w:rPr>
                <w:rFonts w:ascii="Times New Roman" w:eastAsia="黑体" w:hAnsi="Times New Roman" w:hint="eastAsia"/>
                <w:sz w:val="24"/>
                <w:szCs w:val="24"/>
              </w:rPr>
              <w:t>完成时限</w:t>
            </w:r>
          </w:p>
        </w:tc>
        <w:tc>
          <w:tcPr>
            <w:tcW w:w="1701" w:type="dxa"/>
            <w:vAlign w:val="center"/>
          </w:tcPr>
          <w:p w14:paraId="20C55912" w14:textId="2E06056F" w:rsidR="00CD2DB9" w:rsidRPr="00CD2DB9" w:rsidRDefault="00CD2DB9" w:rsidP="00CD2DB9">
            <w:pPr>
              <w:snapToGrid w:val="0"/>
              <w:jc w:val="center"/>
              <w:rPr>
                <w:rFonts w:ascii="Times New Roman" w:eastAsia="黑体" w:hAnsi="Times New Roman"/>
                <w:sz w:val="24"/>
                <w:szCs w:val="24"/>
              </w:rPr>
            </w:pPr>
            <w:r w:rsidRPr="00412A10">
              <w:rPr>
                <w:rFonts w:ascii="Times New Roman" w:eastAsia="黑体" w:hAnsi="Times New Roman"/>
                <w:sz w:val="24"/>
                <w:szCs w:val="24"/>
              </w:rPr>
              <w:t>牵头单位</w:t>
            </w:r>
          </w:p>
        </w:tc>
        <w:tc>
          <w:tcPr>
            <w:tcW w:w="1843" w:type="dxa"/>
            <w:vAlign w:val="center"/>
          </w:tcPr>
          <w:p w14:paraId="4DF6CEDF" w14:textId="77777777" w:rsidR="00CD2DB9" w:rsidRPr="00412A10" w:rsidRDefault="00CD2DB9" w:rsidP="00CD2DB9">
            <w:pPr>
              <w:snapToGrid w:val="0"/>
              <w:jc w:val="center"/>
              <w:rPr>
                <w:rFonts w:ascii="Times New Roman" w:eastAsia="仿宋_GB2312" w:hAnsi="Times New Roman"/>
                <w:sz w:val="24"/>
                <w:szCs w:val="24"/>
              </w:rPr>
            </w:pPr>
            <w:r w:rsidRPr="00412A10">
              <w:rPr>
                <w:rFonts w:ascii="Times New Roman" w:eastAsia="黑体" w:hAnsi="Times New Roman"/>
                <w:sz w:val="24"/>
                <w:szCs w:val="24"/>
              </w:rPr>
              <w:t>参与单位</w:t>
            </w:r>
          </w:p>
        </w:tc>
      </w:tr>
      <w:tr w:rsidR="0009317C" w:rsidRPr="00412A10" w14:paraId="0BFFCE95" w14:textId="77777777" w:rsidTr="00876290">
        <w:trPr>
          <w:trHeight w:val="1079"/>
          <w:jc w:val="center"/>
        </w:trPr>
        <w:tc>
          <w:tcPr>
            <w:tcW w:w="988" w:type="dxa"/>
            <w:vMerge w:val="restart"/>
            <w:vAlign w:val="center"/>
          </w:tcPr>
          <w:p w14:paraId="38C09FAF" w14:textId="5CB59043" w:rsidR="00CD2DB9" w:rsidRPr="003222EE" w:rsidRDefault="00CD2DB9"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车辆结构清洁化</w:t>
            </w:r>
          </w:p>
        </w:tc>
        <w:tc>
          <w:tcPr>
            <w:tcW w:w="1275" w:type="dxa"/>
            <w:vMerge w:val="restart"/>
            <w:vAlign w:val="center"/>
          </w:tcPr>
          <w:p w14:paraId="7EAF9BA2" w14:textId="1DA9BD3A" w:rsidR="00CD2DB9" w:rsidRPr="003222EE" w:rsidRDefault="00CD2DB9"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公共交通领域车辆</w:t>
            </w:r>
          </w:p>
        </w:tc>
        <w:tc>
          <w:tcPr>
            <w:tcW w:w="709" w:type="dxa"/>
            <w:vAlign w:val="center"/>
          </w:tcPr>
          <w:p w14:paraId="069CC4BA" w14:textId="3BB6D0AB" w:rsidR="00CD2DB9" w:rsidRPr="003222EE" w:rsidRDefault="00CD2DB9"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31F2941B" w14:textId="2E04CAFD" w:rsidR="00CD2DB9" w:rsidRPr="00F7429A" w:rsidRDefault="00CD2DB9" w:rsidP="00CD2DB9">
            <w:pPr>
              <w:snapToGrid w:val="0"/>
              <w:rPr>
                <w:rFonts w:ascii="仿宋_GB2312" w:eastAsia="仿宋_GB2312" w:hAnsi="Times New Roman"/>
                <w:sz w:val="24"/>
                <w:szCs w:val="24"/>
              </w:rPr>
            </w:pPr>
            <w:r w:rsidRPr="00E45763">
              <w:rPr>
                <w:rFonts w:ascii="仿宋_GB2312" w:eastAsia="仿宋_GB2312" w:hAnsi="Times New Roman" w:hint="eastAsia"/>
                <w:sz w:val="24"/>
                <w:szCs w:val="24"/>
              </w:rPr>
              <w:t>加快推进公务用</w:t>
            </w:r>
            <w:bookmarkStart w:id="1" w:name="_GoBack"/>
            <w:bookmarkEnd w:id="1"/>
            <w:r w:rsidRPr="00E45763">
              <w:rPr>
                <w:rFonts w:ascii="仿宋_GB2312" w:eastAsia="仿宋_GB2312" w:hAnsi="Times New Roman" w:hint="eastAsia"/>
                <w:sz w:val="24"/>
                <w:szCs w:val="24"/>
              </w:rPr>
              <w:t>车、公交、出租车辆清洁化，2020年底前，建成区燃油公交车全面清零；2021年起，引导建成区公务用车、出租车等公共交通领域车辆使用新能源车辆，并制定实施计划</w:t>
            </w:r>
            <w:r w:rsidR="00D85020">
              <w:rPr>
                <w:rFonts w:ascii="仿宋_GB2312" w:eastAsia="仿宋_GB2312" w:hAnsi="Times New Roman" w:hint="eastAsia"/>
                <w:sz w:val="24"/>
                <w:szCs w:val="24"/>
              </w:rPr>
              <w:t>。</w:t>
            </w:r>
          </w:p>
        </w:tc>
        <w:tc>
          <w:tcPr>
            <w:tcW w:w="1276" w:type="dxa"/>
            <w:vAlign w:val="center"/>
          </w:tcPr>
          <w:p w14:paraId="4B359E43" w14:textId="4C03B89D" w:rsidR="007069D5" w:rsidRDefault="0009317C"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020</w:t>
            </w:r>
            <w:r w:rsidR="007069D5">
              <w:rPr>
                <w:rFonts w:ascii="仿宋_GB2312" w:eastAsia="仿宋_GB2312" w:hAnsi="Times New Roman" w:hint="eastAsia"/>
                <w:sz w:val="24"/>
                <w:szCs w:val="24"/>
              </w:rPr>
              <w:t>年；</w:t>
            </w:r>
          </w:p>
          <w:p w14:paraId="70E0E4E9" w14:textId="199A7503" w:rsidR="00CD2DB9" w:rsidRPr="00E45763" w:rsidRDefault="007069D5" w:rsidP="00FC6134">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021</w:t>
            </w:r>
            <w:r>
              <w:rPr>
                <w:rFonts w:ascii="仿宋_GB2312" w:eastAsia="仿宋_GB2312" w:hAnsi="Times New Roman" w:hint="eastAsia"/>
                <w:sz w:val="24"/>
                <w:szCs w:val="24"/>
              </w:rPr>
              <w:t>年</w:t>
            </w:r>
            <w:r w:rsidR="00FC6134">
              <w:rPr>
                <w:rFonts w:ascii="仿宋_GB2312" w:eastAsia="仿宋_GB2312" w:hAnsi="Times New Roman" w:hint="eastAsia"/>
                <w:sz w:val="24"/>
                <w:szCs w:val="24"/>
              </w:rPr>
              <w:t>起</w:t>
            </w:r>
          </w:p>
        </w:tc>
        <w:tc>
          <w:tcPr>
            <w:tcW w:w="1701" w:type="dxa"/>
            <w:vAlign w:val="center"/>
          </w:tcPr>
          <w:p w14:paraId="4228AC32" w14:textId="40AE1177" w:rsidR="00CD2DB9" w:rsidRPr="00F7429A" w:rsidRDefault="00CD2DB9" w:rsidP="004A6043">
            <w:pPr>
              <w:snapToGrid w:val="0"/>
              <w:rPr>
                <w:rFonts w:ascii="仿宋_GB2312" w:eastAsia="仿宋_GB2312" w:hAnsi="Times New Roman"/>
                <w:sz w:val="24"/>
                <w:szCs w:val="24"/>
              </w:rPr>
            </w:pPr>
            <w:r w:rsidRPr="00E45763">
              <w:rPr>
                <w:rFonts w:ascii="仿宋_GB2312" w:eastAsia="仿宋_GB2312" w:hAnsi="Times New Roman" w:hint="eastAsia"/>
                <w:sz w:val="24"/>
                <w:szCs w:val="24"/>
              </w:rPr>
              <w:t>市机关事务管理局、财政局、交通运输局</w:t>
            </w:r>
          </w:p>
        </w:tc>
        <w:tc>
          <w:tcPr>
            <w:tcW w:w="1843" w:type="dxa"/>
            <w:vAlign w:val="center"/>
          </w:tcPr>
          <w:p w14:paraId="2D62D295" w14:textId="4025A357" w:rsidR="00CD2DB9" w:rsidRPr="00F7429A" w:rsidRDefault="00CD2DB9" w:rsidP="004A6043">
            <w:pPr>
              <w:snapToGrid w:val="0"/>
              <w:rPr>
                <w:rFonts w:ascii="仿宋_GB2312" w:eastAsia="仿宋_GB2312" w:hAnsi="Times New Roman"/>
                <w:sz w:val="24"/>
                <w:szCs w:val="24"/>
              </w:rPr>
            </w:pPr>
            <w:r w:rsidRPr="00E45763">
              <w:rPr>
                <w:rFonts w:ascii="仿宋_GB2312" w:eastAsia="仿宋_GB2312" w:hAnsi="Times New Roman" w:hint="eastAsia"/>
                <w:sz w:val="24"/>
                <w:szCs w:val="24"/>
              </w:rPr>
              <w:t>市城投集团、各区、县（市）人民政府、西湖风景名胜区、钱塘新区管委会参与</w:t>
            </w:r>
            <w:r w:rsidRPr="003B4C1B">
              <w:rPr>
                <w:rFonts w:ascii="仿宋_GB2312" w:eastAsia="仿宋_GB2312" w:hAnsi="Times New Roman" w:hint="eastAsia"/>
                <w:sz w:val="24"/>
                <w:szCs w:val="24"/>
              </w:rPr>
              <w:t>（注：以下任务均需各区、县（市）人民政府、西湖风景名胜区、钱塘新区管委会参与，不再单独列出）</w:t>
            </w:r>
          </w:p>
        </w:tc>
      </w:tr>
      <w:tr w:rsidR="0009317C" w:rsidRPr="00412A10" w14:paraId="66644849" w14:textId="77777777" w:rsidTr="00876290">
        <w:trPr>
          <w:trHeight w:val="1079"/>
          <w:jc w:val="center"/>
        </w:trPr>
        <w:tc>
          <w:tcPr>
            <w:tcW w:w="988" w:type="dxa"/>
            <w:vMerge/>
          </w:tcPr>
          <w:p w14:paraId="27F4B262" w14:textId="77777777" w:rsidR="00CD2DB9" w:rsidRPr="003222EE" w:rsidRDefault="00CD2DB9" w:rsidP="003222EE">
            <w:pPr>
              <w:snapToGrid w:val="0"/>
              <w:rPr>
                <w:rFonts w:ascii="仿宋_GB2312" w:eastAsia="仿宋_GB2312" w:hAnsi="Times New Roman"/>
                <w:sz w:val="24"/>
                <w:szCs w:val="24"/>
              </w:rPr>
            </w:pPr>
          </w:p>
        </w:tc>
        <w:tc>
          <w:tcPr>
            <w:tcW w:w="1275" w:type="dxa"/>
            <w:vMerge/>
            <w:vAlign w:val="center"/>
          </w:tcPr>
          <w:p w14:paraId="1B60C50B" w14:textId="50BAC3C1" w:rsidR="00CD2DB9" w:rsidRPr="003222EE" w:rsidRDefault="00CD2DB9" w:rsidP="003222EE">
            <w:pPr>
              <w:snapToGrid w:val="0"/>
              <w:rPr>
                <w:rFonts w:ascii="仿宋_GB2312" w:eastAsia="仿宋_GB2312" w:hAnsi="Times New Roman"/>
                <w:sz w:val="24"/>
                <w:szCs w:val="24"/>
              </w:rPr>
            </w:pPr>
          </w:p>
        </w:tc>
        <w:tc>
          <w:tcPr>
            <w:tcW w:w="709" w:type="dxa"/>
            <w:vAlign w:val="center"/>
          </w:tcPr>
          <w:p w14:paraId="2A78D13D" w14:textId="6F6FFF05" w:rsidR="00CD2DB9" w:rsidRPr="003222EE" w:rsidRDefault="00CD2DB9"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6A740A77" w14:textId="08EC260D" w:rsidR="00CD2DB9" w:rsidRPr="00F7429A" w:rsidRDefault="00CD2DB9" w:rsidP="00CD2DB9">
            <w:pPr>
              <w:snapToGrid w:val="0"/>
              <w:rPr>
                <w:rFonts w:ascii="仿宋_GB2312" w:eastAsia="仿宋_GB2312" w:hAnsi="Times New Roman"/>
                <w:sz w:val="24"/>
                <w:szCs w:val="24"/>
              </w:rPr>
            </w:pPr>
            <w:r w:rsidRPr="003B4C1B">
              <w:rPr>
                <w:rFonts w:ascii="仿宋_GB2312" w:eastAsia="仿宋_GB2312" w:hAnsi="Times New Roman" w:hint="eastAsia"/>
                <w:sz w:val="24"/>
                <w:szCs w:val="24"/>
              </w:rPr>
              <w:t>2022年起，全市在举办国内外重大赛事、重大活动和重要会议期间，除医疗急救、抢险救灾等特殊用途车辆外，其他人员和物资保障车辆原则上使用新能源或清洁能源车辆</w:t>
            </w:r>
            <w:r w:rsidR="00D85020">
              <w:rPr>
                <w:rFonts w:ascii="仿宋_GB2312" w:eastAsia="仿宋_GB2312" w:hAnsi="Times New Roman" w:hint="eastAsia"/>
                <w:sz w:val="24"/>
                <w:szCs w:val="24"/>
              </w:rPr>
              <w:t>。</w:t>
            </w:r>
          </w:p>
        </w:tc>
        <w:tc>
          <w:tcPr>
            <w:tcW w:w="1276" w:type="dxa"/>
            <w:vAlign w:val="center"/>
          </w:tcPr>
          <w:p w14:paraId="58BD701B" w14:textId="20D1192B" w:rsidR="00CD2DB9" w:rsidRPr="003B4C1B" w:rsidRDefault="007069D5"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022</w:t>
            </w:r>
            <w:r>
              <w:rPr>
                <w:rFonts w:ascii="仿宋_GB2312" w:eastAsia="仿宋_GB2312" w:hAnsi="Times New Roman" w:hint="eastAsia"/>
                <w:sz w:val="24"/>
                <w:szCs w:val="24"/>
              </w:rPr>
              <w:t>年</w:t>
            </w:r>
            <w:r w:rsidR="008D496D">
              <w:rPr>
                <w:rFonts w:ascii="仿宋_GB2312" w:eastAsia="仿宋_GB2312" w:hAnsi="Times New Roman" w:hint="eastAsia"/>
                <w:sz w:val="24"/>
                <w:szCs w:val="24"/>
              </w:rPr>
              <w:t>起</w:t>
            </w:r>
          </w:p>
        </w:tc>
        <w:tc>
          <w:tcPr>
            <w:tcW w:w="1701" w:type="dxa"/>
            <w:vAlign w:val="center"/>
          </w:tcPr>
          <w:p w14:paraId="00C25E69" w14:textId="7EBAA0F2" w:rsidR="00CD2DB9" w:rsidRPr="00F7429A" w:rsidRDefault="00CD2DB9" w:rsidP="004A6043">
            <w:pPr>
              <w:snapToGrid w:val="0"/>
              <w:rPr>
                <w:rFonts w:ascii="仿宋_GB2312" w:eastAsia="仿宋_GB2312" w:hAnsi="Times New Roman"/>
                <w:sz w:val="24"/>
                <w:szCs w:val="24"/>
              </w:rPr>
            </w:pPr>
            <w:r w:rsidRPr="003B4C1B">
              <w:rPr>
                <w:rFonts w:ascii="仿宋_GB2312" w:eastAsia="仿宋_GB2312" w:hAnsi="Times New Roman" w:hint="eastAsia"/>
                <w:sz w:val="24"/>
                <w:szCs w:val="24"/>
              </w:rPr>
              <w:t>亚组委和市级相关部门</w:t>
            </w:r>
          </w:p>
        </w:tc>
        <w:tc>
          <w:tcPr>
            <w:tcW w:w="1843" w:type="dxa"/>
            <w:vAlign w:val="center"/>
          </w:tcPr>
          <w:p w14:paraId="3BAC9A31" w14:textId="1FEF6F10" w:rsidR="00CD2DB9" w:rsidRPr="00F7429A" w:rsidRDefault="00CD2DB9" w:rsidP="004A6043">
            <w:pPr>
              <w:snapToGrid w:val="0"/>
              <w:rPr>
                <w:rFonts w:ascii="仿宋_GB2312" w:eastAsia="仿宋_GB2312" w:hAnsi="Times New Roman"/>
                <w:sz w:val="24"/>
                <w:szCs w:val="24"/>
              </w:rPr>
            </w:pPr>
          </w:p>
        </w:tc>
      </w:tr>
      <w:tr w:rsidR="0009317C" w:rsidRPr="00412A10" w14:paraId="34729680" w14:textId="77777777" w:rsidTr="00876290">
        <w:trPr>
          <w:trHeight w:val="412"/>
          <w:jc w:val="center"/>
        </w:trPr>
        <w:tc>
          <w:tcPr>
            <w:tcW w:w="988" w:type="dxa"/>
            <w:vMerge/>
          </w:tcPr>
          <w:p w14:paraId="5D7A392E" w14:textId="77777777" w:rsidR="00CD2DB9" w:rsidRPr="003222EE" w:rsidRDefault="00CD2DB9" w:rsidP="003222EE">
            <w:pPr>
              <w:snapToGrid w:val="0"/>
              <w:rPr>
                <w:rFonts w:ascii="仿宋_GB2312" w:eastAsia="仿宋_GB2312" w:hAnsi="Times New Roman"/>
                <w:sz w:val="24"/>
                <w:szCs w:val="24"/>
              </w:rPr>
            </w:pPr>
          </w:p>
        </w:tc>
        <w:tc>
          <w:tcPr>
            <w:tcW w:w="1275" w:type="dxa"/>
            <w:vAlign w:val="center"/>
          </w:tcPr>
          <w:p w14:paraId="07643F0F" w14:textId="13CD1438" w:rsidR="00CD2DB9" w:rsidRPr="003222EE" w:rsidRDefault="00CD2DB9"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市政工程领域车辆</w:t>
            </w:r>
          </w:p>
        </w:tc>
        <w:tc>
          <w:tcPr>
            <w:tcW w:w="709" w:type="dxa"/>
            <w:vAlign w:val="center"/>
          </w:tcPr>
          <w:p w14:paraId="2B6F2425" w14:textId="369746EC" w:rsidR="00CD2DB9" w:rsidRPr="003222EE" w:rsidRDefault="00CD2DB9"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2BD3E643" w14:textId="550C88BD" w:rsidR="00CD2DB9" w:rsidRPr="00F7429A" w:rsidRDefault="00CD2DB9" w:rsidP="00EF0687">
            <w:pPr>
              <w:snapToGrid w:val="0"/>
              <w:rPr>
                <w:rFonts w:ascii="仿宋_GB2312" w:eastAsia="仿宋_GB2312" w:hAnsi="Times New Roman"/>
                <w:sz w:val="24"/>
                <w:szCs w:val="24"/>
              </w:rPr>
            </w:pPr>
            <w:r w:rsidRPr="003B4C1B">
              <w:rPr>
                <w:rFonts w:ascii="仿宋_GB2312" w:eastAsia="仿宋_GB2312" w:hAnsi="Times New Roman" w:hint="eastAsia"/>
                <w:sz w:val="24"/>
                <w:szCs w:val="24"/>
              </w:rPr>
              <w:t>制定实施建成区环卫、渣土、混凝土等市政工程柴油车辆清洁化年度计划。2021年起，建成区新增和更新的轻型环卫车辆中使用新能源车辆比例达80%以上，中重型环卫车辆中使用清洁能源车辆比例达80%以上，建成区新增和</w:t>
            </w:r>
            <w:r w:rsidRPr="003B4C1B">
              <w:rPr>
                <w:rFonts w:ascii="仿宋_GB2312" w:eastAsia="仿宋_GB2312" w:hAnsi="Times New Roman" w:hint="eastAsia"/>
                <w:sz w:val="24"/>
                <w:szCs w:val="24"/>
              </w:rPr>
              <w:lastRenderedPageBreak/>
              <w:t>更新的渣土、混凝土车辆中</w:t>
            </w:r>
            <w:r w:rsidR="00EF0687">
              <w:rPr>
                <w:rFonts w:ascii="仿宋_GB2312" w:eastAsia="仿宋_GB2312" w:hAnsi="Times New Roman" w:hint="eastAsia"/>
                <w:sz w:val="24"/>
                <w:szCs w:val="24"/>
              </w:rPr>
              <w:t>使用</w:t>
            </w:r>
            <w:r w:rsidRPr="003B4C1B">
              <w:rPr>
                <w:rFonts w:ascii="仿宋_GB2312" w:eastAsia="仿宋_GB2312" w:hAnsi="Times New Roman" w:hint="eastAsia"/>
                <w:sz w:val="24"/>
                <w:szCs w:val="24"/>
              </w:rPr>
              <w:t>清洁能源车辆比例达80%以上。逐步推进城市抢险救援车辆清洁化。</w:t>
            </w:r>
          </w:p>
        </w:tc>
        <w:tc>
          <w:tcPr>
            <w:tcW w:w="1276" w:type="dxa"/>
            <w:vAlign w:val="center"/>
          </w:tcPr>
          <w:p w14:paraId="09D95CCF" w14:textId="5BC22ECE" w:rsidR="00CD2DB9" w:rsidRPr="003B4C1B" w:rsidRDefault="007069D5" w:rsidP="000B601D">
            <w:pPr>
              <w:snapToGrid w:val="0"/>
              <w:jc w:val="center"/>
              <w:rPr>
                <w:rFonts w:ascii="仿宋_GB2312" w:eastAsia="仿宋_GB2312" w:hAnsi="Times New Roman"/>
                <w:sz w:val="24"/>
                <w:szCs w:val="24"/>
              </w:rPr>
            </w:pPr>
            <w:r>
              <w:rPr>
                <w:rFonts w:ascii="仿宋_GB2312" w:eastAsia="仿宋_GB2312" w:hAnsi="Times New Roman" w:hint="eastAsia"/>
                <w:sz w:val="24"/>
                <w:szCs w:val="24"/>
              </w:rPr>
              <w:lastRenderedPageBreak/>
              <w:t>2</w:t>
            </w:r>
            <w:r>
              <w:rPr>
                <w:rFonts w:ascii="仿宋_GB2312" w:eastAsia="仿宋_GB2312" w:hAnsi="Times New Roman"/>
                <w:sz w:val="24"/>
                <w:szCs w:val="24"/>
              </w:rPr>
              <w:t>021</w:t>
            </w:r>
            <w:r>
              <w:rPr>
                <w:rFonts w:ascii="仿宋_GB2312" w:eastAsia="仿宋_GB2312" w:hAnsi="Times New Roman" w:hint="eastAsia"/>
                <w:sz w:val="24"/>
                <w:szCs w:val="24"/>
              </w:rPr>
              <w:t>年</w:t>
            </w:r>
            <w:r w:rsidR="000B601D">
              <w:rPr>
                <w:rFonts w:ascii="仿宋_GB2312" w:eastAsia="仿宋_GB2312" w:hAnsi="Times New Roman" w:hint="eastAsia"/>
                <w:sz w:val="24"/>
                <w:szCs w:val="24"/>
              </w:rPr>
              <w:t>起</w:t>
            </w:r>
          </w:p>
        </w:tc>
        <w:tc>
          <w:tcPr>
            <w:tcW w:w="1701" w:type="dxa"/>
            <w:vAlign w:val="center"/>
          </w:tcPr>
          <w:p w14:paraId="7B355A93" w14:textId="76828FF3" w:rsidR="00CD2DB9" w:rsidRPr="00F7429A" w:rsidRDefault="00CD2DB9" w:rsidP="004A6043">
            <w:pPr>
              <w:snapToGrid w:val="0"/>
              <w:rPr>
                <w:rFonts w:ascii="仿宋_GB2312" w:eastAsia="仿宋_GB2312" w:hAnsi="Times New Roman"/>
                <w:sz w:val="24"/>
                <w:szCs w:val="24"/>
              </w:rPr>
            </w:pPr>
            <w:r w:rsidRPr="003B4C1B">
              <w:rPr>
                <w:rFonts w:ascii="仿宋_GB2312" w:eastAsia="仿宋_GB2312" w:hAnsi="Times New Roman" w:hint="eastAsia"/>
                <w:sz w:val="24"/>
                <w:szCs w:val="24"/>
              </w:rPr>
              <w:t>市城管局、建委</w:t>
            </w:r>
          </w:p>
        </w:tc>
        <w:tc>
          <w:tcPr>
            <w:tcW w:w="1843" w:type="dxa"/>
            <w:vAlign w:val="center"/>
          </w:tcPr>
          <w:p w14:paraId="48E0A91F" w14:textId="4CCDBB12" w:rsidR="00CD2DB9" w:rsidRPr="00F7429A" w:rsidRDefault="00CD2DB9" w:rsidP="004A6043">
            <w:pPr>
              <w:snapToGrid w:val="0"/>
              <w:rPr>
                <w:rFonts w:ascii="仿宋_GB2312" w:eastAsia="仿宋_GB2312" w:hAnsi="Times New Roman"/>
                <w:sz w:val="24"/>
                <w:szCs w:val="24"/>
              </w:rPr>
            </w:pPr>
            <w:r w:rsidRPr="003B4C1B">
              <w:rPr>
                <w:rFonts w:ascii="仿宋_GB2312" w:eastAsia="仿宋_GB2312" w:hAnsi="Times New Roman" w:hint="eastAsia"/>
                <w:sz w:val="24"/>
                <w:szCs w:val="24"/>
              </w:rPr>
              <w:t>市生态环境局、交通运输局、公安交警局、经信局、市城投集团</w:t>
            </w:r>
          </w:p>
        </w:tc>
      </w:tr>
      <w:tr w:rsidR="0009317C" w:rsidRPr="00412A10" w14:paraId="522EC97B" w14:textId="77777777" w:rsidTr="00876290">
        <w:trPr>
          <w:trHeight w:val="1079"/>
          <w:jc w:val="center"/>
        </w:trPr>
        <w:tc>
          <w:tcPr>
            <w:tcW w:w="988" w:type="dxa"/>
            <w:vMerge/>
          </w:tcPr>
          <w:p w14:paraId="0A62194F" w14:textId="77777777" w:rsidR="00CD2DB9" w:rsidRPr="003222EE" w:rsidRDefault="00CD2DB9" w:rsidP="003222EE">
            <w:pPr>
              <w:snapToGrid w:val="0"/>
              <w:rPr>
                <w:rFonts w:ascii="仿宋_GB2312" w:eastAsia="仿宋_GB2312" w:hAnsi="Times New Roman"/>
                <w:sz w:val="24"/>
                <w:szCs w:val="24"/>
              </w:rPr>
            </w:pPr>
          </w:p>
        </w:tc>
        <w:tc>
          <w:tcPr>
            <w:tcW w:w="1275" w:type="dxa"/>
            <w:vMerge w:val="restart"/>
            <w:vAlign w:val="center"/>
          </w:tcPr>
          <w:p w14:paraId="5C96D6D8" w14:textId="3D8D5A06" w:rsidR="00CD2DB9" w:rsidRPr="003222EE" w:rsidRDefault="00CD2DB9"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城市物流配送领域车辆</w:t>
            </w:r>
          </w:p>
        </w:tc>
        <w:tc>
          <w:tcPr>
            <w:tcW w:w="709" w:type="dxa"/>
            <w:vAlign w:val="center"/>
          </w:tcPr>
          <w:p w14:paraId="2E2021E7" w14:textId="648898FC" w:rsidR="00CD2DB9" w:rsidRPr="003222EE" w:rsidRDefault="00CD2DB9"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21BD0705" w14:textId="5E015052" w:rsidR="00CD2DB9" w:rsidRPr="00F7429A" w:rsidRDefault="00CD2DB9" w:rsidP="00CD2DB9">
            <w:pPr>
              <w:snapToGrid w:val="0"/>
              <w:rPr>
                <w:rFonts w:ascii="仿宋_GB2312" w:eastAsia="仿宋_GB2312" w:hAnsi="Times New Roman"/>
                <w:sz w:val="24"/>
                <w:szCs w:val="24"/>
              </w:rPr>
            </w:pPr>
            <w:r w:rsidRPr="003B4C1B">
              <w:rPr>
                <w:rFonts w:ascii="仿宋_GB2312" w:eastAsia="仿宋_GB2312" w:hAnsi="Times New Roman" w:hint="eastAsia"/>
                <w:sz w:val="24"/>
                <w:szCs w:val="24"/>
              </w:rPr>
              <w:t>制定实施邮政、快递、商贸及其他城市物流配送车辆清洁化年度计划。2021年起，建成区新增和更新的邮政、快递、商贸及其他城市物流配送车辆清洁化比例达80%以上</w:t>
            </w:r>
            <w:r w:rsidR="007069D5">
              <w:rPr>
                <w:rFonts w:ascii="仿宋_GB2312" w:eastAsia="仿宋_GB2312" w:hAnsi="Times New Roman" w:hint="eastAsia"/>
                <w:sz w:val="24"/>
                <w:szCs w:val="24"/>
              </w:rPr>
              <w:t>。</w:t>
            </w:r>
          </w:p>
        </w:tc>
        <w:tc>
          <w:tcPr>
            <w:tcW w:w="1276" w:type="dxa"/>
            <w:vAlign w:val="center"/>
          </w:tcPr>
          <w:p w14:paraId="50D3C82C" w14:textId="384F3B16" w:rsidR="00CD2DB9" w:rsidRPr="003B4C1B" w:rsidRDefault="007069D5"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021</w:t>
            </w:r>
            <w:r>
              <w:rPr>
                <w:rFonts w:ascii="仿宋_GB2312" w:eastAsia="仿宋_GB2312" w:hAnsi="Times New Roman" w:hint="eastAsia"/>
                <w:sz w:val="24"/>
                <w:szCs w:val="24"/>
              </w:rPr>
              <w:t>年</w:t>
            </w:r>
            <w:r w:rsidR="0009317C">
              <w:rPr>
                <w:rFonts w:ascii="仿宋_GB2312" w:eastAsia="仿宋_GB2312" w:hAnsi="Times New Roman" w:hint="eastAsia"/>
                <w:sz w:val="24"/>
                <w:szCs w:val="24"/>
              </w:rPr>
              <w:t>起</w:t>
            </w:r>
          </w:p>
        </w:tc>
        <w:tc>
          <w:tcPr>
            <w:tcW w:w="1701" w:type="dxa"/>
            <w:vAlign w:val="center"/>
          </w:tcPr>
          <w:p w14:paraId="6BC30987" w14:textId="72CA2AAB" w:rsidR="00CD2DB9" w:rsidRPr="00F7429A" w:rsidRDefault="00CD2DB9" w:rsidP="004A6043">
            <w:pPr>
              <w:snapToGrid w:val="0"/>
              <w:rPr>
                <w:rFonts w:ascii="仿宋_GB2312" w:eastAsia="仿宋_GB2312" w:hAnsi="Times New Roman"/>
                <w:sz w:val="24"/>
                <w:szCs w:val="24"/>
              </w:rPr>
            </w:pPr>
            <w:r w:rsidRPr="003B4C1B">
              <w:rPr>
                <w:rFonts w:ascii="仿宋_GB2312" w:eastAsia="仿宋_GB2312" w:hAnsi="Times New Roman" w:hint="eastAsia"/>
                <w:sz w:val="24"/>
                <w:szCs w:val="24"/>
              </w:rPr>
              <w:t>市邮管局、商务局、交通运输局</w:t>
            </w:r>
          </w:p>
        </w:tc>
        <w:tc>
          <w:tcPr>
            <w:tcW w:w="1843" w:type="dxa"/>
            <w:vAlign w:val="center"/>
          </w:tcPr>
          <w:p w14:paraId="34518185" w14:textId="32539088" w:rsidR="00CD2DB9" w:rsidRPr="00F7429A" w:rsidRDefault="00CD2DB9" w:rsidP="004A6043">
            <w:pPr>
              <w:snapToGrid w:val="0"/>
              <w:rPr>
                <w:rFonts w:ascii="仿宋_GB2312" w:eastAsia="仿宋_GB2312" w:hAnsi="Times New Roman"/>
                <w:sz w:val="24"/>
                <w:szCs w:val="24"/>
              </w:rPr>
            </w:pPr>
            <w:r w:rsidRPr="003B4C1B">
              <w:rPr>
                <w:rFonts w:ascii="仿宋_GB2312" w:eastAsia="仿宋_GB2312" w:hAnsi="Times New Roman" w:hint="eastAsia"/>
                <w:sz w:val="24"/>
                <w:szCs w:val="24"/>
              </w:rPr>
              <w:t>市公安交警局、经信局</w:t>
            </w:r>
          </w:p>
        </w:tc>
      </w:tr>
      <w:tr w:rsidR="0009317C" w:rsidRPr="00412A10" w14:paraId="745EA5D3" w14:textId="77777777" w:rsidTr="00876290">
        <w:trPr>
          <w:trHeight w:val="1079"/>
          <w:jc w:val="center"/>
        </w:trPr>
        <w:tc>
          <w:tcPr>
            <w:tcW w:w="988" w:type="dxa"/>
            <w:vMerge/>
          </w:tcPr>
          <w:p w14:paraId="517B9873" w14:textId="77777777" w:rsidR="00CD2DB9" w:rsidRPr="003222EE" w:rsidRDefault="00CD2DB9" w:rsidP="003222EE">
            <w:pPr>
              <w:snapToGrid w:val="0"/>
              <w:rPr>
                <w:rFonts w:ascii="仿宋_GB2312" w:eastAsia="仿宋_GB2312" w:hAnsi="Times New Roman"/>
                <w:sz w:val="24"/>
                <w:szCs w:val="24"/>
              </w:rPr>
            </w:pPr>
          </w:p>
        </w:tc>
        <w:tc>
          <w:tcPr>
            <w:tcW w:w="1275" w:type="dxa"/>
            <w:vMerge/>
            <w:vAlign w:val="center"/>
          </w:tcPr>
          <w:p w14:paraId="6B061550" w14:textId="70719C06" w:rsidR="00CD2DB9" w:rsidRPr="003222EE" w:rsidRDefault="00CD2DB9" w:rsidP="003222EE">
            <w:pPr>
              <w:snapToGrid w:val="0"/>
              <w:rPr>
                <w:rFonts w:ascii="仿宋_GB2312" w:eastAsia="仿宋_GB2312" w:hAnsi="Times New Roman"/>
                <w:sz w:val="24"/>
                <w:szCs w:val="24"/>
              </w:rPr>
            </w:pPr>
          </w:p>
        </w:tc>
        <w:tc>
          <w:tcPr>
            <w:tcW w:w="709" w:type="dxa"/>
            <w:vAlign w:val="center"/>
          </w:tcPr>
          <w:p w14:paraId="10E07F3F" w14:textId="6761DFCD" w:rsidR="00CD2DB9" w:rsidRPr="003222EE" w:rsidRDefault="00CD2DB9"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636C9605" w14:textId="667C87E7" w:rsidR="00CD2DB9" w:rsidRPr="003B4C1B" w:rsidRDefault="00CD2DB9" w:rsidP="00CD2DB9">
            <w:pPr>
              <w:snapToGrid w:val="0"/>
              <w:rPr>
                <w:rFonts w:ascii="仿宋_GB2312" w:eastAsia="仿宋_GB2312" w:hAnsi="Times New Roman"/>
                <w:sz w:val="24"/>
                <w:szCs w:val="24"/>
              </w:rPr>
            </w:pPr>
            <w:r w:rsidRPr="00A26CBF">
              <w:rPr>
                <w:rFonts w:ascii="仿宋_GB2312" w:eastAsia="仿宋_GB2312" w:hAnsi="Times New Roman" w:hint="eastAsia"/>
                <w:sz w:val="24"/>
                <w:szCs w:val="24"/>
              </w:rPr>
              <w:t>强化对货运市场（含货运企业、网上平台）等其他城市物流配送车辆规范化管理,提高建成区城市物流配送车辆清洁化比例</w:t>
            </w:r>
            <w:r w:rsidR="00D85020">
              <w:rPr>
                <w:rFonts w:ascii="仿宋_GB2312" w:eastAsia="仿宋_GB2312" w:hAnsi="Times New Roman" w:hint="eastAsia"/>
                <w:sz w:val="24"/>
                <w:szCs w:val="24"/>
              </w:rPr>
              <w:t>。</w:t>
            </w:r>
          </w:p>
        </w:tc>
        <w:tc>
          <w:tcPr>
            <w:tcW w:w="1276" w:type="dxa"/>
            <w:vAlign w:val="center"/>
          </w:tcPr>
          <w:p w14:paraId="5F3CEAF1" w14:textId="08649062" w:rsidR="00CD2DB9" w:rsidRPr="00A26CBF" w:rsidRDefault="00D80ACF"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57C436AD" w14:textId="67B3291B" w:rsidR="00CD2DB9" w:rsidRPr="003B4C1B" w:rsidRDefault="00CD2DB9" w:rsidP="004A6043">
            <w:pPr>
              <w:snapToGrid w:val="0"/>
              <w:rPr>
                <w:rFonts w:ascii="仿宋_GB2312" w:eastAsia="仿宋_GB2312" w:hAnsi="Times New Roman"/>
                <w:sz w:val="24"/>
                <w:szCs w:val="24"/>
              </w:rPr>
            </w:pPr>
            <w:r w:rsidRPr="00A26CBF">
              <w:rPr>
                <w:rFonts w:ascii="仿宋_GB2312" w:eastAsia="仿宋_GB2312" w:hAnsi="Times New Roman" w:hint="eastAsia"/>
                <w:sz w:val="24"/>
                <w:szCs w:val="24"/>
              </w:rPr>
              <w:t>市交通运输局、生态环境局</w:t>
            </w:r>
          </w:p>
        </w:tc>
        <w:tc>
          <w:tcPr>
            <w:tcW w:w="1843" w:type="dxa"/>
            <w:vAlign w:val="center"/>
          </w:tcPr>
          <w:p w14:paraId="1D72642A" w14:textId="3E6686F9" w:rsidR="00CD2DB9" w:rsidRPr="003B4C1B" w:rsidRDefault="00CD2DB9" w:rsidP="004A6043">
            <w:pPr>
              <w:snapToGrid w:val="0"/>
              <w:rPr>
                <w:rFonts w:ascii="仿宋_GB2312" w:eastAsia="仿宋_GB2312" w:hAnsi="Times New Roman"/>
                <w:sz w:val="24"/>
                <w:szCs w:val="24"/>
              </w:rPr>
            </w:pPr>
            <w:r w:rsidRPr="00A26CBF">
              <w:rPr>
                <w:rFonts w:ascii="仿宋_GB2312" w:eastAsia="仿宋_GB2312" w:hAnsi="Times New Roman" w:hint="eastAsia"/>
                <w:sz w:val="24"/>
                <w:szCs w:val="24"/>
              </w:rPr>
              <w:t>市公安交警局、市场监管局、邮管局</w:t>
            </w:r>
          </w:p>
        </w:tc>
      </w:tr>
      <w:tr w:rsidR="00341812" w:rsidRPr="00412A10" w14:paraId="1D73F7A3" w14:textId="77777777" w:rsidTr="00876290">
        <w:trPr>
          <w:trHeight w:val="1079"/>
          <w:jc w:val="center"/>
        </w:trPr>
        <w:tc>
          <w:tcPr>
            <w:tcW w:w="988" w:type="dxa"/>
            <w:vMerge w:val="restart"/>
            <w:vAlign w:val="center"/>
          </w:tcPr>
          <w:p w14:paraId="24406399" w14:textId="24170012" w:rsidR="00341812" w:rsidRPr="003222EE" w:rsidRDefault="00341812" w:rsidP="00341812">
            <w:pPr>
              <w:snapToGrid w:val="0"/>
              <w:jc w:val="center"/>
              <w:rPr>
                <w:rFonts w:ascii="仿宋_GB2312" w:eastAsia="仿宋_GB2312" w:hAnsi="Times New Roman"/>
                <w:sz w:val="24"/>
                <w:szCs w:val="24"/>
              </w:rPr>
            </w:pPr>
            <w:r w:rsidRPr="00341812">
              <w:rPr>
                <w:rFonts w:ascii="仿宋_GB2312" w:eastAsia="仿宋_GB2312" w:hAnsi="Times New Roman" w:hint="eastAsia"/>
                <w:sz w:val="24"/>
                <w:szCs w:val="24"/>
              </w:rPr>
              <w:t>物流运输高效化</w:t>
            </w:r>
          </w:p>
        </w:tc>
        <w:tc>
          <w:tcPr>
            <w:tcW w:w="1275" w:type="dxa"/>
            <w:vMerge w:val="restart"/>
            <w:vAlign w:val="center"/>
          </w:tcPr>
          <w:p w14:paraId="058BFD0E" w14:textId="23D42593"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物流枢纽布局合理</w:t>
            </w:r>
          </w:p>
        </w:tc>
        <w:tc>
          <w:tcPr>
            <w:tcW w:w="709" w:type="dxa"/>
            <w:vAlign w:val="center"/>
          </w:tcPr>
          <w:p w14:paraId="79149D02" w14:textId="30D396A9"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6677BD5A" w14:textId="5C1DFE79" w:rsidR="00341812" w:rsidRPr="00F7429A" w:rsidRDefault="00341812" w:rsidP="006272F7">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加快《杭州市物流与仓储体系专项规划》重大基础设施项目的落地，依托机场、港口、铁路车站等货物集散枢纽，规划建设</w:t>
            </w:r>
            <w:r w:rsidR="00224EBF" w:rsidRPr="00F83125">
              <w:rPr>
                <w:rFonts w:ascii="仿宋_GB2312" w:eastAsia="仿宋_GB2312" w:hAnsi="Times New Roman" w:hint="eastAsia"/>
                <w:sz w:val="24"/>
                <w:szCs w:val="24"/>
              </w:rPr>
              <w:t>空港物流园区</w:t>
            </w:r>
            <w:r w:rsidR="00224EBF" w:rsidRPr="00F83125">
              <w:rPr>
                <w:rFonts w:ascii="仿宋_GB2312" w:eastAsia="仿宋_GB2312" w:hAnsi="Times New Roman"/>
                <w:sz w:val="24"/>
                <w:szCs w:val="24"/>
              </w:rPr>
              <w:t>、</w:t>
            </w:r>
            <w:r w:rsidR="00224EBF" w:rsidRPr="00F83125">
              <w:rPr>
                <w:rFonts w:ascii="仿宋_GB2312" w:eastAsia="仿宋_GB2312" w:hAnsi="Times New Roman" w:hint="eastAsia"/>
                <w:sz w:val="24"/>
                <w:szCs w:val="24"/>
              </w:rPr>
              <w:t>江东</w:t>
            </w:r>
            <w:r w:rsidR="00224EBF" w:rsidRPr="00F83125">
              <w:rPr>
                <w:rFonts w:ascii="仿宋_GB2312" w:eastAsia="仿宋_GB2312" w:hAnsi="Times New Roman"/>
                <w:sz w:val="24"/>
                <w:szCs w:val="24"/>
              </w:rPr>
              <w:t>物流园区、</w:t>
            </w:r>
            <w:r w:rsidR="00224EBF" w:rsidRPr="00F83125">
              <w:rPr>
                <w:rFonts w:ascii="仿宋_GB2312" w:eastAsia="仿宋_GB2312" w:hAnsi="Times New Roman" w:hint="eastAsia"/>
                <w:sz w:val="24"/>
                <w:szCs w:val="24"/>
              </w:rPr>
              <w:t>萧南</w:t>
            </w:r>
            <w:r w:rsidR="00224EBF" w:rsidRPr="00F83125">
              <w:rPr>
                <w:rFonts w:ascii="仿宋_GB2312" w:eastAsia="仿宋_GB2312" w:hAnsi="Times New Roman"/>
                <w:sz w:val="24"/>
                <w:szCs w:val="24"/>
              </w:rPr>
              <w:t>物流园区、</w:t>
            </w:r>
            <w:r w:rsidR="002879FD" w:rsidRPr="00F83125">
              <w:rPr>
                <w:rFonts w:ascii="仿宋_GB2312" w:eastAsia="仿宋_GB2312" w:hAnsi="Times New Roman" w:hint="eastAsia"/>
                <w:sz w:val="24"/>
                <w:szCs w:val="24"/>
              </w:rPr>
              <w:t>明智</w:t>
            </w:r>
            <w:r w:rsidR="002879FD" w:rsidRPr="00F83125">
              <w:rPr>
                <w:rFonts w:ascii="仿宋_GB2312" w:eastAsia="仿宋_GB2312" w:hAnsi="Times New Roman"/>
                <w:sz w:val="24"/>
                <w:szCs w:val="24"/>
              </w:rPr>
              <w:t>物流中心、</w:t>
            </w:r>
            <w:r w:rsidR="002879FD" w:rsidRPr="00F83125">
              <w:rPr>
                <w:rFonts w:ascii="仿宋_GB2312" w:eastAsia="仿宋_GB2312" w:hAnsi="Times New Roman" w:hint="eastAsia"/>
                <w:sz w:val="24"/>
                <w:szCs w:val="24"/>
              </w:rPr>
              <w:t>星桥</w:t>
            </w:r>
            <w:r w:rsidR="002879FD" w:rsidRPr="00F83125">
              <w:rPr>
                <w:rFonts w:ascii="仿宋_GB2312" w:eastAsia="仿宋_GB2312" w:hAnsi="Times New Roman"/>
                <w:sz w:val="24"/>
                <w:szCs w:val="24"/>
              </w:rPr>
              <w:t>物流中心、</w:t>
            </w:r>
            <w:r w:rsidR="002879FD" w:rsidRPr="00F83125">
              <w:rPr>
                <w:rFonts w:ascii="仿宋_GB2312" w:eastAsia="仿宋_GB2312" w:hAnsi="Times New Roman" w:hint="eastAsia"/>
                <w:sz w:val="24"/>
                <w:szCs w:val="24"/>
              </w:rPr>
              <w:t>下沙</w:t>
            </w:r>
            <w:r w:rsidR="002879FD" w:rsidRPr="00F83125">
              <w:rPr>
                <w:rFonts w:ascii="仿宋_GB2312" w:eastAsia="仿宋_GB2312" w:hAnsi="Times New Roman"/>
                <w:sz w:val="24"/>
                <w:szCs w:val="24"/>
              </w:rPr>
              <w:t>西物流中心、</w:t>
            </w:r>
            <w:r w:rsidR="002879FD" w:rsidRPr="00F83125">
              <w:rPr>
                <w:rFonts w:ascii="仿宋_GB2312" w:eastAsia="仿宋_GB2312" w:hAnsi="Times New Roman" w:hint="eastAsia"/>
                <w:sz w:val="24"/>
                <w:szCs w:val="24"/>
              </w:rPr>
              <w:t>前进</w:t>
            </w:r>
            <w:r w:rsidR="002879FD" w:rsidRPr="00F83125">
              <w:rPr>
                <w:rFonts w:ascii="仿宋_GB2312" w:eastAsia="仿宋_GB2312" w:hAnsi="Times New Roman"/>
                <w:sz w:val="24"/>
                <w:szCs w:val="24"/>
              </w:rPr>
              <w:t>物流中心、</w:t>
            </w:r>
            <w:r w:rsidR="00EB62BD" w:rsidRPr="00F83125">
              <w:rPr>
                <w:rFonts w:ascii="仿宋_GB2312" w:eastAsia="仿宋_GB2312" w:hAnsi="Times New Roman" w:hint="eastAsia"/>
                <w:sz w:val="24"/>
                <w:szCs w:val="24"/>
              </w:rPr>
              <w:t>天万物流中心</w:t>
            </w:r>
            <w:r w:rsidR="00EB62BD" w:rsidRPr="00F83125">
              <w:rPr>
                <w:rFonts w:ascii="仿宋_GB2312" w:eastAsia="仿宋_GB2312" w:hAnsi="Times New Roman"/>
                <w:sz w:val="24"/>
                <w:szCs w:val="24"/>
              </w:rPr>
              <w:t>、</w:t>
            </w:r>
            <w:r w:rsidR="002879FD" w:rsidRPr="00F83125">
              <w:rPr>
                <w:rFonts w:ascii="仿宋_GB2312" w:eastAsia="仿宋_GB2312" w:hAnsi="Times New Roman" w:hint="eastAsia"/>
                <w:sz w:val="24"/>
                <w:szCs w:val="24"/>
              </w:rPr>
              <w:t>仁和</w:t>
            </w:r>
            <w:r w:rsidR="002879FD" w:rsidRPr="00F83125">
              <w:rPr>
                <w:rFonts w:ascii="仿宋_GB2312" w:eastAsia="仿宋_GB2312" w:hAnsi="Times New Roman"/>
                <w:sz w:val="24"/>
                <w:szCs w:val="24"/>
              </w:rPr>
              <w:t>物流中心、</w:t>
            </w:r>
            <w:r w:rsidR="002879FD" w:rsidRPr="00F83125">
              <w:rPr>
                <w:rFonts w:ascii="仿宋_GB2312" w:eastAsia="仿宋_GB2312" w:hAnsi="Times New Roman" w:hint="eastAsia"/>
                <w:sz w:val="24"/>
                <w:szCs w:val="24"/>
              </w:rPr>
              <w:t>崇贤</w:t>
            </w:r>
            <w:r w:rsidR="002879FD" w:rsidRPr="00F83125">
              <w:rPr>
                <w:rFonts w:ascii="仿宋_GB2312" w:eastAsia="仿宋_GB2312" w:hAnsi="Times New Roman"/>
                <w:sz w:val="24"/>
                <w:szCs w:val="24"/>
              </w:rPr>
              <w:t>物流中心、</w:t>
            </w:r>
            <w:r w:rsidR="000737C8" w:rsidRPr="00F83125">
              <w:rPr>
                <w:rFonts w:ascii="仿宋_GB2312" w:eastAsia="仿宋_GB2312" w:hAnsi="Times New Roman" w:hint="eastAsia"/>
                <w:sz w:val="24"/>
                <w:szCs w:val="24"/>
              </w:rPr>
              <w:t>瓶窑物流</w:t>
            </w:r>
            <w:r w:rsidR="000737C8" w:rsidRPr="00F83125">
              <w:rPr>
                <w:rFonts w:ascii="仿宋_GB2312" w:eastAsia="仿宋_GB2312" w:hAnsi="Times New Roman"/>
                <w:sz w:val="24"/>
                <w:szCs w:val="24"/>
              </w:rPr>
              <w:t>中心、</w:t>
            </w:r>
            <w:r w:rsidR="002879FD" w:rsidRPr="00F83125">
              <w:rPr>
                <w:rFonts w:ascii="仿宋_GB2312" w:eastAsia="仿宋_GB2312" w:hAnsi="Times New Roman" w:hint="eastAsia"/>
                <w:sz w:val="24"/>
                <w:szCs w:val="24"/>
              </w:rPr>
              <w:t>青山湖</w:t>
            </w:r>
            <w:r w:rsidR="002879FD" w:rsidRPr="00F83125">
              <w:rPr>
                <w:rFonts w:ascii="仿宋_GB2312" w:eastAsia="仿宋_GB2312" w:hAnsi="Times New Roman"/>
                <w:sz w:val="24"/>
                <w:szCs w:val="24"/>
              </w:rPr>
              <w:t>物流</w:t>
            </w:r>
            <w:r w:rsidR="002879FD" w:rsidRPr="00F83125">
              <w:rPr>
                <w:rFonts w:ascii="仿宋_GB2312" w:eastAsia="仿宋_GB2312" w:hAnsi="Times New Roman" w:hint="eastAsia"/>
                <w:sz w:val="24"/>
                <w:szCs w:val="24"/>
              </w:rPr>
              <w:t>中心</w:t>
            </w:r>
            <w:r w:rsidR="002879FD" w:rsidRPr="00F83125">
              <w:rPr>
                <w:rFonts w:ascii="仿宋_GB2312" w:eastAsia="仿宋_GB2312" w:hAnsi="Times New Roman"/>
                <w:sz w:val="24"/>
                <w:szCs w:val="24"/>
              </w:rPr>
              <w:t>、</w:t>
            </w:r>
            <w:r w:rsidR="002879FD" w:rsidRPr="00F83125">
              <w:rPr>
                <w:rFonts w:ascii="仿宋_GB2312" w:eastAsia="仿宋_GB2312" w:hAnsi="Times New Roman" w:hint="eastAsia"/>
                <w:sz w:val="24"/>
                <w:szCs w:val="24"/>
              </w:rPr>
              <w:t>玲珑</w:t>
            </w:r>
            <w:r w:rsidR="002879FD" w:rsidRPr="00F83125">
              <w:rPr>
                <w:rFonts w:ascii="仿宋_GB2312" w:eastAsia="仿宋_GB2312" w:hAnsi="Times New Roman"/>
                <w:sz w:val="24"/>
                <w:szCs w:val="24"/>
              </w:rPr>
              <w:t>物流中心、</w:t>
            </w:r>
            <w:r w:rsidR="005B259C" w:rsidRPr="00F83125">
              <w:rPr>
                <w:rFonts w:ascii="仿宋_GB2312" w:eastAsia="仿宋_GB2312" w:hAnsi="Times New Roman" w:hint="eastAsia"/>
                <w:sz w:val="24"/>
                <w:szCs w:val="24"/>
              </w:rPr>
              <w:t>富春</w:t>
            </w:r>
            <w:r w:rsidR="005B259C" w:rsidRPr="00F83125">
              <w:rPr>
                <w:rFonts w:ascii="仿宋_GB2312" w:eastAsia="仿宋_GB2312" w:hAnsi="Times New Roman"/>
                <w:sz w:val="24"/>
                <w:szCs w:val="24"/>
              </w:rPr>
              <w:t>物流中心、</w:t>
            </w:r>
            <w:r w:rsidR="002879FD" w:rsidRPr="00F83125">
              <w:rPr>
                <w:rFonts w:ascii="仿宋_GB2312" w:eastAsia="仿宋_GB2312" w:hAnsi="Times New Roman" w:hint="eastAsia"/>
                <w:sz w:val="24"/>
                <w:szCs w:val="24"/>
              </w:rPr>
              <w:t>场口</w:t>
            </w:r>
            <w:r w:rsidR="002879FD" w:rsidRPr="00F83125">
              <w:rPr>
                <w:rFonts w:ascii="仿宋_GB2312" w:eastAsia="仿宋_GB2312" w:hAnsi="Times New Roman"/>
                <w:sz w:val="24"/>
                <w:szCs w:val="24"/>
              </w:rPr>
              <w:t>物流中心</w:t>
            </w:r>
            <w:r w:rsidR="0003764D" w:rsidRPr="00F83125">
              <w:rPr>
                <w:rFonts w:ascii="仿宋_GB2312" w:eastAsia="仿宋_GB2312" w:hAnsi="Times New Roman" w:hint="eastAsia"/>
                <w:sz w:val="24"/>
                <w:szCs w:val="24"/>
              </w:rPr>
              <w:t>等1</w:t>
            </w:r>
            <w:r w:rsidR="006272F7" w:rsidRPr="00F83125">
              <w:rPr>
                <w:rFonts w:ascii="仿宋_GB2312" w:eastAsia="仿宋_GB2312" w:hAnsi="Times New Roman"/>
                <w:sz w:val="24"/>
                <w:szCs w:val="24"/>
              </w:rPr>
              <w:t>5</w:t>
            </w:r>
            <w:r w:rsidR="0003764D" w:rsidRPr="00F83125">
              <w:rPr>
                <w:rFonts w:ascii="仿宋_GB2312" w:eastAsia="仿宋_GB2312" w:hAnsi="Times New Roman" w:hint="eastAsia"/>
                <w:sz w:val="24"/>
                <w:szCs w:val="24"/>
              </w:rPr>
              <w:t>个物流枢纽（含国家、区域、城市三级）</w:t>
            </w:r>
            <w:r w:rsidRPr="00F83125">
              <w:rPr>
                <w:rFonts w:ascii="仿宋_GB2312" w:eastAsia="仿宋_GB2312" w:hAnsi="Times New Roman" w:hint="eastAsia"/>
                <w:sz w:val="24"/>
                <w:szCs w:val="24"/>
              </w:rPr>
              <w:t>，</w:t>
            </w:r>
            <w:r w:rsidRPr="00AD0BEE">
              <w:rPr>
                <w:rFonts w:ascii="仿宋_GB2312" w:eastAsia="仿宋_GB2312" w:hAnsi="Times New Roman" w:hint="eastAsia"/>
                <w:sz w:val="24"/>
                <w:szCs w:val="24"/>
              </w:rPr>
              <w:t>形成干支衔接型、多式联运型物流枢纽布局，积极推动物流企业进驻物流园区或参与区域性物流集散中心建设</w:t>
            </w:r>
            <w:r w:rsidR="00D85020">
              <w:rPr>
                <w:rFonts w:ascii="仿宋_GB2312" w:eastAsia="仿宋_GB2312" w:hAnsi="Times New Roman" w:hint="eastAsia"/>
                <w:sz w:val="24"/>
                <w:szCs w:val="24"/>
              </w:rPr>
              <w:t>。</w:t>
            </w:r>
          </w:p>
        </w:tc>
        <w:tc>
          <w:tcPr>
            <w:tcW w:w="1276" w:type="dxa"/>
            <w:vAlign w:val="center"/>
          </w:tcPr>
          <w:p w14:paraId="37092242" w14:textId="2E1F04B7" w:rsidR="00341812" w:rsidRPr="00AD0BEE" w:rsidRDefault="00D80ACF"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1AA81989" w14:textId="0CFBE83D" w:rsidR="00341812" w:rsidRPr="00F7429A" w:rsidRDefault="00341812" w:rsidP="004A6043">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市发改委、规资局</w:t>
            </w:r>
          </w:p>
        </w:tc>
        <w:tc>
          <w:tcPr>
            <w:tcW w:w="1843" w:type="dxa"/>
            <w:vAlign w:val="center"/>
          </w:tcPr>
          <w:p w14:paraId="3DE86F91" w14:textId="4E51B0C7" w:rsidR="00341812" w:rsidRPr="00F7429A" w:rsidRDefault="00341812" w:rsidP="004A6043">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市交通运输局、公安交警局、商务局</w:t>
            </w:r>
          </w:p>
        </w:tc>
      </w:tr>
      <w:tr w:rsidR="00341812" w:rsidRPr="00412A10" w14:paraId="6BC9131A" w14:textId="77777777" w:rsidTr="00876290">
        <w:trPr>
          <w:trHeight w:val="1079"/>
          <w:jc w:val="center"/>
        </w:trPr>
        <w:tc>
          <w:tcPr>
            <w:tcW w:w="988" w:type="dxa"/>
            <w:vMerge/>
          </w:tcPr>
          <w:p w14:paraId="1E4EC054"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4522843C" w14:textId="55399D27" w:rsidR="00341812" w:rsidRPr="003222EE" w:rsidRDefault="00341812" w:rsidP="003222EE">
            <w:pPr>
              <w:snapToGrid w:val="0"/>
              <w:rPr>
                <w:rFonts w:ascii="仿宋_GB2312" w:eastAsia="仿宋_GB2312" w:hAnsi="Times New Roman"/>
                <w:sz w:val="24"/>
                <w:szCs w:val="24"/>
              </w:rPr>
            </w:pPr>
          </w:p>
        </w:tc>
        <w:tc>
          <w:tcPr>
            <w:tcW w:w="709" w:type="dxa"/>
            <w:vAlign w:val="center"/>
          </w:tcPr>
          <w:p w14:paraId="52E42E89" w14:textId="4047AD68"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5837BC80" w14:textId="2AB9392A" w:rsidR="00341812" w:rsidRPr="00AD0BEE" w:rsidRDefault="00341812" w:rsidP="00CD2DB9">
            <w:pPr>
              <w:snapToGrid w:val="0"/>
              <w:rPr>
                <w:rFonts w:ascii="仿宋_GB2312" w:eastAsia="仿宋_GB2312" w:hAnsi="Times New Roman"/>
                <w:sz w:val="24"/>
                <w:szCs w:val="24"/>
              </w:rPr>
            </w:pPr>
            <w:r w:rsidRPr="00AD0BEE">
              <w:rPr>
                <w:rFonts w:ascii="仿宋_GB2312" w:eastAsia="仿宋_GB2312" w:hAnsi="Times New Roman" w:hint="eastAsia"/>
                <w:sz w:val="24"/>
                <w:szCs w:val="24"/>
              </w:rPr>
              <w:t>积极整合城乡邮政、快递、客运站、货运站等物流服务网络和设施，规划建设承接城市与乡镇物流配送功能的配送节点，其中一级配送节点1</w:t>
            </w:r>
            <w:r w:rsidRPr="00AD0BEE">
              <w:rPr>
                <w:rFonts w:ascii="仿宋_GB2312" w:eastAsia="仿宋_GB2312" w:hAnsi="Times New Roman"/>
                <w:sz w:val="24"/>
                <w:szCs w:val="24"/>
              </w:rPr>
              <w:t>2</w:t>
            </w:r>
            <w:r w:rsidRPr="00AD0BEE">
              <w:rPr>
                <w:rFonts w:ascii="仿宋_GB2312" w:eastAsia="仿宋_GB2312" w:hAnsi="Times New Roman" w:hint="eastAsia"/>
                <w:sz w:val="24"/>
                <w:szCs w:val="24"/>
              </w:rPr>
              <w:t>个、二级配送节点1</w:t>
            </w:r>
            <w:r w:rsidRPr="00AD0BEE">
              <w:rPr>
                <w:rFonts w:ascii="仿宋_GB2312" w:eastAsia="仿宋_GB2312" w:hAnsi="Times New Roman"/>
                <w:sz w:val="24"/>
                <w:szCs w:val="24"/>
              </w:rPr>
              <w:t>5</w:t>
            </w:r>
            <w:r w:rsidRPr="00AD0BEE">
              <w:rPr>
                <w:rFonts w:ascii="仿宋_GB2312" w:eastAsia="仿宋_GB2312" w:hAnsi="Times New Roman" w:hint="eastAsia"/>
                <w:sz w:val="24"/>
                <w:szCs w:val="24"/>
              </w:rPr>
              <w:t>个</w:t>
            </w:r>
            <w:r w:rsidR="00D85020">
              <w:rPr>
                <w:rFonts w:ascii="仿宋_GB2312" w:eastAsia="仿宋_GB2312" w:hAnsi="Times New Roman" w:hint="eastAsia"/>
                <w:sz w:val="24"/>
                <w:szCs w:val="24"/>
              </w:rPr>
              <w:t>。</w:t>
            </w:r>
          </w:p>
        </w:tc>
        <w:tc>
          <w:tcPr>
            <w:tcW w:w="1276" w:type="dxa"/>
            <w:vAlign w:val="center"/>
          </w:tcPr>
          <w:p w14:paraId="25973508" w14:textId="7E3CCE1C" w:rsidR="00341812" w:rsidRPr="00AD0BEE" w:rsidRDefault="00D80ACF"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6D475802" w14:textId="74741D5B" w:rsidR="00341812" w:rsidRPr="00AD0BEE" w:rsidRDefault="00341812" w:rsidP="004A6043">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市邮管局、交通运输局</w:t>
            </w:r>
          </w:p>
        </w:tc>
        <w:tc>
          <w:tcPr>
            <w:tcW w:w="1843" w:type="dxa"/>
            <w:vAlign w:val="center"/>
          </w:tcPr>
          <w:p w14:paraId="650838F0" w14:textId="0A32C088" w:rsidR="00341812" w:rsidRPr="00AD0BEE" w:rsidRDefault="00341812" w:rsidP="004A6043">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市规资局</w:t>
            </w:r>
          </w:p>
        </w:tc>
      </w:tr>
      <w:tr w:rsidR="00341812" w:rsidRPr="00412A10" w14:paraId="59D2BAE5" w14:textId="77777777" w:rsidTr="00876290">
        <w:trPr>
          <w:trHeight w:val="1079"/>
          <w:jc w:val="center"/>
        </w:trPr>
        <w:tc>
          <w:tcPr>
            <w:tcW w:w="988" w:type="dxa"/>
            <w:vMerge/>
          </w:tcPr>
          <w:p w14:paraId="73B48487" w14:textId="77777777" w:rsidR="00341812" w:rsidRPr="003222EE" w:rsidRDefault="00341812" w:rsidP="003222EE">
            <w:pPr>
              <w:snapToGrid w:val="0"/>
              <w:rPr>
                <w:rFonts w:ascii="仿宋_GB2312" w:eastAsia="仿宋_GB2312" w:hAnsi="Times New Roman"/>
                <w:sz w:val="24"/>
                <w:szCs w:val="24"/>
              </w:rPr>
            </w:pPr>
          </w:p>
        </w:tc>
        <w:tc>
          <w:tcPr>
            <w:tcW w:w="1275" w:type="dxa"/>
            <w:vMerge w:val="restart"/>
            <w:vAlign w:val="center"/>
          </w:tcPr>
          <w:p w14:paraId="6C03DC39" w14:textId="38DEA47D" w:rsidR="00341812" w:rsidRPr="003222EE" w:rsidRDefault="00176C33" w:rsidP="003222EE">
            <w:pPr>
              <w:snapToGrid w:val="0"/>
              <w:rPr>
                <w:rFonts w:ascii="仿宋_GB2312" w:eastAsia="仿宋_GB2312" w:hAnsi="Times New Roman"/>
                <w:sz w:val="24"/>
                <w:szCs w:val="24"/>
              </w:rPr>
            </w:pPr>
            <w:r>
              <w:rPr>
                <w:rFonts w:ascii="仿宋_GB2312" w:eastAsia="仿宋_GB2312" w:hAnsi="Times New Roman" w:hint="eastAsia"/>
                <w:sz w:val="24"/>
                <w:szCs w:val="24"/>
              </w:rPr>
              <w:t>货物</w:t>
            </w:r>
            <w:r w:rsidR="00341812" w:rsidRPr="003222EE">
              <w:rPr>
                <w:rFonts w:ascii="仿宋_GB2312" w:eastAsia="仿宋_GB2312" w:hAnsi="Times New Roman" w:hint="eastAsia"/>
                <w:sz w:val="24"/>
                <w:szCs w:val="24"/>
              </w:rPr>
              <w:t>运输结构优化</w:t>
            </w:r>
          </w:p>
        </w:tc>
        <w:tc>
          <w:tcPr>
            <w:tcW w:w="709" w:type="dxa"/>
            <w:vAlign w:val="center"/>
          </w:tcPr>
          <w:p w14:paraId="299C1C40"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6B246406" w14:textId="02B148EB" w:rsidR="00341812" w:rsidRPr="00F7429A" w:rsidRDefault="00341812" w:rsidP="00605F88">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加快过境车船绕行路网建设，</w:t>
            </w:r>
            <w:r w:rsidR="00605F88" w:rsidRPr="00AD0BEE">
              <w:rPr>
                <w:rFonts w:ascii="仿宋_GB2312" w:eastAsia="仿宋_GB2312" w:hAnsi="Times New Roman" w:hint="eastAsia"/>
                <w:sz w:val="24"/>
                <w:szCs w:val="24"/>
              </w:rPr>
              <w:t>加强货运车辆通行证管理，</w:t>
            </w:r>
            <w:r w:rsidRPr="00AD0BEE">
              <w:rPr>
                <w:rFonts w:ascii="仿宋_GB2312" w:eastAsia="仿宋_GB2312" w:hAnsi="Times New Roman" w:hint="eastAsia"/>
                <w:sz w:val="24"/>
                <w:szCs w:val="24"/>
              </w:rPr>
              <w:t>2020年底西复线高速公路全线通车后，引导过境车辆绕行</w:t>
            </w:r>
            <w:r w:rsidR="00D85020">
              <w:rPr>
                <w:rFonts w:ascii="仿宋_GB2312" w:eastAsia="仿宋_GB2312" w:hAnsi="Times New Roman" w:hint="eastAsia"/>
                <w:sz w:val="24"/>
                <w:szCs w:val="24"/>
              </w:rPr>
              <w:t>。</w:t>
            </w:r>
          </w:p>
        </w:tc>
        <w:tc>
          <w:tcPr>
            <w:tcW w:w="1276" w:type="dxa"/>
            <w:vAlign w:val="center"/>
          </w:tcPr>
          <w:p w14:paraId="1CF0D492" w14:textId="49EE5874" w:rsidR="00341812" w:rsidRPr="00AD0BEE" w:rsidRDefault="007069D5" w:rsidP="00D80ACF">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020</w:t>
            </w:r>
            <w:r>
              <w:rPr>
                <w:rFonts w:ascii="仿宋_GB2312" w:eastAsia="仿宋_GB2312" w:hAnsi="Times New Roman" w:hint="eastAsia"/>
                <w:sz w:val="24"/>
                <w:szCs w:val="24"/>
              </w:rPr>
              <w:t>年</w:t>
            </w:r>
            <w:r w:rsidR="00D80ACF">
              <w:rPr>
                <w:rFonts w:ascii="仿宋_GB2312" w:eastAsia="仿宋_GB2312" w:hAnsi="Times New Roman" w:hint="eastAsia"/>
                <w:sz w:val="24"/>
                <w:szCs w:val="24"/>
              </w:rPr>
              <w:t>起</w:t>
            </w:r>
          </w:p>
        </w:tc>
        <w:tc>
          <w:tcPr>
            <w:tcW w:w="1701" w:type="dxa"/>
            <w:vAlign w:val="center"/>
          </w:tcPr>
          <w:p w14:paraId="6E1E3AFB" w14:textId="4DCF18A2" w:rsidR="00341812" w:rsidRPr="00F7429A" w:rsidRDefault="00341812" w:rsidP="004A6043">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市交通运输局、公安交警局</w:t>
            </w:r>
          </w:p>
        </w:tc>
        <w:tc>
          <w:tcPr>
            <w:tcW w:w="1843" w:type="dxa"/>
            <w:vAlign w:val="center"/>
          </w:tcPr>
          <w:p w14:paraId="18C99251" w14:textId="77777777" w:rsidR="00341812" w:rsidRPr="00F7429A" w:rsidRDefault="00341812" w:rsidP="004A6043">
            <w:pPr>
              <w:snapToGrid w:val="0"/>
              <w:rPr>
                <w:rFonts w:ascii="仿宋_GB2312" w:eastAsia="仿宋_GB2312" w:hAnsi="Times New Roman"/>
                <w:sz w:val="24"/>
                <w:szCs w:val="24"/>
              </w:rPr>
            </w:pPr>
          </w:p>
        </w:tc>
      </w:tr>
      <w:tr w:rsidR="00341812" w:rsidRPr="00412A10" w14:paraId="47E62DFD" w14:textId="77777777" w:rsidTr="00876290">
        <w:trPr>
          <w:trHeight w:val="1079"/>
          <w:jc w:val="center"/>
        </w:trPr>
        <w:tc>
          <w:tcPr>
            <w:tcW w:w="988" w:type="dxa"/>
            <w:vMerge/>
          </w:tcPr>
          <w:p w14:paraId="7C40367B"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44F8B531" w14:textId="6F4D1C36" w:rsidR="00341812" w:rsidRPr="003222EE" w:rsidRDefault="00341812" w:rsidP="003222EE">
            <w:pPr>
              <w:snapToGrid w:val="0"/>
              <w:rPr>
                <w:rFonts w:ascii="仿宋_GB2312" w:eastAsia="仿宋_GB2312" w:hAnsi="Times New Roman"/>
                <w:sz w:val="24"/>
                <w:szCs w:val="24"/>
              </w:rPr>
            </w:pPr>
          </w:p>
        </w:tc>
        <w:tc>
          <w:tcPr>
            <w:tcW w:w="709" w:type="dxa"/>
            <w:vAlign w:val="center"/>
          </w:tcPr>
          <w:p w14:paraId="1216C843"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144BF6FD" w14:textId="53844B49" w:rsidR="00341812" w:rsidRPr="00AD0BEE" w:rsidRDefault="00341812" w:rsidP="004D3CE7">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加快运河二通道建设，配套完善货运码头建设，2022年全面通航，提高水路运输比例，大力提升杭州直达上海港货物运输能力；提升运河至钱塘江通过能力，到2022年设计通过能力从目前实际4500万吨/年提升至8000余万吨/年；提升钱塘江中上游水运能力，到2022年设计通过能力从目前1700万吨/年提升至2500万吨/年；提升航道等级，到2022年三级航道里程由33.9公里提升至60.3公里</w:t>
            </w:r>
            <w:r w:rsidR="004D3CE7">
              <w:rPr>
                <w:rFonts w:ascii="仿宋_GB2312" w:eastAsia="仿宋_GB2312" w:hAnsi="Times New Roman" w:hint="eastAsia"/>
                <w:sz w:val="24"/>
                <w:szCs w:val="24"/>
              </w:rPr>
              <w:t>；</w:t>
            </w:r>
            <w:r w:rsidR="004D3CE7" w:rsidRPr="004D3CE7">
              <w:rPr>
                <w:rFonts w:ascii="仿宋_GB2312" w:eastAsia="仿宋_GB2312" w:hAnsi="Times New Roman" w:hint="eastAsia"/>
                <w:sz w:val="24"/>
                <w:szCs w:val="24"/>
              </w:rPr>
              <w:t>协调并推动提升杭州至北仑港水路货物运输能力</w:t>
            </w:r>
            <w:r w:rsidR="004D3CE7">
              <w:rPr>
                <w:rFonts w:ascii="仿宋_GB2312" w:eastAsia="仿宋_GB2312" w:hAnsi="Times New Roman" w:hint="eastAsia"/>
                <w:sz w:val="24"/>
                <w:szCs w:val="24"/>
              </w:rPr>
              <w:t>。</w:t>
            </w:r>
          </w:p>
        </w:tc>
        <w:tc>
          <w:tcPr>
            <w:tcW w:w="1276" w:type="dxa"/>
            <w:vAlign w:val="center"/>
          </w:tcPr>
          <w:p w14:paraId="4ED79CDC" w14:textId="6CDBD93D" w:rsidR="00341812" w:rsidRPr="00AD0BEE" w:rsidRDefault="007069D5"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022</w:t>
            </w:r>
            <w:r>
              <w:rPr>
                <w:rFonts w:ascii="仿宋_GB2312" w:eastAsia="仿宋_GB2312" w:hAnsi="Times New Roman" w:hint="eastAsia"/>
                <w:sz w:val="24"/>
                <w:szCs w:val="24"/>
              </w:rPr>
              <w:t>年</w:t>
            </w:r>
          </w:p>
        </w:tc>
        <w:tc>
          <w:tcPr>
            <w:tcW w:w="1701" w:type="dxa"/>
            <w:vAlign w:val="center"/>
          </w:tcPr>
          <w:p w14:paraId="414F07C0" w14:textId="5E17B716" w:rsidR="00341812" w:rsidRPr="00AD0BEE" w:rsidRDefault="00341812" w:rsidP="004A6043">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市交通运输局</w:t>
            </w:r>
          </w:p>
        </w:tc>
        <w:tc>
          <w:tcPr>
            <w:tcW w:w="1843" w:type="dxa"/>
            <w:vAlign w:val="center"/>
          </w:tcPr>
          <w:p w14:paraId="0FE9214D" w14:textId="77777777" w:rsidR="00341812" w:rsidRPr="00F7429A" w:rsidRDefault="00341812" w:rsidP="004A6043">
            <w:pPr>
              <w:snapToGrid w:val="0"/>
              <w:rPr>
                <w:rFonts w:ascii="仿宋_GB2312" w:eastAsia="仿宋_GB2312" w:hAnsi="Times New Roman"/>
                <w:sz w:val="24"/>
                <w:szCs w:val="24"/>
              </w:rPr>
            </w:pPr>
          </w:p>
        </w:tc>
      </w:tr>
      <w:tr w:rsidR="00341812" w:rsidRPr="00412A10" w14:paraId="6562CB23" w14:textId="77777777" w:rsidTr="00876290">
        <w:trPr>
          <w:trHeight w:val="397"/>
          <w:jc w:val="center"/>
        </w:trPr>
        <w:tc>
          <w:tcPr>
            <w:tcW w:w="988" w:type="dxa"/>
            <w:vMerge/>
          </w:tcPr>
          <w:p w14:paraId="5D17162A"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0F8AA70A" w14:textId="4676F80E" w:rsidR="00341812" w:rsidRPr="003222EE" w:rsidRDefault="00341812" w:rsidP="003222EE">
            <w:pPr>
              <w:snapToGrid w:val="0"/>
              <w:rPr>
                <w:rFonts w:ascii="仿宋_GB2312" w:eastAsia="仿宋_GB2312" w:hAnsi="Times New Roman"/>
                <w:sz w:val="24"/>
                <w:szCs w:val="24"/>
              </w:rPr>
            </w:pPr>
          </w:p>
        </w:tc>
        <w:tc>
          <w:tcPr>
            <w:tcW w:w="709" w:type="dxa"/>
            <w:vAlign w:val="center"/>
          </w:tcPr>
          <w:p w14:paraId="111BC82F"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5536DEA2" w14:textId="72A1B89C" w:rsidR="00341812" w:rsidRPr="00F7429A" w:rsidRDefault="00341812" w:rsidP="00CD2DB9">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发挥杭州北站、白鹿塘等铁路货场作用，推进铁路星桥物流基地建设，谋划研究钱塘新区（大江东）货运专用铁路和公铁水联运物流园区</w:t>
            </w:r>
            <w:r w:rsidR="00D85020">
              <w:rPr>
                <w:rFonts w:ascii="仿宋_GB2312" w:eastAsia="仿宋_GB2312" w:hAnsi="Times New Roman" w:hint="eastAsia"/>
                <w:sz w:val="24"/>
                <w:szCs w:val="24"/>
              </w:rPr>
              <w:t>。</w:t>
            </w:r>
          </w:p>
        </w:tc>
        <w:tc>
          <w:tcPr>
            <w:tcW w:w="1276" w:type="dxa"/>
            <w:vAlign w:val="center"/>
          </w:tcPr>
          <w:p w14:paraId="423628E8" w14:textId="51A199CD" w:rsidR="00341812" w:rsidRPr="00AD0BEE" w:rsidRDefault="00235DAC"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3507C8F0" w14:textId="40A983E8" w:rsidR="00341812" w:rsidRPr="00F7429A" w:rsidRDefault="00341812" w:rsidP="004A6043">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市发改委</w:t>
            </w:r>
          </w:p>
        </w:tc>
        <w:tc>
          <w:tcPr>
            <w:tcW w:w="1843" w:type="dxa"/>
            <w:vAlign w:val="center"/>
          </w:tcPr>
          <w:p w14:paraId="06B48219" w14:textId="77777777" w:rsidR="00341812" w:rsidRPr="00F7429A" w:rsidRDefault="00341812" w:rsidP="004A6043">
            <w:pPr>
              <w:snapToGrid w:val="0"/>
              <w:rPr>
                <w:rFonts w:ascii="仿宋_GB2312" w:eastAsia="仿宋_GB2312" w:hAnsi="Times New Roman"/>
                <w:sz w:val="24"/>
                <w:szCs w:val="24"/>
              </w:rPr>
            </w:pPr>
          </w:p>
        </w:tc>
      </w:tr>
      <w:tr w:rsidR="00341812" w:rsidRPr="00412A10" w14:paraId="2A5290F5" w14:textId="77777777" w:rsidTr="00876290">
        <w:trPr>
          <w:trHeight w:val="792"/>
          <w:jc w:val="center"/>
        </w:trPr>
        <w:tc>
          <w:tcPr>
            <w:tcW w:w="988" w:type="dxa"/>
            <w:vMerge/>
          </w:tcPr>
          <w:p w14:paraId="5512258E"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3EA915A5" w14:textId="59BA245F" w:rsidR="00341812" w:rsidRPr="003222EE" w:rsidRDefault="00341812" w:rsidP="003222EE">
            <w:pPr>
              <w:snapToGrid w:val="0"/>
              <w:rPr>
                <w:rFonts w:ascii="仿宋_GB2312" w:eastAsia="仿宋_GB2312" w:hAnsi="Times New Roman"/>
                <w:sz w:val="24"/>
                <w:szCs w:val="24"/>
              </w:rPr>
            </w:pPr>
          </w:p>
        </w:tc>
        <w:tc>
          <w:tcPr>
            <w:tcW w:w="709" w:type="dxa"/>
            <w:vAlign w:val="center"/>
          </w:tcPr>
          <w:p w14:paraId="0CDC9427"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77B03839" w14:textId="413439D9" w:rsidR="00341812" w:rsidRPr="00AD0BEE" w:rsidRDefault="00341812" w:rsidP="00CD2DB9">
            <w:pPr>
              <w:snapToGrid w:val="0"/>
              <w:rPr>
                <w:rFonts w:ascii="仿宋_GB2312" w:eastAsia="仿宋_GB2312" w:hAnsi="Times New Roman"/>
                <w:sz w:val="24"/>
                <w:szCs w:val="24"/>
              </w:rPr>
            </w:pPr>
            <w:r w:rsidRPr="00AD0BEE">
              <w:rPr>
                <w:rFonts w:ascii="仿宋_GB2312" w:eastAsia="仿宋_GB2312" w:hAnsi="Times New Roman" w:hint="eastAsia"/>
                <w:sz w:val="24"/>
                <w:szCs w:val="24"/>
              </w:rPr>
              <w:t>积极推广跨方式快速换装转运模式，探索推进集装箱多式联运和甩挂运输等运输组织方式，2021年起，新建港区具备装卸集装箱功能</w:t>
            </w:r>
            <w:r w:rsidR="00D85020">
              <w:rPr>
                <w:rFonts w:ascii="仿宋_GB2312" w:eastAsia="仿宋_GB2312" w:hAnsi="Times New Roman" w:hint="eastAsia"/>
                <w:sz w:val="24"/>
                <w:szCs w:val="24"/>
              </w:rPr>
              <w:t>。</w:t>
            </w:r>
          </w:p>
        </w:tc>
        <w:tc>
          <w:tcPr>
            <w:tcW w:w="1276" w:type="dxa"/>
            <w:vAlign w:val="center"/>
          </w:tcPr>
          <w:p w14:paraId="5DE7B909" w14:textId="3F963EEA" w:rsidR="00341812" w:rsidRPr="00AD0BEE" w:rsidRDefault="007069D5"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021</w:t>
            </w:r>
            <w:r>
              <w:rPr>
                <w:rFonts w:ascii="仿宋_GB2312" w:eastAsia="仿宋_GB2312" w:hAnsi="Times New Roman" w:hint="eastAsia"/>
                <w:sz w:val="24"/>
                <w:szCs w:val="24"/>
              </w:rPr>
              <w:t>年</w:t>
            </w:r>
            <w:r w:rsidR="00235DAC">
              <w:rPr>
                <w:rFonts w:ascii="仿宋_GB2312" w:eastAsia="仿宋_GB2312" w:hAnsi="Times New Roman" w:hint="eastAsia"/>
                <w:sz w:val="24"/>
                <w:szCs w:val="24"/>
              </w:rPr>
              <w:t>起</w:t>
            </w:r>
          </w:p>
        </w:tc>
        <w:tc>
          <w:tcPr>
            <w:tcW w:w="1701" w:type="dxa"/>
            <w:vAlign w:val="center"/>
          </w:tcPr>
          <w:p w14:paraId="3E69E861" w14:textId="32CC2D04" w:rsidR="00341812" w:rsidRPr="00AD0BEE" w:rsidRDefault="00341812" w:rsidP="004A6043">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市交通运输局</w:t>
            </w:r>
          </w:p>
        </w:tc>
        <w:tc>
          <w:tcPr>
            <w:tcW w:w="1843" w:type="dxa"/>
            <w:vAlign w:val="center"/>
          </w:tcPr>
          <w:p w14:paraId="0004ACE1" w14:textId="64BC15A0" w:rsidR="00341812" w:rsidRPr="00F7429A" w:rsidRDefault="00341812" w:rsidP="004A6043">
            <w:pPr>
              <w:snapToGrid w:val="0"/>
              <w:rPr>
                <w:rFonts w:ascii="仿宋_GB2312" w:eastAsia="仿宋_GB2312" w:hAnsi="Times New Roman"/>
                <w:sz w:val="24"/>
                <w:szCs w:val="24"/>
              </w:rPr>
            </w:pPr>
            <w:r w:rsidRPr="00AD0BEE">
              <w:rPr>
                <w:rFonts w:ascii="仿宋_GB2312" w:eastAsia="仿宋_GB2312" w:hAnsi="Times New Roman" w:hint="eastAsia"/>
                <w:sz w:val="24"/>
                <w:szCs w:val="24"/>
              </w:rPr>
              <w:t>杭州铁路办事处</w:t>
            </w:r>
          </w:p>
        </w:tc>
      </w:tr>
      <w:tr w:rsidR="00341812" w:rsidRPr="00412A10" w14:paraId="195B3916" w14:textId="77777777" w:rsidTr="00876290">
        <w:trPr>
          <w:trHeight w:val="792"/>
          <w:jc w:val="center"/>
        </w:trPr>
        <w:tc>
          <w:tcPr>
            <w:tcW w:w="988" w:type="dxa"/>
            <w:vMerge/>
          </w:tcPr>
          <w:p w14:paraId="53E7C689" w14:textId="77777777" w:rsidR="00341812" w:rsidRPr="003222EE" w:rsidRDefault="00341812" w:rsidP="003222EE">
            <w:pPr>
              <w:snapToGrid w:val="0"/>
              <w:rPr>
                <w:rFonts w:ascii="仿宋_GB2312" w:eastAsia="仿宋_GB2312" w:hAnsi="Times New Roman"/>
                <w:sz w:val="24"/>
                <w:szCs w:val="24"/>
              </w:rPr>
            </w:pPr>
          </w:p>
        </w:tc>
        <w:tc>
          <w:tcPr>
            <w:tcW w:w="1275" w:type="dxa"/>
            <w:vAlign w:val="center"/>
          </w:tcPr>
          <w:p w14:paraId="70784FE5" w14:textId="07F71C5E"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组织方式集约有效</w:t>
            </w:r>
          </w:p>
        </w:tc>
        <w:tc>
          <w:tcPr>
            <w:tcW w:w="709" w:type="dxa"/>
            <w:vAlign w:val="center"/>
          </w:tcPr>
          <w:p w14:paraId="0EEFCA84"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529DF51C" w14:textId="34D03059" w:rsidR="00341812" w:rsidRPr="00F7429A" w:rsidRDefault="00341812" w:rsidP="009E0FFB">
            <w:pPr>
              <w:snapToGrid w:val="0"/>
              <w:rPr>
                <w:rFonts w:ascii="仿宋_GB2312" w:eastAsia="仿宋_GB2312" w:hAnsi="Times New Roman"/>
                <w:sz w:val="24"/>
                <w:szCs w:val="24"/>
              </w:rPr>
            </w:pPr>
            <w:r w:rsidRPr="00AD0BEE">
              <w:rPr>
                <w:rFonts w:ascii="仿宋_GB2312" w:eastAsia="仿宋_GB2312" w:hAnsi="Times New Roman"/>
                <w:sz w:val="24"/>
                <w:szCs w:val="24"/>
              </w:rPr>
              <w:t>202</w:t>
            </w:r>
            <w:r w:rsidRPr="00AD0BEE">
              <w:rPr>
                <w:rFonts w:ascii="仿宋_GB2312" w:eastAsia="仿宋_GB2312" w:hAnsi="Times New Roman" w:hint="eastAsia"/>
                <w:sz w:val="24"/>
                <w:szCs w:val="24"/>
              </w:rPr>
              <w:t>1</w:t>
            </w:r>
            <w:r w:rsidRPr="00AD0BEE">
              <w:rPr>
                <w:rFonts w:ascii="仿宋_GB2312" w:eastAsia="仿宋_GB2312" w:hAnsi="Times New Roman"/>
                <w:sz w:val="24"/>
                <w:szCs w:val="24"/>
              </w:rPr>
              <w:t>年底前，</w:t>
            </w:r>
            <w:r w:rsidRPr="00AD0BEE">
              <w:rPr>
                <w:rFonts w:ascii="仿宋_GB2312" w:eastAsia="仿宋_GB2312" w:hAnsi="Times New Roman" w:hint="eastAsia"/>
                <w:sz w:val="24"/>
                <w:szCs w:val="24"/>
              </w:rPr>
              <w:t>结合绿色货运配送网络建设，建成</w:t>
            </w:r>
            <w:r w:rsidRPr="00AD0BEE">
              <w:rPr>
                <w:rFonts w:ascii="仿宋_GB2312" w:eastAsia="仿宋_GB2312" w:hAnsi="Times New Roman"/>
                <w:sz w:val="24"/>
                <w:szCs w:val="24"/>
              </w:rPr>
              <w:t>3</w:t>
            </w:r>
            <w:r w:rsidRPr="00AD0BEE">
              <w:rPr>
                <w:rFonts w:ascii="仿宋_GB2312" w:eastAsia="仿宋_GB2312" w:hAnsi="Times New Roman" w:hint="eastAsia"/>
                <w:sz w:val="24"/>
                <w:szCs w:val="24"/>
              </w:rPr>
              <w:t>～</w:t>
            </w:r>
            <w:r w:rsidRPr="00AD0BEE">
              <w:rPr>
                <w:rFonts w:ascii="仿宋_GB2312" w:eastAsia="仿宋_GB2312" w:hAnsi="Times New Roman"/>
                <w:sz w:val="24"/>
                <w:szCs w:val="24"/>
              </w:rPr>
              <w:t>5</w:t>
            </w:r>
            <w:r w:rsidRPr="00AD0BEE">
              <w:rPr>
                <w:rFonts w:ascii="仿宋_GB2312" w:eastAsia="仿宋_GB2312" w:hAnsi="Times New Roman" w:hint="eastAsia"/>
                <w:sz w:val="24"/>
                <w:szCs w:val="24"/>
              </w:rPr>
              <w:t>家城市绿色货运配送示范项目，推动“物流园区+清洁车辆运输”的城市物流配送方式。试点开展共仓共配、多仓共配、多温车配送等共同配送组织形式，鼓励大型连锁零售企业通过集中采购提高统一配送率，推广物流园区配送班车开展城区集中配送、城乡共同配送模式。2021年在大型商超、冷链配送及快递行业中，试点</w:t>
            </w:r>
            <w:r w:rsidR="009E0FFB">
              <w:rPr>
                <w:rFonts w:ascii="仿宋_GB2312" w:eastAsia="仿宋_GB2312" w:hAnsi="Times New Roman" w:hint="eastAsia"/>
                <w:sz w:val="24"/>
                <w:szCs w:val="24"/>
              </w:rPr>
              <w:t>培育</w:t>
            </w:r>
            <w:r w:rsidRPr="00AD0BEE">
              <w:rPr>
                <w:rFonts w:ascii="仿宋_GB2312" w:eastAsia="仿宋_GB2312" w:hAnsi="Times New Roman" w:hint="eastAsia"/>
                <w:sz w:val="24"/>
                <w:szCs w:val="24"/>
              </w:rPr>
              <w:t>2～3家集约配送企业。</w:t>
            </w:r>
          </w:p>
        </w:tc>
        <w:tc>
          <w:tcPr>
            <w:tcW w:w="1276" w:type="dxa"/>
            <w:vAlign w:val="center"/>
          </w:tcPr>
          <w:p w14:paraId="60EC04DC" w14:textId="65FA3D04" w:rsidR="00341812" w:rsidRPr="00AD0BEE" w:rsidRDefault="007069D5" w:rsidP="001E4A23">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021</w:t>
            </w:r>
            <w:r>
              <w:rPr>
                <w:rFonts w:ascii="仿宋_GB2312" w:eastAsia="仿宋_GB2312" w:hAnsi="Times New Roman" w:hint="eastAsia"/>
                <w:sz w:val="24"/>
                <w:szCs w:val="24"/>
              </w:rPr>
              <w:t>年</w:t>
            </w:r>
          </w:p>
        </w:tc>
        <w:tc>
          <w:tcPr>
            <w:tcW w:w="1701" w:type="dxa"/>
            <w:vAlign w:val="center"/>
          </w:tcPr>
          <w:p w14:paraId="10D102D3" w14:textId="1DB26C28" w:rsidR="00341812" w:rsidRPr="00F7429A" w:rsidRDefault="00341812" w:rsidP="004A6043">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市交通运输局、商务局</w:t>
            </w:r>
          </w:p>
        </w:tc>
        <w:tc>
          <w:tcPr>
            <w:tcW w:w="1843" w:type="dxa"/>
            <w:vAlign w:val="center"/>
          </w:tcPr>
          <w:p w14:paraId="3D660F5A" w14:textId="0511939F" w:rsidR="00341812" w:rsidRPr="00F7429A" w:rsidRDefault="00341812" w:rsidP="004A6043">
            <w:pPr>
              <w:snapToGrid w:val="0"/>
              <w:rPr>
                <w:rFonts w:ascii="仿宋_GB2312" w:eastAsia="仿宋_GB2312" w:hAnsi="Times New Roman"/>
                <w:sz w:val="24"/>
                <w:szCs w:val="24"/>
              </w:rPr>
            </w:pPr>
            <w:r w:rsidRPr="00AD0BEE">
              <w:rPr>
                <w:rFonts w:ascii="仿宋_GB2312" w:eastAsia="仿宋_GB2312" w:hAnsi="Times New Roman" w:hint="eastAsia"/>
                <w:sz w:val="24"/>
                <w:szCs w:val="24"/>
              </w:rPr>
              <w:t>市发改委、经信局、建委、邮管局、生态环境局</w:t>
            </w:r>
          </w:p>
        </w:tc>
      </w:tr>
      <w:tr w:rsidR="00341812" w:rsidRPr="00412A10" w14:paraId="7ED14F9A" w14:textId="77777777" w:rsidTr="00876290">
        <w:trPr>
          <w:trHeight w:val="1079"/>
          <w:jc w:val="center"/>
        </w:trPr>
        <w:tc>
          <w:tcPr>
            <w:tcW w:w="988" w:type="dxa"/>
            <w:vMerge w:val="restart"/>
            <w:vAlign w:val="center"/>
          </w:tcPr>
          <w:p w14:paraId="30972105" w14:textId="4E479609" w:rsidR="00341812" w:rsidRPr="003222EE" w:rsidRDefault="00341812" w:rsidP="00341812">
            <w:pPr>
              <w:snapToGrid w:val="0"/>
              <w:jc w:val="center"/>
              <w:rPr>
                <w:rFonts w:ascii="仿宋_GB2312" w:eastAsia="仿宋_GB2312" w:hAnsi="Times New Roman"/>
                <w:sz w:val="24"/>
                <w:szCs w:val="24"/>
              </w:rPr>
            </w:pPr>
            <w:r w:rsidRPr="00341812">
              <w:rPr>
                <w:rFonts w:ascii="仿宋_GB2312" w:eastAsia="仿宋_GB2312" w:hAnsi="Times New Roman" w:hint="eastAsia"/>
                <w:sz w:val="24"/>
                <w:szCs w:val="24"/>
              </w:rPr>
              <w:lastRenderedPageBreak/>
              <w:t>供能设施便利化</w:t>
            </w:r>
          </w:p>
        </w:tc>
        <w:tc>
          <w:tcPr>
            <w:tcW w:w="1275" w:type="dxa"/>
            <w:vMerge w:val="restart"/>
            <w:vAlign w:val="center"/>
          </w:tcPr>
          <w:p w14:paraId="6C296783" w14:textId="2B53BD36"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提升能源供应保障能力</w:t>
            </w:r>
          </w:p>
        </w:tc>
        <w:tc>
          <w:tcPr>
            <w:tcW w:w="709" w:type="dxa"/>
            <w:vAlign w:val="center"/>
          </w:tcPr>
          <w:p w14:paraId="3444D15E"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0B74F0FF" w14:textId="409855EC" w:rsidR="00341812" w:rsidRPr="00F7429A" w:rsidRDefault="00341812" w:rsidP="00CD2DB9">
            <w:pPr>
              <w:snapToGrid w:val="0"/>
              <w:rPr>
                <w:rFonts w:ascii="仿宋_GB2312" w:eastAsia="仿宋_GB2312" w:hAnsi="Times New Roman"/>
                <w:sz w:val="24"/>
                <w:szCs w:val="24"/>
              </w:rPr>
            </w:pPr>
            <w:r w:rsidRPr="00E90E2E">
              <w:rPr>
                <w:rFonts w:ascii="仿宋_GB2312" w:eastAsia="仿宋_GB2312" w:hAnsi="Times New Roman" w:hint="eastAsia"/>
                <w:sz w:val="24"/>
                <w:szCs w:val="24"/>
              </w:rPr>
              <w:t>积极推动长三角供能设施一体化建设，统筹市域</w:t>
            </w:r>
            <w:r w:rsidR="002337B4">
              <w:rPr>
                <w:rFonts w:ascii="仿宋_GB2312" w:eastAsia="仿宋_GB2312" w:hAnsi="Times New Roman" w:hint="eastAsia"/>
                <w:sz w:val="24"/>
                <w:szCs w:val="24"/>
              </w:rPr>
              <w:t>内供能设施布局；结合物流园区和配送中心规划建设，将加油、加气</w:t>
            </w:r>
            <w:r w:rsidRPr="00E90E2E">
              <w:rPr>
                <w:rFonts w:ascii="仿宋_GB2312" w:eastAsia="仿宋_GB2312" w:hAnsi="Times New Roman" w:hint="eastAsia"/>
                <w:sz w:val="24"/>
                <w:szCs w:val="24"/>
              </w:rPr>
              <w:t>和充电等功能于一体的综合供能服务站建设纳入城市基础规划建设内容</w:t>
            </w:r>
            <w:r w:rsidR="00D85020">
              <w:rPr>
                <w:rFonts w:ascii="仿宋_GB2312" w:eastAsia="仿宋_GB2312" w:hAnsi="Times New Roman" w:hint="eastAsia"/>
                <w:sz w:val="24"/>
                <w:szCs w:val="24"/>
              </w:rPr>
              <w:t>。</w:t>
            </w:r>
          </w:p>
        </w:tc>
        <w:tc>
          <w:tcPr>
            <w:tcW w:w="1276" w:type="dxa"/>
            <w:vAlign w:val="center"/>
          </w:tcPr>
          <w:p w14:paraId="049503E1" w14:textId="15FAFD6F" w:rsidR="00341812" w:rsidRPr="00E90E2E" w:rsidRDefault="001E4A23"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204E2966" w14:textId="3E4BFF7C" w:rsidR="00341812" w:rsidRPr="00F7429A" w:rsidRDefault="00341812" w:rsidP="004A6043">
            <w:pPr>
              <w:snapToGrid w:val="0"/>
              <w:rPr>
                <w:rFonts w:ascii="仿宋_GB2312" w:eastAsia="仿宋_GB2312" w:hAnsi="Times New Roman"/>
                <w:sz w:val="24"/>
                <w:szCs w:val="24"/>
              </w:rPr>
            </w:pPr>
            <w:r w:rsidRPr="00E90E2E">
              <w:rPr>
                <w:rFonts w:ascii="仿宋_GB2312" w:eastAsia="仿宋_GB2312" w:hAnsi="Times New Roman" w:hint="eastAsia"/>
                <w:sz w:val="24"/>
                <w:szCs w:val="24"/>
              </w:rPr>
              <w:t>市发改委</w:t>
            </w:r>
          </w:p>
        </w:tc>
        <w:tc>
          <w:tcPr>
            <w:tcW w:w="1843" w:type="dxa"/>
            <w:vAlign w:val="center"/>
          </w:tcPr>
          <w:p w14:paraId="719701D2" w14:textId="3FEE2318" w:rsidR="00341812" w:rsidRPr="00F7429A" w:rsidRDefault="00341812" w:rsidP="004A6043">
            <w:pPr>
              <w:snapToGrid w:val="0"/>
              <w:rPr>
                <w:rFonts w:ascii="仿宋_GB2312" w:eastAsia="仿宋_GB2312" w:hAnsi="Times New Roman"/>
                <w:sz w:val="24"/>
                <w:szCs w:val="24"/>
              </w:rPr>
            </w:pPr>
            <w:r w:rsidRPr="00E90E2E">
              <w:rPr>
                <w:rFonts w:ascii="仿宋_GB2312" w:eastAsia="仿宋_GB2312" w:hAnsi="Times New Roman" w:hint="eastAsia"/>
                <w:sz w:val="24"/>
                <w:szCs w:val="24"/>
              </w:rPr>
              <w:t>市规资局、建委、城管局、商务局、应急管理局、交通运输局、城投集团、国网杭州供电公司</w:t>
            </w:r>
          </w:p>
        </w:tc>
      </w:tr>
      <w:tr w:rsidR="00341812" w:rsidRPr="00412A10" w14:paraId="5969465D" w14:textId="77777777" w:rsidTr="00876290">
        <w:trPr>
          <w:trHeight w:val="1079"/>
          <w:jc w:val="center"/>
        </w:trPr>
        <w:tc>
          <w:tcPr>
            <w:tcW w:w="988" w:type="dxa"/>
            <w:vMerge/>
          </w:tcPr>
          <w:p w14:paraId="4D95F3E9"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554541DA" w14:textId="30DA9BC0" w:rsidR="00341812" w:rsidRPr="003222EE" w:rsidRDefault="00341812" w:rsidP="003222EE">
            <w:pPr>
              <w:snapToGrid w:val="0"/>
              <w:rPr>
                <w:rFonts w:ascii="仿宋_GB2312" w:eastAsia="仿宋_GB2312" w:hAnsi="Times New Roman"/>
                <w:sz w:val="24"/>
                <w:szCs w:val="24"/>
              </w:rPr>
            </w:pPr>
          </w:p>
        </w:tc>
        <w:tc>
          <w:tcPr>
            <w:tcW w:w="709" w:type="dxa"/>
            <w:vAlign w:val="center"/>
          </w:tcPr>
          <w:p w14:paraId="39047C04"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5CFC3703" w14:textId="4103CD72" w:rsidR="00341812" w:rsidRPr="00E90E2E" w:rsidRDefault="00341812" w:rsidP="00CD2DB9">
            <w:pPr>
              <w:snapToGrid w:val="0"/>
              <w:rPr>
                <w:rFonts w:ascii="仿宋_GB2312" w:eastAsia="仿宋_GB2312" w:hAnsi="Times New Roman"/>
                <w:sz w:val="24"/>
                <w:szCs w:val="24"/>
              </w:rPr>
            </w:pPr>
            <w:r w:rsidRPr="00E90E2E">
              <w:rPr>
                <w:rFonts w:ascii="仿宋_GB2312" w:eastAsia="仿宋_GB2312" w:hAnsi="Times New Roman" w:hint="eastAsia"/>
                <w:sz w:val="24"/>
                <w:szCs w:val="24"/>
              </w:rPr>
              <w:t>联合嘉兴共同推进浙江嘉兴（平湖）L</w:t>
            </w:r>
            <w:r w:rsidRPr="00E90E2E">
              <w:rPr>
                <w:rFonts w:ascii="仿宋_GB2312" w:eastAsia="仿宋_GB2312" w:hAnsi="Times New Roman"/>
                <w:sz w:val="24"/>
                <w:szCs w:val="24"/>
              </w:rPr>
              <w:t>NG</w:t>
            </w:r>
            <w:r w:rsidRPr="00E90E2E">
              <w:rPr>
                <w:rFonts w:ascii="仿宋_GB2312" w:eastAsia="仿宋_GB2312" w:hAnsi="Times New Roman" w:hint="eastAsia"/>
                <w:sz w:val="24"/>
                <w:szCs w:val="24"/>
              </w:rPr>
              <w:t>应急调峰储运站项目，加快嘉兴市域天然气管网与杭州市域天然气管网的连接线建设</w:t>
            </w:r>
            <w:r w:rsidR="00D85020">
              <w:rPr>
                <w:rFonts w:ascii="仿宋_GB2312" w:eastAsia="仿宋_GB2312" w:hAnsi="Times New Roman" w:hint="eastAsia"/>
                <w:sz w:val="24"/>
                <w:szCs w:val="24"/>
              </w:rPr>
              <w:t>。</w:t>
            </w:r>
          </w:p>
        </w:tc>
        <w:tc>
          <w:tcPr>
            <w:tcW w:w="1276" w:type="dxa"/>
            <w:vAlign w:val="center"/>
          </w:tcPr>
          <w:p w14:paraId="3701D58D" w14:textId="23871669" w:rsidR="00341812" w:rsidRPr="00E90E2E" w:rsidRDefault="001E4A23"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52D760BB" w14:textId="63C27B52" w:rsidR="00341812" w:rsidRPr="00597709" w:rsidRDefault="00341812" w:rsidP="004A6043">
            <w:pPr>
              <w:snapToGrid w:val="0"/>
              <w:rPr>
                <w:rFonts w:ascii="仿宋_GB2312" w:eastAsia="仿宋_GB2312"/>
                <w:sz w:val="32"/>
                <w:szCs w:val="32"/>
              </w:rPr>
            </w:pPr>
            <w:r w:rsidRPr="00E90E2E">
              <w:rPr>
                <w:rFonts w:ascii="仿宋_GB2312" w:eastAsia="仿宋_GB2312" w:hAnsi="Times New Roman" w:hint="eastAsia"/>
                <w:sz w:val="24"/>
                <w:szCs w:val="24"/>
              </w:rPr>
              <w:t>市发改委、城管局</w:t>
            </w:r>
          </w:p>
        </w:tc>
        <w:tc>
          <w:tcPr>
            <w:tcW w:w="1843" w:type="dxa"/>
            <w:vAlign w:val="center"/>
          </w:tcPr>
          <w:p w14:paraId="2BA6BC54" w14:textId="77777777" w:rsidR="00341812" w:rsidRDefault="00341812" w:rsidP="004A6043">
            <w:pPr>
              <w:snapToGrid w:val="0"/>
              <w:rPr>
                <w:rFonts w:ascii="仿宋_GB2312" w:eastAsia="仿宋_GB2312"/>
                <w:sz w:val="32"/>
                <w:szCs w:val="32"/>
              </w:rPr>
            </w:pPr>
          </w:p>
        </w:tc>
      </w:tr>
      <w:tr w:rsidR="00341812" w:rsidRPr="00412A10" w14:paraId="5B21D228" w14:textId="77777777" w:rsidTr="00876290">
        <w:trPr>
          <w:trHeight w:val="1079"/>
          <w:jc w:val="center"/>
        </w:trPr>
        <w:tc>
          <w:tcPr>
            <w:tcW w:w="988" w:type="dxa"/>
            <w:vMerge/>
          </w:tcPr>
          <w:p w14:paraId="7CE2BAAB" w14:textId="77777777" w:rsidR="00341812" w:rsidRPr="003222EE" w:rsidRDefault="00341812" w:rsidP="003222EE">
            <w:pPr>
              <w:snapToGrid w:val="0"/>
              <w:rPr>
                <w:rFonts w:ascii="仿宋_GB2312" w:eastAsia="仿宋_GB2312" w:hAnsi="Times New Roman"/>
                <w:sz w:val="24"/>
                <w:szCs w:val="24"/>
              </w:rPr>
            </w:pPr>
          </w:p>
        </w:tc>
        <w:tc>
          <w:tcPr>
            <w:tcW w:w="1275" w:type="dxa"/>
            <w:vMerge w:val="restart"/>
            <w:vAlign w:val="center"/>
          </w:tcPr>
          <w:p w14:paraId="0E9183BB" w14:textId="468E9776"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完善充电设施建设</w:t>
            </w:r>
          </w:p>
        </w:tc>
        <w:tc>
          <w:tcPr>
            <w:tcW w:w="709" w:type="dxa"/>
            <w:vAlign w:val="center"/>
          </w:tcPr>
          <w:p w14:paraId="05E4B482"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7F7750C8" w14:textId="49ED621C" w:rsidR="00341812" w:rsidRPr="00F7429A" w:rsidRDefault="00341812" w:rsidP="00CD2DB9">
            <w:pPr>
              <w:snapToGrid w:val="0"/>
              <w:rPr>
                <w:rFonts w:ascii="仿宋_GB2312" w:eastAsia="仿宋_GB2312" w:hAnsi="Times New Roman"/>
                <w:sz w:val="24"/>
                <w:szCs w:val="24"/>
              </w:rPr>
            </w:pPr>
            <w:r w:rsidRPr="00E90E2E">
              <w:rPr>
                <w:rFonts w:ascii="仿宋_GB2312" w:eastAsia="仿宋_GB2312" w:hAnsi="Times New Roman" w:hint="eastAsia"/>
                <w:sz w:val="24"/>
                <w:szCs w:val="24"/>
              </w:rPr>
              <w:t>按照“桩站先行、适度超前”的原则，构建共（自）用充电基础设施为主体、公共充电设施为辅助、充换电站为补充的客、货运车辆充电基础设施体系</w:t>
            </w:r>
            <w:r w:rsidR="00D85020">
              <w:rPr>
                <w:rFonts w:ascii="仿宋_GB2312" w:eastAsia="仿宋_GB2312" w:hAnsi="Times New Roman" w:hint="eastAsia"/>
                <w:sz w:val="24"/>
                <w:szCs w:val="24"/>
              </w:rPr>
              <w:t>。</w:t>
            </w:r>
          </w:p>
        </w:tc>
        <w:tc>
          <w:tcPr>
            <w:tcW w:w="1276" w:type="dxa"/>
            <w:vAlign w:val="center"/>
          </w:tcPr>
          <w:p w14:paraId="769CEC04" w14:textId="3AC4F5F5" w:rsidR="00341812" w:rsidRPr="00E90E2E" w:rsidRDefault="001E4A23"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1F62FD2C" w14:textId="5C6A571D" w:rsidR="00341812" w:rsidRPr="00F7429A" w:rsidRDefault="00341812" w:rsidP="004A6043">
            <w:pPr>
              <w:snapToGrid w:val="0"/>
              <w:rPr>
                <w:rFonts w:ascii="仿宋_GB2312" w:eastAsia="仿宋_GB2312" w:hAnsi="Times New Roman"/>
                <w:sz w:val="24"/>
                <w:szCs w:val="24"/>
              </w:rPr>
            </w:pPr>
            <w:r w:rsidRPr="00E90E2E">
              <w:rPr>
                <w:rFonts w:ascii="仿宋_GB2312" w:eastAsia="仿宋_GB2312" w:hAnsi="Times New Roman" w:hint="eastAsia"/>
                <w:sz w:val="24"/>
                <w:szCs w:val="24"/>
              </w:rPr>
              <w:t>市建委</w:t>
            </w:r>
          </w:p>
        </w:tc>
        <w:tc>
          <w:tcPr>
            <w:tcW w:w="1843" w:type="dxa"/>
            <w:vAlign w:val="center"/>
          </w:tcPr>
          <w:p w14:paraId="339745D8" w14:textId="003FB871" w:rsidR="00341812" w:rsidRPr="00F7429A" w:rsidRDefault="00341812" w:rsidP="004A6043">
            <w:pPr>
              <w:snapToGrid w:val="0"/>
              <w:rPr>
                <w:rFonts w:ascii="仿宋_GB2312" w:eastAsia="仿宋_GB2312" w:hAnsi="Times New Roman"/>
                <w:sz w:val="24"/>
                <w:szCs w:val="24"/>
              </w:rPr>
            </w:pPr>
            <w:r w:rsidRPr="00E90E2E">
              <w:rPr>
                <w:rFonts w:ascii="仿宋_GB2312" w:eastAsia="仿宋_GB2312" w:hAnsi="Times New Roman" w:hint="eastAsia"/>
                <w:sz w:val="24"/>
                <w:szCs w:val="24"/>
              </w:rPr>
              <w:t>市规资局</w:t>
            </w:r>
          </w:p>
        </w:tc>
      </w:tr>
      <w:tr w:rsidR="00341812" w:rsidRPr="00412A10" w14:paraId="0D38EE9F" w14:textId="77777777" w:rsidTr="00876290">
        <w:trPr>
          <w:trHeight w:val="1079"/>
          <w:jc w:val="center"/>
        </w:trPr>
        <w:tc>
          <w:tcPr>
            <w:tcW w:w="988" w:type="dxa"/>
            <w:vMerge/>
          </w:tcPr>
          <w:p w14:paraId="67B6943F"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306A61ED" w14:textId="21201AF3" w:rsidR="00341812" w:rsidRPr="003222EE" w:rsidRDefault="00341812" w:rsidP="003222EE">
            <w:pPr>
              <w:snapToGrid w:val="0"/>
              <w:rPr>
                <w:rFonts w:ascii="仿宋_GB2312" w:eastAsia="仿宋_GB2312" w:hAnsi="Times New Roman"/>
                <w:sz w:val="24"/>
                <w:szCs w:val="24"/>
              </w:rPr>
            </w:pPr>
          </w:p>
        </w:tc>
        <w:tc>
          <w:tcPr>
            <w:tcW w:w="709" w:type="dxa"/>
            <w:vAlign w:val="center"/>
          </w:tcPr>
          <w:p w14:paraId="02F0CBC1"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7C3B8BF3" w14:textId="32D9A1E4" w:rsidR="00341812" w:rsidRPr="00E90E2E" w:rsidRDefault="00341812" w:rsidP="00CD2DB9">
            <w:pPr>
              <w:snapToGrid w:val="0"/>
              <w:rPr>
                <w:rFonts w:ascii="仿宋_GB2312" w:eastAsia="仿宋_GB2312" w:hAnsi="Times New Roman"/>
                <w:sz w:val="24"/>
                <w:szCs w:val="24"/>
              </w:rPr>
            </w:pPr>
            <w:r w:rsidRPr="00E90E2E">
              <w:rPr>
                <w:rFonts w:ascii="仿宋_GB2312" w:eastAsia="仿宋_GB2312" w:hAnsi="Times New Roman" w:hint="eastAsia"/>
                <w:sz w:val="24"/>
                <w:szCs w:val="24"/>
              </w:rPr>
              <w:t>推动具备建设条件的党政机关、公共机构及企事业单位内部停车场配套建设充电基础设施，鼓励向社会公众错峰开放</w:t>
            </w:r>
            <w:r w:rsidR="00D85020">
              <w:rPr>
                <w:rFonts w:ascii="仿宋_GB2312" w:eastAsia="仿宋_GB2312" w:hAnsi="Times New Roman" w:hint="eastAsia"/>
                <w:sz w:val="24"/>
                <w:szCs w:val="24"/>
              </w:rPr>
              <w:t>。</w:t>
            </w:r>
          </w:p>
        </w:tc>
        <w:tc>
          <w:tcPr>
            <w:tcW w:w="1276" w:type="dxa"/>
            <w:vAlign w:val="center"/>
          </w:tcPr>
          <w:p w14:paraId="03B0DA9C" w14:textId="2C6DA72C" w:rsidR="00341812" w:rsidRPr="00E90E2E" w:rsidRDefault="001E4A23"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1374D4BA" w14:textId="7D1758A6" w:rsidR="00341812" w:rsidRPr="00E90E2E" w:rsidRDefault="00341812" w:rsidP="004A6043">
            <w:pPr>
              <w:snapToGrid w:val="0"/>
              <w:rPr>
                <w:rFonts w:ascii="仿宋_GB2312" w:eastAsia="仿宋_GB2312" w:hAnsi="Times New Roman"/>
                <w:sz w:val="24"/>
                <w:szCs w:val="24"/>
              </w:rPr>
            </w:pPr>
            <w:r w:rsidRPr="00E90E2E">
              <w:rPr>
                <w:rFonts w:ascii="仿宋_GB2312" w:eastAsia="仿宋_GB2312" w:hAnsi="Times New Roman" w:hint="eastAsia"/>
                <w:sz w:val="24"/>
                <w:szCs w:val="24"/>
              </w:rPr>
              <w:t>市建委</w:t>
            </w:r>
          </w:p>
        </w:tc>
        <w:tc>
          <w:tcPr>
            <w:tcW w:w="1843" w:type="dxa"/>
            <w:vAlign w:val="center"/>
          </w:tcPr>
          <w:p w14:paraId="0411A955" w14:textId="5A4B7841" w:rsidR="00341812" w:rsidRPr="00E90E2E" w:rsidRDefault="00341812" w:rsidP="004A6043">
            <w:pPr>
              <w:snapToGrid w:val="0"/>
              <w:rPr>
                <w:rFonts w:ascii="仿宋_GB2312" w:eastAsia="仿宋_GB2312" w:hAnsi="Times New Roman"/>
                <w:sz w:val="24"/>
                <w:szCs w:val="24"/>
              </w:rPr>
            </w:pPr>
            <w:r w:rsidRPr="00E90E2E">
              <w:rPr>
                <w:rFonts w:ascii="仿宋_GB2312" w:eastAsia="仿宋_GB2312" w:hAnsi="Times New Roman" w:hint="eastAsia"/>
                <w:sz w:val="24"/>
                <w:szCs w:val="24"/>
              </w:rPr>
              <w:t>市规资局、机关事务管理局、国网杭州供电公司</w:t>
            </w:r>
          </w:p>
        </w:tc>
      </w:tr>
      <w:tr w:rsidR="00341812" w:rsidRPr="00412A10" w14:paraId="2068A2BA" w14:textId="77777777" w:rsidTr="00876290">
        <w:trPr>
          <w:trHeight w:val="1079"/>
          <w:jc w:val="center"/>
        </w:trPr>
        <w:tc>
          <w:tcPr>
            <w:tcW w:w="988" w:type="dxa"/>
            <w:vMerge/>
          </w:tcPr>
          <w:p w14:paraId="6ACCB9D9"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2CF1B4A9" w14:textId="62622906" w:rsidR="00341812" w:rsidRPr="003222EE" w:rsidRDefault="00341812" w:rsidP="003222EE">
            <w:pPr>
              <w:snapToGrid w:val="0"/>
              <w:rPr>
                <w:rFonts w:ascii="仿宋_GB2312" w:eastAsia="仿宋_GB2312" w:hAnsi="Times New Roman"/>
                <w:sz w:val="24"/>
                <w:szCs w:val="24"/>
              </w:rPr>
            </w:pPr>
          </w:p>
        </w:tc>
        <w:tc>
          <w:tcPr>
            <w:tcW w:w="709" w:type="dxa"/>
            <w:vAlign w:val="center"/>
          </w:tcPr>
          <w:p w14:paraId="324047B8"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4FAC88EA" w14:textId="622479DF" w:rsidR="00341812" w:rsidRPr="00E90E2E" w:rsidRDefault="00341812" w:rsidP="00CD2DB9">
            <w:pPr>
              <w:snapToGrid w:val="0"/>
              <w:rPr>
                <w:rFonts w:ascii="仿宋_GB2312" w:eastAsia="仿宋_GB2312" w:hAnsi="Times New Roman"/>
                <w:sz w:val="24"/>
                <w:szCs w:val="24"/>
              </w:rPr>
            </w:pPr>
            <w:r w:rsidRPr="00E90E2E">
              <w:rPr>
                <w:rFonts w:ascii="仿宋_GB2312" w:eastAsia="仿宋_GB2312" w:hAnsi="Times New Roman" w:hint="eastAsia"/>
                <w:sz w:val="24"/>
                <w:szCs w:val="24"/>
              </w:rPr>
              <w:t>2021年起，将已建成小区、大型停车场和物流集散地增容计划纳入电网改造计划，满足充换电设施运营需求</w:t>
            </w:r>
            <w:r w:rsidR="00D85020">
              <w:rPr>
                <w:rFonts w:ascii="仿宋_GB2312" w:eastAsia="仿宋_GB2312" w:hAnsi="Times New Roman" w:hint="eastAsia"/>
                <w:sz w:val="24"/>
                <w:szCs w:val="24"/>
              </w:rPr>
              <w:t>。</w:t>
            </w:r>
          </w:p>
        </w:tc>
        <w:tc>
          <w:tcPr>
            <w:tcW w:w="1276" w:type="dxa"/>
            <w:vAlign w:val="center"/>
          </w:tcPr>
          <w:p w14:paraId="6E3AF9C0" w14:textId="7DFADE0D" w:rsidR="00341812" w:rsidRPr="00E90E2E" w:rsidRDefault="007069D5"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021</w:t>
            </w:r>
            <w:r>
              <w:rPr>
                <w:rFonts w:ascii="仿宋_GB2312" w:eastAsia="仿宋_GB2312" w:hAnsi="Times New Roman" w:hint="eastAsia"/>
                <w:sz w:val="24"/>
                <w:szCs w:val="24"/>
              </w:rPr>
              <w:t>年起</w:t>
            </w:r>
          </w:p>
        </w:tc>
        <w:tc>
          <w:tcPr>
            <w:tcW w:w="1701" w:type="dxa"/>
            <w:vAlign w:val="center"/>
          </w:tcPr>
          <w:p w14:paraId="290D6AD3" w14:textId="32BF415A" w:rsidR="00341812" w:rsidRPr="00E90E2E" w:rsidRDefault="00341812" w:rsidP="004A6043">
            <w:pPr>
              <w:snapToGrid w:val="0"/>
              <w:rPr>
                <w:rFonts w:ascii="仿宋_GB2312" w:eastAsia="仿宋_GB2312" w:hAnsi="Times New Roman"/>
                <w:sz w:val="24"/>
                <w:szCs w:val="24"/>
              </w:rPr>
            </w:pPr>
            <w:r w:rsidRPr="00E90E2E">
              <w:rPr>
                <w:rFonts w:ascii="仿宋_GB2312" w:eastAsia="仿宋_GB2312" w:hAnsi="Times New Roman" w:hint="eastAsia"/>
                <w:sz w:val="24"/>
                <w:szCs w:val="24"/>
              </w:rPr>
              <w:t>市建委、国网杭州供电公司</w:t>
            </w:r>
          </w:p>
        </w:tc>
        <w:tc>
          <w:tcPr>
            <w:tcW w:w="1843" w:type="dxa"/>
            <w:vAlign w:val="center"/>
          </w:tcPr>
          <w:p w14:paraId="02C7F720" w14:textId="77777777" w:rsidR="00341812" w:rsidRPr="00E90E2E" w:rsidRDefault="00341812" w:rsidP="004A6043">
            <w:pPr>
              <w:snapToGrid w:val="0"/>
              <w:rPr>
                <w:rFonts w:ascii="仿宋_GB2312" w:eastAsia="仿宋_GB2312" w:hAnsi="Times New Roman"/>
                <w:sz w:val="24"/>
                <w:szCs w:val="24"/>
              </w:rPr>
            </w:pPr>
          </w:p>
        </w:tc>
      </w:tr>
      <w:tr w:rsidR="00341812" w:rsidRPr="00412A10" w14:paraId="583C74D5" w14:textId="77777777" w:rsidTr="00876290">
        <w:trPr>
          <w:trHeight w:val="256"/>
          <w:jc w:val="center"/>
        </w:trPr>
        <w:tc>
          <w:tcPr>
            <w:tcW w:w="988" w:type="dxa"/>
            <w:vMerge/>
          </w:tcPr>
          <w:p w14:paraId="3E88CC68" w14:textId="77777777" w:rsidR="00341812" w:rsidRPr="003222EE" w:rsidRDefault="00341812" w:rsidP="003222EE">
            <w:pPr>
              <w:snapToGrid w:val="0"/>
              <w:rPr>
                <w:rFonts w:ascii="仿宋_GB2312" w:eastAsia="仿宋_GB2312" w:hAnsi="Times New Roman"/>
                <w:sz w:val="24"/>
                <w:szCs w:val="24"/>
              </w:rPr>
            </w:pPr>
          </w:p>
        </w:tc>
        <w:tc>
          <w:tcPr>
            <w:tcW w:w="1275" w:type="dxa"/>
            <w:vAlign w:val="center"/>
          </w:tcPr>
          <w:p w14:paraId="1C3D87F1" w14:textId="04A958FB" w:rsidR="00341812" w:rsidRPr="003222EE" w:rsidRDefault="002337B4" w:rsidP="003222EE">
            <w:pPr>
              <w:snapToGrid w:val="0"/>
              <w:rPr>
                <w:rFonts w:ascii="仿宋_GB2312" w:eastAsia="仿宋_GB2312" w:hAnsi="Times New Roman"/>
                <w:sz w:val="24"/>
                <w:szCs w:val="24"/>
              </w:rPr>
            </w:pPr>
            <w:r>
              <w:rPr>
                <w:rFonts w:ascii="仿宋_GB2312" w:eastAsia="仿宋_GB2312" w:hAnsi="Times New Roman" w:hint="eastAsia"/>
                <w:sz w:val="24"/>
                <w:szCs w:val="24"/>
              </w:rPr>
              <w:t>强化加气</w:t>
            </w:r>
            <w:r w:rsidR="00341812" w:rsidRPr="003222EE">
              <w:rPr>
                <w:rFonts w:ascii="仿宋_GB2312" w:eastAsia="仿宋_GB2312" w:hAnsi="Times New Roman" w:hint="eastAsia"/>
                <w:sz w:val="24"/>
                <w:szCs w:val="24"/>
              </w:rPr>
              <w:t>设施建设</w:t>
            </w:r>
          </w:p>
        </w:tc>
        <w:tc>
          <w:tcPr>
            <w:tcW w:w="709" w:type="dxa"/>
            <w:vAlign w:val="center"/>
          </w:tcPr>
          <w:p w14:paraId="58991F13"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7F94E371" w14:textId="4D51F503" w:rsidR="00341812" w:rsidRPr="00F7429A" w:rsidRDefault="002337B4" w:rsidP="00CD2DB9">
            <w:pPr>
              <w:snapToGrid w:val="0"/>
              <w:rPr>
                <w:rFonts w:ascii="仿宋_GB2312" w:eastAsia="仿宋_GB2312" w:hAnsi="Times New Roman"/>
                <w:sz w:val="24"/>
                <w:szCs w:val="24"/>
              </w:rPr>
            </w:pPr>
            <w:r>
              <w:rPr>
                <w:rFonts w:ascii="仿宋_GB2312" w:eastAsia="仿宋_GB2312" w:hAnsi="Times New Roman" w:hint="eastAsia"/>
                <w:sz w:val="24"/>
                <w:szCs w:val="24"/>
              </w:rPr>
              <w:t>充分发掘现有加气</w:t>
            </w:r>
            <w:r w:rsidR="00341812" w:rsidRPr="00E90E2E">
              <w:rPr>
                <w:rFonts w:ascii="仿宋_GB2312" w:eastAsia="仿宋_GB2312" w:hAnsi="Times New Roman" w:hint="eastAsia"/>
                <w:sz w:val="24"/>
                <w:szCs w:val="24"/>
              </w:rPr>
              <w:t>站供能保障潜力，支持具备条件的公交配套液化天然气加气场站向社会开放；结合重型LNG</w:t>
            </w:r>
            <w:r>
              <w:rPr>
                <w:rFonts w:ascii="仿宋_GB2312" w:eastAsia="仿宋_GB2312" w:hAnsi="Times New Roman" w:hint="eastAsia"/>
                <w:sz w:val="24"/>
                <w:szCs w:val="24"/>
              </w:rPr>
              <w:t>车辆需求，加强配套加气</w:t>
            </w:r>
            <w:r w:rsidR="00341812" w:rsidRPr="00E90E2E">
              <w:rPr>
                <w:rFonts w:ascii="仿宋_GB2312" w:eastAsia="仿宋_GB2312" w:hAnsi="Times New Roman" w:hint="eastAsia"/>
                <w:sz w:val="24"/>
                <w:szCs w:val="24"/>
              </w:rPr>
              <w:t>站的规划建设；推动大江东产业集聚区L</w:t>
            </w:r>
            <w:r w:rsidR="00341812" w:rsidRPr="00E90E2E">
              <w:rPr>
                <w:rFonts w:ascii="仿宋_GB2312" w:eastAsia="仿宋_GB2312" w:hAnsi="Times New Roman"/>
                <w:sz w:val="24"/>
                <w:szCs w:val="24"/>
              </w:rPr>
              <w:t>NG</w:t>
            </w:r>
            <w:r w:rsidR="00341812" w:rsidRPr="00E90E2E">
              <w:rPr>
                <w:rFonts w:ascii="仿宋_GB2312" w:eastAsia="仿宋_GB2312" w:hAnsi="Times New Roman" w:hint="eastAsia"/>
                <w:sz w:val="24"/>
                <w:szCs w:val="24"/>
              </w:rPr>
              <w:t>综合站、天子岭L</w:t>
            </w:r>
            <w:r w:rsidR="00341812" w:rsidRPr="00E90E2E">
              <w:rPr>
                <w:rFonts w:ascii="仿宋_GB2312" w:eastAsia="仿宋_GB2312" w:hAnsi="Times New Roman"/>
                <w:sz w:val="24"/>
                <w:szCs w:val="24"/>
              </w:rPr>
              <w:t>NG</w:t>
            </w:r>
            <w:r w:rsidR="00341812" w:rsidRPr="00E90E2E">
              <w:rPr>
                <w:rFonts w:ascii="仿宋_GB2312" w:eastAsia="仿宋_GB2312" w:hAnsi="Times New Roman" w:hint="eastAsia"/>
                <w:sz w:val="24"/>
                <w:szCs w:val="24"/>
              </w:rPr>
              <w:t>加气站建设。</w:t>
            </w:r>
            <w:r w:rsidR="009D217A" w:rsidRPr="009D217A">
              <w:rPr>
                <w:rFonts w:ascii="仿宋_GB2312" w:eastAsia="仿宋_GB2312" w:hAnsi="Times New Roman" w:hint="eastAsia"/>
                <w:sz w:val="24"/>
                <w:szCs w:val="24"/>
              </w:rPr>
              <w:t>探索加氢站规</w:t>
            </w:r>
            <w:r w:rsidR="009D217A" w:rsidRPr="009D217A">
              <w:rPr>
                <w:rFonts w:ascii="仿宋_GB2312" w:eastAsia="仿宋_GB2312" w:hAnsi="Times New Roman" w:hint="eastAsia"/>
                <w:sz w:val="24"/>
                <w:szCs w:val="24"/>
              </w:rPr>
              <w:lastRenderedPageBreak/>
              <w:t>划和布局。</w:t>
            </w:r>
          </w:p>
        </w:tc>
        <w:tc>
          <w:tcPr>
            <w:tcW w:w="1276" w:type="dxa"/>
            <w:vAlign w:val="center"/>
          </w:tcPr>
          <w:p w14:paraId="08F53D72" w14:textId="42D302EC" w:rsidR="00341812" w:rsidRPr="00E90E2E" w:rsidRDefault="001E4A23"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lastRenderedPageBreak/>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0DE65D6A" w14:textId="678C35B5" w:rsidR="00341812" w:rsidRPr="00F7429A" w:rsidRDefault="00341812" w:rsidP="004A6043">
            <w:pPr>
              <w:snapToGrid w:val="0"/>
              <w:rPr>
                <w:rFonts w:ascii="仿宋_GB2312" w:eastAsia="仿宋_GB2312" w:hAnsi="Times New Roman"/>
                <w:sz w:val="24"/>
                <w:szCs w:val="24"/>
              </w:rPr>
            </w:pPr>
            <w:r w:rsidRPr="00E90E2E">
              <w:rPr>
                <w:rFonts w:ascii="仿宋_GB2312" w:eastAsia="仿宋_GB2312" w:hAnsi="Times New Roman" w:hint="eastAsia"/>
                <w:sz w:val="24"/>
                <w:szCs w:val="24"/>
              </w:rPr>
              <w:t>市发改委、城管局、规资局、城投集团</w:t>
            </w:r>
          </w:p>
        </w:tc>
        <w:tc>
          <w:tcPr>
            <w:tcW w:w="1843" w:type="dxa"/>
            <w:vAlign w:val="center"/>
          </w:tcPr>
          <w:p w14:paraId="599A6C9F" w14:textId="15805CF7" w:rsidR="00341812" w:rsidRPr="00F7429A" w:rsidRDefault="00341812" w:rsidP="004A6043">
            <w:pPr>
              <w:snapToGrid w:val="0"/>
              <w:rPr>
                <w:rFonts w:ascii="仿宋_GB2312" w:eastAsia="仿宋_GB2312" w:hAnsi="Times New Roman"/>
                <w:sz w:val="24"/>
                <w:szCs w:val="24"/>
              </w:rPr>
            </w:pPr>
            <w:r w:rsidRPr="00E90E2E">
              <w:rPr>
                <w:rFonts w:ascii="仿宋_GB2312" w:eastAsia="仿宋_GB2312" w:hAnsi="Times New Roman" w:hint="eastAsia"/>
                <w:sz w:val="24"/>
                <w:szCs w:val="24"/>
              </w:rPr>
              <w:t>市应急管理局</w:t>
            </w:r>
          </w:p>
        </w:tc>
      </w:tr>
      <w:tr w:rsidR="00341812" w:rsidRPr="00412A10" w14:paraId="071F4CE2" w14:textId="77777777" w:rsidTr="00876290">
        <w:trPr>
          <w:trHeight w:val="1079"/>
          <w:jc w:val="center"/>
        </w:trPr>
        <w:tc>
          <w:tcPr>
            <w:tcW w:w="988" w:type="dxa"/>
            <w:vMerge/>
          </w:tcPr>
          <w:p w14:paraId="7595EB5C" w14:textId="77777777" w:rsidR="00341812" w:rsidRPr="003222EE" w:rsidRDefault="00341812" w:rsidP="003222EE">
            <w:pPr>
              <w:snapToGrid w:val="0"/>
              <w:rPr>
                <w:rFonts w:ascii="仿宋_GB2312" w:eastAsia="仿宋_GB2312" w:hAnsi="Times New Roman"/>
                <w:sz w:val="24"/>
                <w:szCs w:val="24"/>
              </w:rPr>
            </w:pPr>
          </w:p>
        </w:tc>
        <w:tc>
          <w:tcPr>
            <w:tcW w:w="1275" w:type="dxa"/>
            <w:vAlign w:val="center"/>
          </w:tcPr>
          <w:p w14:paraId="5A2B0029" w14:textId="4F1EA81C"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探索智慧服务平台</w:t>
            </w:r>
          </w:p>
        </w:tc>
        <w:tc>
          <w:tcPr>
            <w:tcW w:w="709" w:type="dxa"/>
            <w:vAlign w:val="center"/>
          </w:tcPr>
          <w:p w14:paraId="04EBE317"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3EB21536" w14:textId="6A92F49D" w:rsidR="00341812" w:rsidRPr="00F7429A" w:rsidRDefault="00341812" w:rsidP="00CD2DB9">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充分发挥市场优势，综合推进“互联网+</w:t>
            </w:r>
            <w:r w:rsidR="002337B4">
              <w:rPr>
                <w:rFonts w:ascii="仿宋_GB2312" w:eastAsia="仿宋_GB2312" w:hAnsi="Times New Roman" w:hint="eastAsia"/>
                <w:sz w:val="24"/>
                <w:szCs w:val="24"/>
              </w:rPr>
              <w:t>”建设，研究加气</w:t>
            </w:r>
            <w:r w:rsidRPr="00B1708B">
              <w:rPr>
                <w:rFonts w:ascii="仿宋_GB2312" w:eastAsia="仿宋_GB2312" w:hAnsi="Times New Roman" w:hint="eastAsia"/>
                <w:sz w:val="24"/>
                <w:szCs w:val="24"/>
              </w:rPr>
              <w:t>站、充换电站（桩）等供能设施信息融合机制，探索向公众一图展示，实现便捷、智慧的供能网络体系。强化与交通、旅游、物流等产业充分融合发展，深化和丰富网络体系功能，提供充电导航、状态查询、充电预约、远程运营及维护管理、费用结算等服务，并拓展旅游景点及酒店预约等增值业务, 提升用户体验和运营效率。</w:t>
            </w:r>
          </w:p>
        </w:tc>
        <w:tc>
          <w:tcPr>
            <w:tcW w:w="1276" w:type="dxa"/>
            <w:vAlign w:val="center"/>
          </w:tcPr>
          <w:p w14:paraId="787D7E0F" w14:textId="5EE6A961" w:rsidR="00341812" w:rsidRPr="00B1708B" w:rsidRDefault="001E4A23"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50E49D2C" w14:textId="4342E5FA"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市建委、城管局、城投集团等相关部门单位</w:t>
            </w:r>
          </w:p>
        </w:tc>
        <w:tc>
          <w:tcPr>
            <w:tcW w:w="1843" w:type="dxa"/>
            <w:vAlign w:val="center"/>
          </w:tcPr>
          <w:p w14:paraId="6D6E71AE" w14:textId="0C56D009"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市生态环境局、数字资源局</w:t>
            </w:r>
          </w:p>
        </w:tc>
      </w:tr>
      <w:tr w:rsidR="00341812" w:rsidRPr="00412A10" w14:paraId="1FCB1E20" w14:textId="77777777" w:rsidTr="00876290">
        <w:trPr>
          <w:trHeight w:val="1079"/>
          <w:jc w:val="center"/>
        </w:trPr>
        <w:tc>
          <w:tcPr>
            <w:tcW w:w="988" w:type="dxa"/>
            <w:vMerge w:val="restart"/>
            <w:vAlign w:val="center"/>
          </w:tcPr>
          <w:p w14:paraId="3299505E" w14:textId="3AE444CA" w:rsidR="00341812" w:rsidRPr="003222EE" w:rsidRDefault="00341812" w:rsidP="00341812">
            <w:pPr>
              <w:snapToGrid w:val="0"/>
              <w:jc w:val="center"/>
              <w:rPr>
                <w:rFonts w:ascii="仿宋_GB2312" w:eastAsia="仿宋_GB2312" w:hAnsi="Times New Roman"/>
                <w:sz w:val="24"/>
                <w:szCs w:val="24"/>
              </w:rPr>
            </w:pPr>
            <w:r w:rsidRPr="00341812">
              <w:rPr>
                <w:rFonts w:ascii="仿宋_GB2312" w:eastAsia="仿宋_GB2312" w:hAnsi="Times New Roman" w:hint="eastAsia"/>
                <w:sz w:val="24"/>
                <w:szCs w:val="24"/>
              </w:rPr>
              <w:t>出行方式绿色化</w:t>
            </w:r>
          </w:p>
        </w:tc>
        <w:tc>
          <w:tcPr>
            <w:tcW w:w="1275" w:type="dxa"/>
            <w:vAlign w:val="center"/>
          </w:tcPr>
          <w:p w14:paraId="70E64B4C" w14:textId="622FCB94"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推动城乡公共交通发展</w:t>
            </w:r>
          </w:p>
        </w:tc>
        <w:tc>
          <w:tcPr>
            <w:tcW w:w="709" w:type="dxa"/>
            <w:vAlign w:val="center"/>
          </w:tcPr>
          <w:p w14:paraId="25DE0E87"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4DE39E9D" w14:textId="3B9D8AAE" w:rsidR="00341812" w:rsidRPr="00F7429A" w:rsidRDefault="00341812" w:rsidP="00CD2DB9">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出台新一轮公共交通优先发展实施意见，大力推动城市公共交通建设，加快城乡公交、区域公交一体化发展，加快轨道交通和公交站点建设，提高公共交通通达率；适时研究中心城区段普速铁路城市化改造，推动轨道网、公交网、慢行网三网融合。到2022年基本实现十城区长途客车站、铁路客站、机场、码头客站与地铁或新能源公交车以及公共自行车全面无缝对接。</w:t>
            </w:r>
          </w:p>
        </w:tc>
        <w:tc>
          <w:tcPr>
            <w:tcW w:w="1276" w:type="dxa"/>
            <w:vAlign w:val="center"/>
          </w:tcPr>
          <w:p w14:paraId="7DFAA647" w14:textId="6D910139" w:rsidR="00341812" w:rsidRPr="00B1708B" w:rsidRDefault="007069D5"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022</w:t>
            </w:r>
            <w:r>
              <w:rPr>
                <w:rFonts w:ascii="仿宋_GB2312" w:eastAsia="仿宋_GB2312" w:hAnsi="Times New Roman" w:hint="eastAsia"/>
                <w:sz w:val="24"/>
                <w:szCs w:val="24"/>
              </w:rPr>
              <w:t>年</w:t>
            </w:r>
          </w:p>
        </w:tc>
        <w:tc>
          <w:tcPr>
            <w:tcW w:w="1701" w:type="dxa"/>
            <w:vAlign w:val="center"/>
          </w:tcPr>
          <w:p w14:paraId="3048DE8E" w14:textId="69EE81E9"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市交通运输局、发改委、规资局、城管局</w:t>
            </w:r>
          </w:p>
        </w:tc>
        <w:tc>
          <w:tcPr>
            <w:tcW w:w="1843" w:type="dxa"/>
            <w:vAlign w:val="center"/>
          </w:tcPr>
          <w:p w14:paraId="768EA82D" w14:textId="77777777" w:rsidR="00341812" w:rsidRPr="00F7429A" w:rsidRDefault="00341812" w:rsidP="004A6043">
            <w:pPr>
              <w:snapToGrid w:val="0"/>
              <w:rPr>
                <w:rFonts w:ascii="仿宋_GB2312" w:eastAsia="仿宋_GB2312" w:hAnsi="Times New Roman"/>
                <w:sz w:val="24"/>
                <w:szCs w:val="24"/>
              </w:rPr>
            </w:pPr>
          </w:p>
        </w:tc>
      </w:tr>
      <w:tr w:rsidR="00341812" w:rsidRPr="00412A10" w14:paraId="15710BC2" w14:textId="77777777" w:rsidTr="00876290">
        <w:trPr>
          <w:trHeight w:val="169"/>
          <w:jc w:val="center"/>
        </w:trPr>
        <w:tc>
          <w:tcPr>
            <w:tcW w:w="988" w:type="dxa"/>
            <w:vMerge/>
          </w:tcPr>
          <w:p w14:paraId="0AF16099" w14:textId="77777777" w:rsidR="00341812" w:rsidRPr="003222EE" w:rsidRDefault="00341812" w:rsidP="003222EE">
            <w:pPr>
              <w:snapToGrid w:val="0"/>
              <w:rPr>
                <w:rFonts w:ascii="仿宋_GB2312" w:eastAsia="仿宋_GB2312" w:hAnsi="Times New Roman"/>
                <w:sz w:val="24"/>
                <w:szCs w:val="24"/>
              </w:rPr>
            </w:pPr>
          </w:p>
        </w:tc>
        <w:tc>
          <w:tcPr>
            <w:tcW w:w="1275" w:type="dxa"/>
            <w:vAlign w:val="center"/>
          </w:tcPr>
          <w:p w14:paraId="1612B9A4" w14:textId="5EA1D092"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提高城市公共交通便利度</w:t>
            </w:r>
          </w:p>
        </w:tc>
        <w:tc>
          <w:tcPr>
            <w:tcW w:w="709" w:type="dxa"/>
            <w:vAlign w:val="center"/>
          </w:tcPr>
          <w:p w14:paraId="7A1111D8"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67688245" w14:textId="5B2EAD95" w:rsidR="00341812" w:rsidRPr="00F7429A" w:rsidRDefault="00341812" w:rsidP="009D217A">
            <w:pPr>
              <w:snapToGrid w:val="0"/>
              <w:rPr>
                <w:rFonts w:ascii="仿宋_GB2312" w:eastAsia="仿宋_GB2312" w:hAnsi="Times New Roman"/>
                <w:sz w:val="24"/>
                <w:szCs w:val="24"/>
              </w:rPr>
            </w:pPr>
            <w:r w:rsidRPr="00B1708B">
              <w:rPr>
                <w:rFonts w:ascii="仿宋_GB2312" w:eastAsia="仿宋_GB2312" w:hAnsi="Times New Roman" w:hint="eastAsia"/>
                <w:sz w:val="24"/>
                <w:szCs w:val="24"/>
              </w:rPr>
              <w:t>推进城市交通拥堵综合治理，加强公交路权优先保障；强化公共交通智慧化管理和调度能力，提升公共交通准点率和换乘便捷度；全面提升公共自行车服务功能，积极引导</w:t>
            </w:r>
            <w:r w:rsidR="009D217A">
              <w:rPr>
                <w:rFonts w:ascii="仿宋_GB2312" w:eastAsia="仿宋_GB2312" w:hAnsi="Times New Roman" w:hint="eastAsia"/>
                <w:sz w:val="24"/>
                <w:szCs w:val="24"/>
              </w:rPr>
              <w:t>公众</w:t>
            </w:r>
            <w:r w:rsidRPr="00B1708B">
              <w:rPr>
                <w:rFonts w:ascii="仿宋_GB2312" w:eastAsia="仿宋_GB2312" w:hAnsi="Times New Roman" w:hint="eastAsia"/>
                <w:sz w:val="24"/>
                <w:szCs w:val="24"/>
              </w:rPr>
              <w:t>采用公共交通方式出行。2020年起每年新增扩容公共自行车服务点80个、新增及更新10000辆自行车。到2023年，主城区绿色出行比例达到60%。</w:t>
            </w:r>
          </w:p>
        </w:tc>
        <w:tc>
          <w:tcPr>
            <w:tcW w:w="1276" w:type="dxa"/>
            <w:vAlign w:val="center"/>
          </w:tcPr>
          <w:p w14:paraId="5AE3935A" w14:textId="77777777" w:rsidR="007069D5" w:rsidRDefault="007069D5"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020</w:t>
            </w:r>
            <w:r>
              <w:rPr>
                <w:rFonts w:ascii="仿宋_GB2312" w:eastAsia="仿宋_GB2312" w:hAnsi="Times New Roman" w:hint="eastAsia"/>
                <w:sz w:val="24"/>
                <w:szCs w:val="24"/>
              </w:rPr>
              <w:t>年起；</w:t>
            </w:r>
          </w:p>
          <w:p w14:paraId="41F45C63" w14:textId="27148FF6" w:rsidR="00341812" w:rsidRPr="00B1708B" w:rsidRDefault="007069D5"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2F5A8C06" w14:textId="13C9DB72"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市交通运输局、发改委、城管局、公安交警局</w:t>
            </w:r>
          </w:p>
        </w:tc>
        <w:tc>
          <w:tcPr>
            <w:tcW w:w="1843" w:type="dxa"/>
            <w:vAlign w:val="center"/>
          </w:tcPr>
          <w:p w14:paraId="3FBA9ECB" w14:textId="334A8F20"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市城投集团</w:t>
            </w:r>
          </w:p>
        </w:tc>
      </w:tr>
      <w:tr w:rsidR="00341812" w:rsidRPr="00412A10" w14:paraId="4A1FCAF0" w14:textId="77777777" w:rsidTr="00876290">
        <w:trPr>
          <w:trHeight w:val="256"/>
          <w:jc w:val="center"/>
        </w:trPr>
        <w:tc>
          <w:tcPr>
            <w:tcW w:w="988" w:type="dxa"/>
            <w:vMerge w:val="restart"/>
            <w:vAlign w:val="center"/>
          </w:tcPr>
          <w:p w14:paraId="496A01D5" w14:textId="2C430613" w:rsidR="00341812" w:rsidRPr="003222EE" w:rsidRDefault="00341812" w:rsidP="00341812">
            <w:pPr>
              <w:snapToGrid w:val="0"/>
              <w:jc w:val="center"/>
              <w:rPr>
                <w:rFonts w:ascii="仿宋_GB2312" w:eastAsia="仿宋_GB2312" w:hAnsi="Times New Roman"/>
                <w:sz w:val="24"/>
                <w:szCs w:val="24"/>
              </w:rPr>
            </w:pPr>
            <w:r w:rsidRPr="00341812">
              <w:rPr>
                <w:rFonts w:ascii="仿宋_GB2312" w:eastAsia="仿宋_GB2312" w:hAnsi="Times New Roman" w:hint="eastAsia"/>
                <w:sz w:val="24"/>
                <w:szCs w:val="24"/>
              </w:rPr>
              <w:t>政策措施差异化</w:t>
            </w:r>
          </w:p>
        </w:tc>
        <w:tc>
          <w:tcPr>
            <w:tcW w:w="1275" w:type="dxa"/>
            <w:vMerge w:val="restart"/>
            <w:vAlign w:val="center"/>
          </w:tcPr>
          <w:p w14:paraId="0EACF50F" w14:textId="224CD20F"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鼓励使用清洁化车辆</w:t>
            </w:r>
          </w:p>
        </w:tc>
        <w:tc>
          <w:tcPr>
            <w:tcW w:w="709" w:type="dxa"/>
            <w:vAlign w:val="center"/>
          </w:tcPr>
          <w:p w14:paraId="09361933"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1C420383" w14:textId="7F06C239" w:rsidR="00341812" w:rsidRPr="00F7429A" w:rsidRDefault="00BD7CF4" w:rsidP="002337B4">
            <w:pPr>
              <w:snapToGrid w:val="0"/>
              <w:rPr>
                <w:rFonts w:ascii="仿宋_GB2312" w:eastAsia="仿宋_GB2312" w:hAnsi="Times New Roman"/>
                <w:sz w:val="24"/>
                <w:szCs w:val="24"/>
              </w:rPr>
            </w:pPr>
            <w:r w:rsidRPr="00BD7CF4">
              <w:rPr>
                <w:rFonts w:ascii="仿宋_GB2312" w:eastAsia="仿宋_GB2312" w:hAnsi="Times New Roman" w:hint="eastAsia"/>
                <w:sz w:val="24"/>
                <w:szCs w:val="24"/>
              </w:rPr>
              <w:t>对在本市范围内使用的清洁化车辆，适时出台路权差异化开放、使用环节（充电、加气、停车、购买保险等）优惠、招投标优先、减排补助等综合性激励性政策，并建立绿色积分制度，推动车辆清洁化有序更新</w:t>
            </w:r>
            <w:r>
              <w:rPr>
                <w:rFonts w:ascii="仿宋_GB2312" w:eastAsia="仿宋_GB2312" w:hAnsi="Times New Roman" w:hint="eastAsia"/>
                <w:sz w:val="24"/>
                <w:szCs w:val="24"/>
              </w:rPr>
              <w:t>。</w:t>
            </w:r>
          </w:p>
        </w:tc>
        <w:tc>
          <w:tcPr>
            <w:tcW w:w="1276" w:type="dxa"/>
            <w:vAlign w:val="center"/>
          </w:tcPr>
          <w:p w14:paraId="245F45FB" w14:textId="69667A8D" w:rsidR="00341812" w:rsidRPr="00B1708B" w:rsidRDefault="001E4A23" w:rsidP="007F4B5D">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w:t>
            </w:r>
            <w:r w:rsidR="007F4B5D">
              <w:rPr>
                <w:rFonts w:ascii="仿宋_GB2312" w:eastAsia="仿宋_GB2312" w:hAnsi="Times New Roman"/>
                <w:sz w:val="24"/>
                <w:szCs w:val="24"/>
              </w:rPr>
              <w:t>1</w:t>
            </w:r>
            <w:r>
              <w:rPr>
                <w:rFonts w:ascii="仿宋_GB2312" w:eastAsia="仿宋_GB2312" w:hAnsi="Times New Roman" w:hint="eastAsia"/>
                <w:sz w:val="24"/>
                <w:szCs w:val="24"/>
              </w:rPr>
              <w:t>年</w:t>
            </w:r>
          </w:p>
        </w:tc>
        <w:tc>
          <w:tcPr>
            <w:tcW w:w="1701" w:type="dxa"/>
            <w:vAlign w:val="center"/>
          </w:tcPr>
          <w:p w14:paraId="2B8D81DF" w14:textId="6B6BDF38"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市生态环境局</w:t>
            </w:r>
          </w:p>
        </w:tc>
        <w:tc>
          <w:tcPr>
            <w:tcW w:w="1843" w:type="dxa"/>
            <w:vAlign w:val="center"/>
          </w:tcPr>
          <w:p w14:paraId="6EBC1436" w14:textId="1976DF18"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市公安交警局、交通运输局、经信局、建委、城管局、发改委、</w:t>
            </w:r>
            <w:r w:rsidRPr="00B1708B">
              <w:rPr>
                <w:rFonts w:ascii="仿宋_GB2312" w:eastAsia="仿宋_GB2312" w:hAnsi="Times New Roman" w:hint="eastAsia"/>
                <w:sz w:val="24"/>
                <w:szCs w:val="24"/>
              </w:rPr>
              <w:lastRenderedPageBreak/>
              <w:t>财政局</w:t>
            </w:r>
          </w:p>
        </w:tc>
      </w:tr>
      <w:tr w:rsidR="00341812" w:rsidRPr="00412A10" w14:paraId="3B0D7646" w14:textId="77777777" w:rsidTr="00876290">
        <w:trPr>
          <w:trHeight w:val="1079"/>
          <w:jc w:val="center"/>
        </w:trPr>
        <w:tc>
          <w:tcPr>
            <w:tcW w:w="988" w:type="dxa"/>
            <w:vMerge/>
          </w:tcPr>
          <w:p w14:paraId="47859962"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49F0F3D1" w14:textId="02D52F56" w:rsidR="00341812" w:rsidRPr="003222EE" w:rsidRDefault="00341812" w:rsidP="003222EE">
            <w:pPr>
              <w:snapToGrid w:val="0"/>
              <w:rPr>
                <w:rFonts w:ascii="仿宋_GB2312" w:eastAsia="仿宋_GB2312" w:hAnsi="Times New Roman"/>
                <w:sz w:val="24"/>
                <w:szCs w:val="24"/>
              </w:rPr>
            </w:pPr>
          </w:p>
        </w:tc>
        <w:tc>
          <w:tcPr>
            <w:tcW w:w="709" w:type="dxa"/>
            <w:vAlign w:val="center"/>
          </w:tcPr>
          <w:p w14:paraId="494D1296"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3BC6626E" w14:textId="21339682" w:rsidR="00341812" w:rsidRPr="00B1708B" w:rsidRDefault="00341812" w:rsidP="00CD2DB9">
            <w:pPr>
              <w:snapToGrid w:val="0"/>
              <w:rPr>
                <w:rFonts w:ascii="仿宋_GB2312" w:eastAsia="仿宋_GB2312" w:hAnsi="Times New Roman"/>
                <w:sz w:val="24"/>
                <w:szCs w:val="24"/>
              </w:rPr>
            </w:pPr>
            <w:r w:rsidRPr="00B1708B">
              <w:rPr>
                <w:rFonts w:ascii="仿宋_GB2312" w:eastAsia="仿宋_GB2312" w:hAnsi="Times New Roman" w:hint="eastAsia"/>
                <w:sz w:val="24"/>
                <w:szCs w:val="24"/>
              </w:rPr>
              <w:t>积极融入“信用长三角”平台，配合做好将新能源和清洁能源车辆使用记录良好的运输企业纳入平台，实施区域联合激励政策</w:t>
            </w:r>
            <w:r w:rsidR="00D85020">
              <w:rPr>
                <w:rFonts w:ascii="仿宋_GB2312" w:eastAsia="仿宋_GB2312" w:hAnsi="Times New Roman" w:hint="eastAsia"/>
                <w:sz w:val="24"/>
                <w:szCs w:val="24"/>
              </w:rPr>
              <w:t>。</w:t>
            </w:r>
          </w:p>
        </w:tc>
        <w:tc>
          <w:tcPr>
            <w:tcW w:w="1276" w:type="dxa"/>
            <w:vAlign w:val="center"/>
          </w:tcPr>
          <w:p w14:paraId="566CC6A6" w14:textId="63B48616" w:rsidR="00341812" w:rsidRPr="00B1708B" w:rsidRDefault="00895530"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44BAF711" w14:textId="760C718B" w:rsidR="00341812" w:rsidRPr="00B1708B"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市发改委、生态环境局、交通运输局、公安交警局</w:t>
            </w:r>
          </w:p>
        </w:tc>
        <w:tc>
          <w:tcPr>
            <w:tcW w:w="1843" w:type="dxa"/>
            <w:vAlign w:val="center"/>
          </w:tcPr>
          <w:p w14:paraId="53A53099" w14:textId="77777777" w:rsidR="00341812" w:rsidRDefault="00341812" w:rsidP="004A6043">
            <w:pPr>
              <w:snapToGrid w:val="0"/>
              <w:rPr>
                <w:rFonts w:ascii="仿宋_GB2312" w:eastAsia="仿宋_GB2312"/>
                <w:sz w:val="32"/>
                <w:szCs w:val="32"/>
              </w:rPr>
            </w:pPr>
          </w:p>
        </w:tc>
      </w:tr>
      <w:tr w:rsidR="00341812" w:rsidRPr="00412A10" w14:paraId="5FC8921A" w14:textId="77777777" w:rsidTr="00876290">
        <w:trPr>
          <w:trHeight w:val="1079"/>
          <w:jc w:val="center"/>
        </w:trPr>
        <w:tc>
          <w:tcPr>
            <w:tcW w:w="988" w:type="dxa"/>
            <w:vMerge/>
          </w:tcPr>
          <w:p w14:paraId="7C65912D" w14:textId="77777777" w:rsidR="00341812" w:rsidRPr="003222EE" w:rsidRDefault="00341812" w:rsidP="003222EE">
            <w:pPr>
              <w:snapToGrid w:val="0"/>
              <w:rPr>
                <w:rFonts w:ascii="仿宋_GB2312" w:eastAsia="仿宋_GB2312" w:hAnsi="Times New Roman"/>
                <w:sz w:val="24"/>
                <w:szCs w:val="24"/>
              </w:rPr>
            </w:pPr>
          </w:p>
        </w:tc>
        <w:tc>
          <w:tcPr>
            <w:tcW w:w="1275" w:type="dxa"/>
            <w:vMerge w:val="restart"/>
            <w:vAlign w:val="center"/>
          </w:tcPr>
          <w:p w14:paraId="1371D474" w14:textId="7823440A"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严格高污染车辆使用管理</w:t>
            </w:r>
          </w:p>
        </w:tc>
        <w:tc>
          <w:tcPr>
            <w:tcW w:w="709" w:type="dxa"/>
            <w:vAlign w:val="center"/>
          </w:tcPr>
          <w:p w14:paraId="18D221EE"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10F01F64" w14:textId="29338C9E" w:rsidR="00341812" w:rsidRPr="00F7429A" w:rsidRDefault="00341812" w:rsidP="00CD2DB9">
            <w:pPr>
              <w:snapToGrid w:val="0"/>
              <w:rPr>
                <w:rFonts w:ascii="仿宋_GB2312" w:eastAsia="仿宋_GB2312" w:hAnsi="Times New Roman"/>
                <w:sz w:val="24"/>
                <w:szCs w:val="24"/>
              </w:rPr>
            </w:pPr>
            <w:r w:rsidRPr="00B1708B">
              <w:rPr>
                <w:rFonts w:ascii="仿宋_GB2312" w:eastAsia="仿宋_GB2312" w:hAnsi="Times New Roman" w:hint="eastAsia"/>
                <w:sz w:val="24"/>
                <w:szCs w:val="24"/>
              </w:rPr>
              <w:t>进一步扩大国三柴油货车禁行范围，在主城核心区域试点划定“绿色物流区”，</w:t>
            </w:r>
            <w:r w:rsidR="00A10732">
              <w:rPr>
                <w:rFonts w:ascii="仿宋_GB2312" w:eastAsia="仿宋_GB2312" w:hAnsi="Times New Roman" w:hint="eastAsia"/>
                <w:sz w:val="24"/>
                <w:szCs w:val="24"/>
              </w:rPr>
              <w:t>试点</w:t>
            </w:r>
            <w:r w:rsidRPr="00B1708B">
              <w:rPr>
                <w:rFonts w:ascii="仿宋_GB2312" w:eastAsia="仿宋_GB2312" w:hAnsi="Times New Roman" w:hint="eastAsia"/>
                <w:sz w:val="24"/>
                <w:szCs w:val="24"/>
              </w:rPr>
              <w:t>区域内禁止柴油货车通行</w:t>
            </w:r>
            <w:r w:rsidR="00D85020">
              <w:rPr>
                <w:rFonts w:ascii="仿宋_GB2312" w:eastAsia="仿宋_GB2312" w:hAnsi="Times New Roman" w:hint="eastAsia"/>
                <w:sz w:val="24"/>
                <w:szCs w:val="24"/>
              </w:rPr>
              <w:t>。</w:t>
            </w:r>
          </w:p>
        </w:tc>
        <w:tc>
          <w:tcPr>
            <w:tcW w:w="1276" w:type="dxa"/>
            <w:vAlign w:val="center"/>
          </w:tcPr>
          <w:p w14:paraId="763A56A0" w14:textId="56CA57E0" w:rsidR="00341812" w:rsidRPr="00B1708B" w:rsidRDefault="00895530"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021</w:t>
            </w:r>
            <w:r w:rsidR="00527A6F">
              <w:rPr>
                <w:rFonts w:ascii="仿宋_GB2312" w:eastAsia="仿宋_GB2312" w:hAnsi="Times New Roman" w:hint="eastAsia"/>
                <w:sz w:val="24"/>
                <w:szCs w:val="24"/>
              </w:rPr>
              <w:t>年</w:t>
            </w:r>
          </w:p>
        </w:tc>
        <w:tc>
          <w:tcPr>
            <w:tcW w:w="1701" w:type="dxa"/>
            <w:vAlign w:val="center"/>
          </w:tcPr>
          <w:p w14:paraId="66F0EA1C" w14:textId="260DB08A"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市生态环境局、公安交警局</w:t>
            </w:r>
          </w:p>
        </w:tc>
        <w:tc>
          <w:tcPr>
            <w:tcW w:w="1843" w:type="dxa"/>
            <w:vAlign w:val="center"/>
          </w:tcPr>
          <w:p w14:paraId="43522982" w14:textId="77777777" w:rsidR="00341812" w:rsidRPr="00F7429A" w:rsidRDefault="00341812" w:rsidP="004A6043">
            <w:pPr>
              <w:snapToGrid w:val="0"/>
              <w:rPr>
                <w:rFonts w:ascii="仿宋_GB2312" w:eastAsia="仿宋_GB2312" w:hAnsi="Times New Roman"/>
                <w:sz w:val="24"/>
                <w:szCs w:val="24"/>
              </w:rPr>
            </w:pPr>
          </w:p>
        </w:tc>
      </w:tr>
      <w:tr w:rsidR="00341812" w:rsidRPr="00412A10" w14:paraId="00CD6943" w14:textId="77777777" w:rsidTr="00876290">
        <w:trPr>
          <w:trHeight w:val="1079"/>
          <w:jc w:val="center"/>
        </w:trPr>
        <w:tc>
          <w:tcPr>
            <w:tcW w:w="988" w:type="dxa"/>
            <w:vMerge/>
          </w:tcPr>
          <w:p w14:paraId="383C3BBA"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4F44D5AB" w14:textId="5F7F7870" w:rsidR="00341812" w:rsidRPr="003222EE" w:rsidRDefault="00341812" w:rsidP="003222EE">
            <w:pPr>
              <w:snapToGrid w:val="0"/>
              <w:rPr>
                <w:rFonts w:ascii="仿宋_GB2312" w:eastAsia="仿宋_GB2312" w:hAnsi="Times New Roman"/>
                <w:sz w:val="24"/>
                <w:szCs w:val="24"/>
              </w:rPr>
            </w:pPr>
          </w:p>
        </w:tc>
        <w:tc>
          <w:tcPr>
            <w:tcW w:w="709" w:type="dxa"/>
            <w:vAlign w:val="center"/>
          </w:tcPr>
          <w:p w14:paraId="6AE61875"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1EC5DFFC" w14:textId="51D679ED" w:rsidR="00341812" w:rsidRPr="00B1708B" w:rsidRDefault="00341812" w:rsidP="00CD2DB9">
            <w:pPr>
              <w:snapToGrid w:val="0"/>
              <w:rPr>
                <w:rFonts w:ascii="仿宋_GB2312" w:eastAsia="仿宋_GB2312" w:hAnsi="Times New Roman"/>
                <w:sz w:val="24"/>
                <w:szCs w:val="24"/>
              </w:rPr>
            </w:pPr>
            <w:r w:rsidRPr="00B1708B">
              <w:rPr>
                <w:rFonts w:ascii="仿宋_GB2312" w:eastAsia="仿宋_GB2312" w:hAnsi="Times New Roman" w:hint="eastAsia"/>
                <w:sz w:val="24"/>
                <w:szCs w:val="24"/>
              </w:rPr>
              <w:t>严格柴油车辆准运证、通行证、营运证发放管理</w:t>
            </w:r>
            <w:r w:rsidR="00D85020">
              <w:rPr>
                <w:rFonts w:ascii="仿宋_GB2312" w:eastAsia="仿宋_GB2312" w:hAnsi="Times New Roman" w:hint="eastAsia"/>
                <w:sz w:val="24"/>
                <w:szCs w:val="24"/>
              </w:rPr>
              <w:t>。</w:t>
            </w:r>
          </w:p>
        </w:tc>
        <w:tc>
          <w:tcPr>
            <w:tcW w:w="1276" w:type="dxa"/>
            <w:vAlign w:val="center"/>
          </w:tcPr>
          <w:p w14:paraId="03B0831D" w14:textId="1834813E" w:rsidR="00341812" w:rsidRPr="00B1708B" w:rsidRDefault="006D4AAC"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282E7860" w14:textId="371A36AE" w:rsidR="00341812" w:rsidRPr="00B1708B"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市城管局、公安交警局、交通运输局</w:t>
            </w:r>
          </w:p>
        </w:tc>
        <w:tc>
          <w:tcPr>
            <w:tcW w:w="1843" w:type="dxa"/>
            <w:vAlign w:val="center"/>
          </w:tcPr>
          <w:p w14:paraId="19CCCCB3" w14:textId="39148483"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市建委</w:t>
            </w:r>
          </w:p>
        </w:tc>
      </w:tr>
      <w:tr w:rsidR="00341812" w:rsidRPr="00412A10" w14:paraId="45281A25" w14:textId="77777777" w:rsidTr="00876290">
        <w:trPr>
          <w:trHeight w:val="1079"/>
          <w:jc w:val="center"/>
        </w:trPr>
        <w:tc>
          <w:tcPr>
            <w:tcW w:w="988" w:type="dxa"/>
            <w:vMerge/>
          </w:tcPr>
          <w:p w14:paraId="2673CA1F"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57ED3058" w14:textId="79CC1CA4" w:rsidR="00341812" w:rsidRPr="003222EE" w:rsidRDefault="00341812" w:rsidP="003222EE">
            <w:pPr>
              <w:snapToGrid w:val="0"/>
              <w:rPr>
                <w:rFonts w:ascii="仿宋_GB2312" w:eastAsia="仿宋_GB2312" w:hAnsi="Times New Roman"/>
                <w:sz w:val="24"/>
                <w:szCs w:val="24"/>
              </w:rPr>
            </w:pPr>
          </w:p>
        </w:tc>
        <w:tc>
          <w:tcPr>
            <w:tcW w:w="709" w:type="dxa"/>
            <w:vAlign w:val="center"/>
          </w:tcPr>
          <w:p w14:paraId="3071D84D"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41647D8E" w14:textId="2C10660C" w:rsidR="00341812" w:rsidRPr="00B1708B" w:rsidRDefault="00341812" w:rsidP="00CD2DB9">
            <w:pPr>
              <w:snapToGrid w:val="0"/>
              <w:rPr>
                <w:rFonts w:ascii="仿宋_GB2312" w:eastAsia="仿宋_GB2312" w:hAnsi="Times New Roman"/>
                <w:sz w:val="24"/>
                <w:szCs w:val="24"/>
              </w:rPr>
            </w:pPr>
            <w:r w:rsidRPr="00B1708B">
              <w:rPr>
                <w:rFonts w:ascii="仿宋_GB2312" w:eastAsia="仿宋_GB2312" w:hAnsi="Times New Roman" w:hint="eastAsia"/>
                <w:sz w:val="24"/>
                <w:szCs w:val="24"/>
              </w:rPr>
              <w:t>进一步加大柴油货车超标排放、超载超限等联合执法力度，加强部门数据资源共享，实现老旧车辆污染协同管控</w:t>
            </w:r>
            <w:r w:rsidR="00D85020">
              <w:rPr>
                <w:rFonts w:ascii="仿宋_GB2312" w:eastAsia="仿宋_GB2312" w:hAnsi="Times New Roman" w:hint="eastAsia"/>
                <w:sz w:val="24"/>
                <w:szCs w:val="24"/>
              </w:rPr>
              <w:t>。</w:t>
            </w:r>
          </w:p>
        </w:tc>
        <w:tc>
          <w:tcPr>
            <w:tcW w:w="1276" w:type="dxa"/>
            <w:vAlign w:val="center"/>
          </w:tcPr>
          <w:p w14:paraId="68A57AAB" w14:textId="3D842F03" w:rsidR="00341812" w:rsidRPr="00B1708B" w:rsidRDefault="006D4AAC"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47318568" w14:textId="25A2911B" w:rsidR="00341812" w:rsidRPr="00B1708B"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市公安交警局、生态环境局、交通运输局、城管局</w:t>
            </w:r>
          </w:p>
        </w:tc>
        <w:tc>
          <w:tcPr>
            <w:tcW w:w="1843" w:type="dxa"/>
            <w:vAlign w:val="center"/>
          </w:tcPr>
          <w:p w14:paraId="51D7B1EF" w14:textId="77777777" w:rsidR="00341812" w:rsidRPr="00B1708B" w:rsidRDefault="00341812" w:rsidP="004A6043">
            <w:pPr>
              <w:snapToGrid w:val="0"/>
              <w:rPr>
                <w:rFonts w:ascii="仿宋_GB2312" w:eastAsia="仿宋_GB2312" w:hAnsi="Times New Roman"/>
                <w:sz w:val="24"/>
                <w:szCs w:val="24"/>
              </w:rPr>
            </w:pPr>
          </w:p>
        </w:tc>
      </w:tr>
      <w:tr w:rsidR="00341812" w:rsidRPr="00412A10" w14:paraId="1361AFFC" w14:textId="77777777" w:rsidTr="00876290">
        <w:trPr>
          <w:trHeight w:val="1079"/>
          <w:jc w:val="center"/>
        </w:trPr>
        <w:tc>
          <w:tcPr>
            <w:tcW w:w="988" w:type="dxa"/>
            <w:vMerge/>
          </w:tcPr>
          <w:p w14:paraId="6B7CBDAF"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35D1633B" w14:textId="431DDB8E" w:rsidR="00341812" w:rsidRPr="003222EE" w:rsidRDefault="00341812" w:rsidP="003222EE">
            <w:pPr>
              <w:snapToGrid w:val="0"/>
              <w:rPr>
                <w:rFonts w:ascii="仿宋_GB2312" w:eastAsia="仿宋_GB2312" w:hAnsi="Times New Roman"/>
                <w:sz w:val="24"/>
                <w:szCs w:val="24"/>
              </w:rPr>
            </w:pPr>
          </w:p>
        </w:tc>
        <w:tc>
          <w:tcPr>
            <w:tcW w:w="709" w:type="dxa"/>
            <w:vAlign w:val="center"/>
          </w:tcPr>
          <w:p w14:paraId="4C1C5432"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3CD890BF" w14:textId="0C2791E2" w:rsidR="00341812" w:rsidRPr="00B1708B" w:rsidRDefault="00341812" w:rsidP="00CD2DB9">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加强重型柴油车、燃气车和增程式混动车排放情况的在线远程监控，对能实现排放情况稳定在线传输的车辆实行免予上线检测</w:t>
            </w:r>
            <w:r w:rsidR="00D85020">
              <w:rPr>
                <w:rFonts w:ascii="仿宋_GB2312" w:eastAsia="仿宋_GB2312" w:hAnsi="Times New Roman" w:hint="eastAsia"/>
                <w:sz w:val="24"/>
                <w:szCs w:val="24"/>
              </w:rPr>
              <w:t>。</w:t>
            </w:r>
          </w:p>
        </w:tc>
        <w:tc>
          <w:tcPr>
            <w:tcW w:w="1276" w:type="dxa"/>
            <w:vAlign w:val="center"/>
          </w:tcPr>
          <w:p w14:paraId="0CEEE233" w14:textId="5B47D076" w:rsidR="00341812" w:rsidRPr="00B1708B" w:rsidRDefault="006D4AAC"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5B35BFB5" w14:textId="2F5FE55D" w:rsidR="00341812" w:rsidRPr="00B1708B"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市生态环境局</w:t>
            </w:r>
          </w:p>
        </w:tc>
        <w:tc>
          <w:tcPr>
            <w:tcW w:w="1843" w:type="dxa"/>
            <w:vAlign w:val="center"/>
          </w:tcPr>
          <w:p w14:paraId="3808782B" w14:textId="77777777" w:rsidR="00341812" w:rsidRPr="00B1708B" w:rsidRDefault="00341812" w:rsidP="004A6043">
            <w:pPr>
              <w:snapToGrid w:val="0"/>
              <w:rPr>
                <w:rFonts w:ascii="仿宋_GB2312" w:eastAsia="仿宋_GB2312" w:hAnsi="Times New Roman"/>
                <w:sz w:val="24"/>
                <w:szCs w:val="24"/>
              </w:rPr>
            </w:pPr>
          </w:p>
        </w:tc>
      </w:tr>
      <w:tr w:rsidR="00341812" w:rsidRPr="00412A10" w14:paraId="682AA010" w14:textId="77777777" w:rsidTr="00876290">
        <w:trPr>
          <w:trHeight w:val="1079"/>
          <w:jc w:val="center"/>
        </w:trPr>
        <w:tc>
          <w:tcPr>
            <w:tcW w:w="988" w:type="dxa"/>
            <w:vMerge/>
          </w:tcPr>
          <w:p w14:paraId="49FDC22E" w14:textId="77777777" w:rsidR="00341812" w:rsidRPr="003222EE" w:rsidRDefault="00341812" w:rsidP="003222EE">
            <w:pPr>
              <w:snapToGrid w:val="0"/>
              <w:rPr>
                <w:rFonts w:ascii="仿宋_GB2312" w:eastAsia="仿宋_GB2312" w:hAnsi="Times New Roman"/>
                <w:sz w:val="24"/>
                <w:szCs w:val="24"/>
              </w:rPr>
            </w:pPr>
          </w:p>
        </w:tc>
        <w:tc>
          <w:tcPr>
            <w:tcW w:w="1275" w:type="dxa"/>
            <w:vMerge/>
            <w:vAlign w:val="center"/>
          </w:tcPr>
          <w:p w14:paraId="2038996B" w14:textId="2B85E061" w:rsidR="00341812" w:rsidRPr="003222EE" w:rsidRDefault="00341812" w:rsidP="003222EE">
            <w:pPr>
              <w:snapToGrid w:val="0"/>
              <w:rPr>
                <w:rFonts w:ascii="仿宋_GB2312" w:eastAsia="仿宋_GB2312" w:hAnsi="Times New Roman"/>
                <w:sz w:val="24"/>
                <w:szCs w:val="24"/>
              </w:rPr>
            </w:pPr>
          </w:p>
        </w:tc>
        <w:tc>
          <w:tcPr>
            <w:tcW w:w="709" w:type="dxa"/>
            <w:vAlign w:val="center"/>
          </w:tcPr>
          <w:p w14:paraId="4FCE3802"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3662504C" w14:textId="1D8E1ECE" w:rsidR="00341812" w:rsidRPr="00B1708B" w:rsidRDefault="00341812" w:rsidP="00BD7CF4">
            <w:pPr>
              <w:snapToGrid w:val="0"/>
              <w:rPr>
                <w:rFonts w:ascii="仿宋_GB2312" w:eastAsia="仿宋_GB2312" w:hAnsi="Times New Roman"/>
                <w:sz w:val="24"/>
                <w:szCs w:val="24"/>
              </w:rPr>
            </w:pPr>
            <w:r w:rsidRPr="00B1708B">
              <w:rPr>
                <w:rFonts w:ascii="仿宋_GB2312" w:eastAsia="仿宋_GB2312" w:hAnsi="Times New Roman" w:hint="eastAsia"/>
                <w:sz w:val="24"/>
                <w:szCs w:val="24"/>
              </w:rPr>
              <w:t>积极落实污染天气运输车辆管</w:t>
            </w:r>
            <w:r w:rsidR="00BD7CF4">
              <w:rPr>
                <w:rFonts w:ascii="仿宋_GB2312" w:eastAsia="仿宋_GB2312" w:hAnsi="Times New Roman" w:hint="eastAsia"/>
                <w:sz w:val="24"/>
                <w:szCs w:val="24"/>
              </w:rPr>
              <w:t>理</w:t>
            </w:r>
            <w:r w:rsidRPr="00B1708B">
              <w:rPr>
                <w:rFonts w:ascii="仿宋_GB2312" w:eastAsia="仿宋_GB2312" w:hAnsi="Times New Roman" w:hint="eastAsia"/>
                <w:sz w:val="24"/>
                <w:szCs w:val="24"/>
              </w:rPr>
              <w:t>措施</w:t>
            </w:r>
            <w:r w:rsidR="00D85020">
              <w:rPr>
                <w:rFonts w:ascii="仿宋_GB2312" w:eastAsia="仿宋_GB2312" w:hAnsi="Times New Roman" w:hint="eastAsia"/>
                <w:sz w:val="24"/>
                <w:szCs w:val="24"/>
              </w:rPr>
              <w:t>。</w:t>
            </w:r>
          </w:p>
        </w:tc>
        <w:tc>
          <w:tcPr>
            <w:tcW w:w="1276" w:type="dxa"/>
            <w:vAlign w:val="center"/>
          </w:tcPr>
          <w:p w14:paraId="1C349C25" w14:textId="5F951014" w:rsidR="00341812" w:rsidRPr="00B1708B" w:rsidRDefault="006D4AAC"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74AF56D0" w14:textId="436887F5" w:rsidR="00341812" w:rsidRPr="00B1708B"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市生态环境局</w:t>
            </w:r>
          </w:p>
        </w:tc>
        <w:tc>
          <w:tcPr>
            <w:tcW w:w="1843" w:type="dxa"/>
            <w:vAlign w:val="center"/>
          </w:tcPr>
          <w:p w14:paraId="05A2564A" w14:textId="0EECC2DE" w:rsidR="00341812" w:rsidRPr="00B1708B"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市交通运输局</w:t>
            </w:r>
          </w:p>
        </w:tc>
      </w:tr>
      <w:tr w:rsidR="00341812" w:rsidRPr="00412A10" w14:paraId="610135A9" w14:textId="77777777" w:rsidTr="00876290">
        <w:trPr>
          <w:trHeight w:val="1079"/>
          <w:jc w:val="center"/>
        </w:trPr>
        <w:tc>
          <w:tcPr>
            <w:tcW w:w="988" w:type="dxa"/>
            <w:vMerge w:val="restart"/>
            <w:vAlign w:val="center"/>
          </w:tcPr>
          <w:p w14:paraId="1EF3859A" w14:textId="69D7AC0D" w:rsidR="00341812" w:rsidRPr="003222EE" w:rsidRDefault="00341812" w:rsidP="00341812">
            <w:pPr>
              <w:snapToGrid w:val="0"/>
              <w:jc w:val="center"/>
              <w:rPr>
                <w:rFonts w:ascii="仿宋_GB2312" w:eastAsia="仿宋_GB2312" w:hAnsi="Times New Roman"/>
                <w:sz w:val="24"/>
                <w:szCs w:val="24"/>
              </w:rPr>
            </w:pPr>
            <w:r w:rsidRPr="00341812">
              <w:rPr>
                <w:rFonts w:ascii="仿宋_GB2312" w:eastAsia="仿宋_GB2312" w:hAnsi="Times New Roman" w:hint="eastAsia"/>
                <w:sz w:val="24"/>
                <w:szCs w:val="24"/>
              </w:rPr>
              <w:lastRenderedPageBreak/>
              <w:t>产业发展多元化</w:t>
            </w:r>
          </w:p>
        </w:tc>
        <w:tc>
          <w:tcPr>
            <w:tcW w:w="1275" w:type="dxa"/>
            <w:vAlign w:val="center"/>
          </w:tcPr>
          <w:p w14:paraId="29B08C1E" w14:textId="11F05AD9"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推动高端汽车制造产业发展</w:t>
            </w:r>
          </w:p>
        </w:tc>
        <w:tc>
          <w:tcPr>
            <w:tcW w:w="709" w:type="dxa"/>
            <w:vAlign w:val="center"/>
          </w:tcPr>
          <w:p w14:paraId="58F6FC6E"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74FC169D" w14:textId="581E3DFE" w:rsidR="00341812" w:rsidRPr="00F7429A" w:rsidRDefault="00341812" w:rsidP="00CD2DB9">
            <w:pPr>
              <w:snapToGrid w:val="0"/>
              <w:rPr>
                <w:rFonts w:ascii="仿宋_GB2312" w:eastAsia="仿宋_GB2312" w:hAnsi="Times New Roman"/>
                <w:sz w:val="24"/>
                <w:szCs w:val="24"/>
              </w:rPr>
            </w:pPr>
            <w:r w:rsidRPr="00B1708B">
              <w:rPr>
                <w:rFonts w:ascii="仿宋_GB2312" w:eastAsia="仿宋_GB2312" w:hAnsi="Times New Roman" w:hint="eastAsia"/>
                <w:sz w:val="24"/>
                <w:szCs w:val="24"/>
              </w:rPr>
              <w:t>研究制定新能源汽车产业发展“十四五”规划；积极扶持重大技术研发及产业项目，培育一批“杭产”新能源汽车龙头企业；依托在杭企业和科研院所研发能力，构建“智能+网联+车”的产业生态；打造亚运绿色公交智能驾驶示范区，开展智能网联汽车智能驾驶应用；</w:t>
            </w:r>
            <w:r w:rsidRPr="00B1708B">
              <w:rPr>
                <w:rFonts w:ascii="仿宋_GB2312" w:eastAsia="仿宋_GB2312" w:hAnsi="Times New Roman"/>
                <w:sz w:val="24"/>
                <w:szCs w:val="24"/>
              </w:rPr>
              <w:t>到20</w:t>
            </w:r>
            <w:r w:rsidRPr="00B1708B">
              <w:rPr>
                <w:rFonts w:ascii="仿宋_GB2312" w:eastAsia="仿宋_GB2312" w:hAnsi="Times New Roman" w:hint="eastAsia"/>
                <w:sz w:val="24"/>
                <w:szCs w:val="24"/>
              </w:rPr>
              <w:t>23</w:t>
            </w:r>
            <w:r w:rsidRPr="00B1708B">
              <w:rPr>
                <w:rFonts w:ascii="仿宋_GB2312" w:eastAsia="仿宋_GB2312" w:hAnsi="Times New Roman"/>
                <w:sz w:val="24"/>
                <w:szCs w:val="24"/>
              </w:rPr>
              <w:t>年，新能源</w:t>
            </w:r>
            <w:r w:rsidRPr="00B1708B">
              <w:rPr>
                <w:rFonts w:ascii="仿宋_GB2312" w:eastAsia="仿宋_GB2312" w:hAnsi="Times New Roman" w:hint="eastAsia"/>
                <w:sz w:val="24"/>
                <w:szCs w:val="24"/>
              </w:rPr>
              <w:t>和清洁能源</w:t>
            </w:r>
            <w:r w:rsidRPr="00B1708B">
              <w:rPr>
                <w:rFonts w:ascii="仿宋_GB2312" w:eastAsia="仿宋_GB2312" w:hAnsi="Times New Roman"/>
                <w:sz w:val="24"/>
                <w:szCs w:val="24"/>
              </w:rPr>
              <w:t>汽车整车累计产销量达到</w:t>
            </w:r>
            <w:r w:rsidRPr="00B1708B">
              <w:rPr>
                <w:rFonts w:ascii="仿宋_GB2312" w:eastAsia="仿宋_GB2312" w:hAnsi="Times New Roman" w:hint="eastAsia"/>
                <w:sz w:val="24"/>
                <w:szCs w:val="24"/>
              </w:rPr>
              <w:t>万辆级，</w:t>
            </w:r>
            <w:r w:rsidRPr="00B1708B">
              <w:rPr>
                <w:rFonts w:ascii="仿宋_GB2312" w:eastAsia="仿宋_GB2312" w:hAnsi="Times New Roman"/>
                <w:sz w:val="24"/>
                <w:szCs w:val="24"/>
              </w:rPr>
              <w:t>新能源</w:t>
            </w:r>
            <w:r w:rsidRPr="00B1708B">
              <w:rPr>
                <w:rFonts w:ascii="仿宋_GB2312" w:eastAsia="仿宋_GB2312" w:hAnsi="Times New Roman" w:hint="eastAsia"/>
                <w:sz w:val="24"/>
                <w:szCs w:val="24"/>
              </w:rPr>
              <w:t>和清洁能源</w:t>
            </w:r>
            <w:r w:rsidRPr="00B1708B">
              <w:rPr>
                <w:rFonts w:ascii="仿宋_GB2312" w:eastAsia="仿宋_GB2312" w:hAnsi="Times New Roman"/>
                <w:sz w:val="24"/>
                <w:szCs w:val="24"/>
              </w:rPr>
              <w:t>汽车产业规模达</w:t>
            </w:r>
            <w:r w:rsidRPr="00B1708B">
              <w:rPr>
                <w:rFonts w:ascii="仿宋_GB2312" w:eastAsia="仿宋_GB2312" w:hAnsi="Times New Roman" w:hint="eastAsia"/>
                <w:sz w:val="24"/>
                <w:szCs w:val="24"/>
              </w:rPr>
              <w:t>百亿级</w:t>
            </w:r>
            <w:r w:rsidR="00D85020">
              <w:rPr>
                <w:rFonts w:ascii="仿宋_GB2312" w:eastAsia="仿宋_GB2312" w:hAnsi="Times New Roman" w:hint="eastAsia"/>
                <w:sz w:val="24"/>
                <w:szCs w:val="24"/>
              </w:rPr>
              <w:t>。</w:t>
            </w:r>
          </w:p>
        </w:tc>
        <w:tc>
          <w:tcPr>
            <w:tcW w:w="1276" w:type="dxa"/>
            <w:vAlign w:val="center"/>
          </w:tcPr>
          <w:p w14:paraId="137ECF85" w14:textId="26D07C7F" w:rsidR="00341812" w:rsidRPr="00B1708B" w:rsidRDefault="00527A6F"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05FC7C53" w14:textId="1D2E47A2"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市经信局</w:t>
            </w:r>
          </w:p>
        </w:tc>
        <w:tc>
          <w:tcPr>
            <w:tcW w:w="1843" w:type="dxa"/>
            <w:vAlign w:val="center"/>
          </w:tcPr>
          <w:p w14:paraId="423A3639" w14:textId="77777777" w:rsidR="00341812" w:rsidRPr="00F7429A" w:rsidRDefault="00341812" w:rsidP="004A6043">
            <w:pPr>
              <w:snapToGrid w:val="0"/>
              <w:rPr>
                <w:rFonts w:ascii="仿宋_GB2312" w:eastAsia="仿宋_GB2312" w:hAnsi="Times New Roman"/>
                <w:sz w:val="24"/>
                <w:szCs w:val="24"/>
              </w:rPr>
            </w:pPr>
          </w:p>
        </w:tc>
      </w:tr>
      <w:tr w:rsidR="00341812" w:rsidRPr="00412A10" w14:paraId="3A0A840D" w14:textId="77777777" w:rsidTr="00876290">
        <w:trPr>
          <w:trHeight w:val="1079"/>
          <w:jc w:val="center"/>
        </w:trPr>
        <w:tc>
          <w:tcPr>
            <w:tcW w:w="988" w:type="dxa"/>
            <w:vMerge/>
          </w:tcPr>
          <w:p w14:paraId="18865359" w14:textId="77777777" w:rsidR="00341812" w:rsidRPr="003222EE" w:rsidRDefault="00341812" w:rsidP="003222EE">
            <w:pPr>
              <w:snapToGrid w:val="0"/>
              <w:rPr>
                <w:rFonts w:ascii="仿宋_GB2312" w:eastAsia="仿宋_GB2312" w:hAnsi="Times New Roman"/>
                <w:sz w:val="24"/>
                <w:szCs w:val="24"/>
              </w:rPr>
            </w:pPr>
          </w:p>
        </w:tc>
        <w:tc>
          <w:tcPr>
            <w:tcW w:w="1275" w:type="dxa"/>
            <w:vAlign w:val="center"/>
          </w:tcPr>
          <w:p w14:paraId="10AEE7EE" w14:textId="4CD9EE6E"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推动绿色物流产业发展</w:t>
            </w:r>
          </w:p>
        </w:tc>
        <w:tc>
          <w:tcPr>
            <w:tcW w:w="709" w:type="dxa"/>
            <w:vAlign w:val="center"/>
          </w:tcPr>
          <w:p w14:paraId="090C9D3F"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21045CB8" w14:textId="1B3D1BBB" w:rsidR="00341812" w:rsidRPr="00F7429A" w:rsidRDefault="00341812" w:rsidP="00CD2DB9">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制定实施《杭州市现代物流发展“十四五”规划》，深化巩固“全国智慧物流中心”地位；进一步规范物流行业市场秩序，积极引导物流公司入驻物流园区，推动物流产业规模化发展；充分</w:t>
            </w:r>
            <w:r w:rsidRPr="00B1708B">
              <w:rPr>
                <w:rFonts w:ascii="仿宋_GB2312" w:eastAsia="仿宋_GB2312" w:hAnsi="Times New Roman"/>
                <w:sz w:val="24"/>
                <w:szCs w:val="24"/>
              </w:rPr>
              <w:t>整合铁</w:t>
            </w:r>
            <w:r w:rsidRPr="00B1708B">
              <w:rPr>
                <w:rFonts w:ascii="仿宋_GB2312" w:eastAsia="仿宋_GB2312" w:hAnsi="Times New Roman" w:hint="eastAsia"/>
                <w:sz w:val="24"/>
                <w:szCs w:val="24"/>
              </w:rPr>
              <w:t>路、</w:t>
            </w:r>
            <w:r w:rsidRPr="00B1708B">
              <w:rPr>
                <w:rFonts w:ascii="仿宋_GB2312" w:eastAsia="仿宋_GB2312" w:hAnsi="Times New Roman"/>
                <w:sz w:val="24"/>
                <w:szCs w:val="24"/>
              </w:rPr>
              <w:t>公</w:t>
            </w:r>
            <w:r w:rsidRPr="00B1708B">
              <w:rPr>
                <w:rFonts w:ascii="仿宋_GB2312" w:eastAsia="仿宋_GB2312" w:hAnsi="Times New Roman" w:hint="eastAsia"/>
                <w:sz w:val="24"/>
                <w:szCs w:val="24"/>
              </w:rPr>
              <w:t>路、航运、港口、机场等</w:t>
            </w:r>
            <w:r w:rsidRPr="00B1708B">
              <w:rPr>
                <w:rFonts w:ascii="仿宋_GB2312" w:eastAsia="仿宋_GB2312" w:hAnsi="Times New Roman"/>
                <w:sz w:val="24"/>
                <w:szCs w:val="24"/>
              </w:rPr>
              <w:t>物流信息</w:t>
            </w:r>
            <w:r w:rsidRPr="00B1708B">
              <w:rPr>
                <w:rFonts w:ascii="仿宋_GB2312" w:eastAsia="仿宋_GB2312" w:hAnsi="Times New Roman" w:hint="eastAsia"/>
                <w:sz w:val="24"/>
                <w:szCs w:val="24"/>
              </w:rPr>
              <w:t>实现</w:t>
            </w:r>
            <w:r w:rsidRPr="00B1708B">
              <w:rPr>
                <w:rFonts w:ascii="仿宋_GB2312" w:eastAsia="仿宋_GB2312" w:hAnsi="Times New Roman"/>
                <w:sz w:val="24"/>
                <w:szCs w:val="24"/>
              </w:rPr>
              <w:t>互联</w:t>
            </w:r>
            <w:r w:rsidRPr="00B1708B">
              <w:rPr>
                <w:rFonts w:ascii="仿宋_GB2312" w:eastAsia="仿宋_GB2312" w:hAnsi="Times New Roman" w:hint="eastAsia"/>
                <w:sz w:val="24"/>
                <w:szCs w:val="24"/>
              </w:rPr>
              <w:t>互通，深化运用国家交通运输物流公共信息平台，提高货物运输效率，促进物流产业高效发展</w:t>
            </w:r>
            <w:r w:rsidR="00D85020">
              <w:rPr>
                <w:rFonts w:ascii="仿宋_GB2312" w:eastAsia="仿宋_GB2312" w:hAnsi="Times New Roman" w:hint="eastAsia"/>
                <w:sz w:val="24"/>
                <w:szCs w:val="24"/>
              </w:rPr>
              <w:t>。</w:t>
            </w:r>
          </w:p>
        </w:tc>
        <w:tc>
          <w:tcPr>
            <w:tcW w:w="1276" w:type="dxa"/>
            <w:vAlign w:val="center"/>
          </w:tcPr>
          <w:p w14:paraId="2F20C0F5" w14:textId="5286469E" w:rsidR="00341812" w:rsidRPr="00B1708B" w:rsidRDefault="006D4AAC" w:rsidP="0009317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023</w:t>
            </w:r>
            <w:r>
              <w:rPr>
                <w:rFonts w:ascii="仿宋_GB2312" w:eastAsia="仿宋_GB2312" w:hAnsi="Times New Roman" w:hint="eastAsia"/>
                <w:sz w:val="24"/>
                <w:szCs w:val="24"/>
              </w:rPr>
              <w:t>年</w:t>
            </w:r>
          </w:p>
        </w:tc>
        <w:tc>
          <w:tcPr>
            <w:tcW w:w="1701" w:type="dxa"/>
            <w:vAlign w:val="center"/>
          </w:tcPr>
          <w:p w14:paraId="3F65CEB8" w14:textId="02EBE79A"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市发改委、交通运输局</w:t>
            </w:r>
          </w:p>
        </w:tc>
        <w:tc>
          <w:tcPr>
            <w:tcW w:w="1843" w:type="dxa"/>
            <w:vAlign w:val="center"/>
          </w:tcPr>
          <w:p w14:paraId="3FB83472" w14:textId="77777777" w:rsidR="00341812" w:rsidRPr="00F7429A" w:rsidRDefault="00341812" w:rsidP="004A6043">
            <w:pPr>
              <w:snapToGrid w:val="0"/>
              <w:rPr>
                <w:rFonts w:ascii="仿宋_GB2312" w:eastAsia="仿宋_GB2312" w:hAnsi="Times New Roman"/>
                <w:sz w:val="24"/>
                <w:szCs w:val="24"/>
              </w:rPr>
            </w:pPr>
          </w:p>
        </w:tc>
      </w:tr>
      <w:tr w:rsidR="00341812" w:rsidRPr="00412A10" w14:paraId="2C4CE007" w14:textId="77777777" w:rsidTr="00876290">
        <w:trPr>
          <w:trHeight w:val="1079"/>
          <w:jc w:val="center"/>
        </w:trPr>
        <w:tc>
          <w:tcPr>
            <w:tcW w:w="988" w:type="dxa"/>
            <w:vMerge/>
          </w:tcPr>
          <w:p w14:paraId="2CD76E4D" w14:textId="77777777" w:rsidR="00341812" w:rsidRPr="003222EE" w:rsidRDefault="00341812" w:rsidP="003222EE">
            <w:pPr>
              <w:snapToGrid w:val="0"/>
              <w:rPr>
                <w:rFonts w:ascii="仿宋_GB2312" w:eastAsia="仿宋_GB2312" w:hAnsi="Times New Roman"/>
                <w:sz w:val="24"/>
                <w:szCs w:val="24"/>
              </w:rPr>
            </w:pPr>
          </w:p>
        </w:tc>
        <w:tc>
          <w:tcPr>
            <w:tcW w:w="1275" w:type="dxa"/>
            <w:vAlign w:val="center"/>
          </w:tcPr>
          <w:p w14:paraId="7E5242D8" w14:textId="5F9CC342" w:rsidR="00341812" w:rsidRPr="003222EE" w:rsidRDefault="00341812" w:rsidP="003222EE">
            <w:pPr>
              <w:snapToGrid w:val="0"/>
              <w:rPr>
                <w:rFonts w:ascii="仿宋_GB2312" w:eastAsia="仿宋_GB2312" w:hAnsi="Times New Roman"/>
                <w:sz w:val="24"/>
                <w:szCs w:val="24"/>
              </w:rPr>
            </w:pPr>
            <w:r w:rsidRPr="003222EE">
              <w:rPr>
                <w:rFonts w:ascii="仿宋_GB2312" w:eastAsia="仿宋_GB2312" w:hAnsi="Times New Roman" w:hint="eastAsia"/>
                <w:sz w:val="24"/>
                <w:szCs w:val="24"/>
              </w:rPr>
              <w:t>推动清洁车辆后服务市场发展</w:t>
            </w:r>
          </w:p>
        </w:tc>
        <w:tc>
          <w:tcPr>
            <w:tcW w:w="709" w:type="dxa"/>
            <w:vAlign w:val="center"/>
          </w:tcPr>
          <w:p w14:paraId="4A5C4E4D" w14:textId="77777777" w:rsidR="00341812" w:rsidRPr="003222EE" w:rsidRDefault="00341812" w:rsidP="003222EE">
            <w:pPr>
              <w:pStyle w:val="a7"/>
              <w:numPr>
                <w:ilvl w:val="0"/>
                <w:numId w:val="2"/>
              </w:numPr>
              <w:snapToGrid w:val="0"/>
              <w:ind w:firstLineChars="0"/>
              <w:jc w:val="center"/>
              <w:rPr>
                <w:rFonts w:ascii="仿宋_GB2312" w:eastAsia="仿宋_GB2312" w:hAnsi="Times New Roman"/>
                <w:sz w:val="24"/>
                <w:szCs w:val="24"/>
              </w:rPr>
            </w:pPr>
          </w:p>
        </w:tc>
        <w:tc>
          <w:tcPr>
            <w:tcW w:w="6095" w:type="dxa"/>
            <w:vAlign w:val="center"/>
          </w:tcPr>
          <w:p w14:paraId="34DB4783" w14:textId="43F93468" w:rsidR="00341812" w:rsidRPr="00F7429A" w:rsidRDefault="00341812" w:rsidP="00CD2DB9">
            <w:pPr>
              <w:snapToGrid w:val="0"/>
              <w:rPr>
                <w:rFonts w:ascii="仿宋_GB2312" w:eastAsia="仿宋_GB2312" w:hAnsi="Times New Roman"/>
                <w:sz w:val="24"/>
                <w:szCs w:val="24"/>
              </w:rPr>
            </w:pPr>
            <w:r w:rsidRPr="00B1708B">
              <w:rPr>
                <w:rFonts w:ascii="仿宋_GB2312" w:eastAsia="仿宋_GB2312" w:hAnsi="Times New Roman" w:hint="eastAsia"/>
                <w:sz w:val="24"/>
                <w:szCs w:val="24"/>
              </w:rPr>
              <w:t>研究制定杭州市新能源汽车售后服务市场行业标准，规范后服务市场发展；支持“车电分离”等新型商业模式发展，探索推进换电站、电池租赁试点；构建以新能源汽车维修服务站为主体的售后服务网络。2021年底前，建成一批具备新能源和清洁能源车辆统一维修资质的4S店或专业维修企业；研究建立规范化、社会化动力电池回收体系，带动资源循环利用产业快速发展。</w:t>
            </w:r>
          </w:p>
        </w:tc>
        <w:tc>
          <w:tcPr>
            <w:tcW w:w="1276" w:type="dxa"/>
            <w:vAlign w:val="center"/>
          </w:tcPr>
          <w:p w14:paraId="462AB576" w14:textId="0CF85A62" w:rsidR="00341812" w:rsidRPr="00B1708B" w:rsidRDefault="00527A6F" w:rsidP="006D4AAC">
            <w:pPr>
              <w:snapToGrid w:val="0"/>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sz w:val="24"/>
                <w:szCs w:val="24"/>
              </w:rPr>
              <w:t>021</w:t>
            </w:r>
            <w:r>
              <w:rPr>
                <w:rFonts w:ascii="仿宋_GB2312" w:eastAsia="仿宋_GB2312" w:hAnsi="Times New Roman" w:hint="eastAsia"/>
                <w:sz w:val="24"/>
                <w:szCs w:val="24"/>
              </w:rPr>
              <w:t>年</w:t>
            </w:r>
          </w:p>
        </w:tc>
        <w:tc>
          <w:tcPr>
            <w:tcW w:w="1701" w:type="dxa"/>
            <w:vAlign w:val="center"/>
          </w:tcPr>
          <w:p w14:paraId="5B534DEC" w14:textId="169751D2"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市交通运输局</w:t>
            </w:r>
          </w:p>
        </w:tc>
        <w:tc>
          <w:tcPr>
            <w:tcW w:w="1843" w:type="dxa"/>
            <w:vAlign w:val="center"/>
          </w:tcPr>
          <w:p w14:paraId="25E12EB4" w14:textId="10242A78" w:rsidR="00341812" w:rsidRPr="00F7429A" w:rsidRDefault="00341812" w:rsidP="004A6043">
            <w:pPr>
              <w:snapToGrid w:val="0"/>
              <w:rPr>
                <w:rFonts w:ascii="仿宋_GB2312" w:eastAsia="仿宋_GB2312" w:hAnsi="Times New Roman"/>
                <w:sz w:val="24"/>
                <w:szCs w:val="24"/>
              </w:rPr>
            </w:pPr>
            <w:r w:rsidRPr="00B1708B">
              <w:rPr>
                <w:rFonts w:ascii="仿宋_GB2312" w:eastAsia="仿宋_GB2312" w:hAnsi="Times New Roman" w:hint="eastAsia"/>
                <w:sz w:val="24"/>
                <w:szCs w:val="24"/>
              </w:rPr>
              <w:t>市生态环境局、商务局</w:t>
            </w:r>
          </w:p>
        </w:tc>
      </w:tr>
    </w:tbl>
    <w:p w14:paraId="41045091" w14:textId="77777777" w:rsidR="00E5324F" w:rsidRPr="008F6C89" w:rsidRDefault="00A31D82" w:rsidP="008F6C89"/>
    <w:sectPr w:rsidR="00E5324F" w:rsidRPr="008F6C89" w:rsidSect="0037099D">
      <w:footerReference w:type="default" r:id="rId7"/>
      <w:pgSz w:w="16838" w:h="11906" w:orient="landscape"/>
      <w:pgMar w:top="1701" w:right="1440" w:bottom="170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521CC" w14:textId="77777777" w:rsidR="00A31D82" w:rsidRDefault="00A31D82" w:rsidP="00DA7DB6">
      <w:r>
        <w:separator/>
      </w:r>
    </w:p>
  </w:endnote>
  <w:endnote w:type="continuationSeparator" w:id="0">
    <w:p w14:paraId="4B5103D6" w14:textId="77777777" w:rsidR="00A31D82" w:rsidRDefault="00A31D82" w:rsidP="00DA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526997"/>
      <w:docPartObj>
        <w:docPartGallery w:val="Page Numbers (Bottom of Page)"/>
        <w:docPartUnique/>
      </w:docPartObj>
    </w:sdtPr>
    <w:sdtEndPr/>
    <w:sdtContent>
      <w:p w14:paraId="774C45A3" w14:textId="7988CE45" w:rsidR="00DA7DB6" w:rsidRDefault="00DA7DB6">
        <w:pPr>
          <w:pStyle w:val="a9"/>
          <w:jc w:val="center"/>
        </w:pPr>
        <w:r>
          <w:fldChar w:fldCharType="begin"/>
        </w:r>
        <w:r>
          <w:instrText>PAGE   \* MERGEFORMAT</w:instrText>
        </w:r>
        <w:r>
          <w:fldChar w:fldCharType="separate"/>
        </w:r>
        <w:r w:rsidR="00E310B3" w:rsidRPr="00E310B3">
          <w:rPr>
            <w:noProof/>
            <w:lang w:val="zh-CN"/>
          </w:rPr>
          <w:t>7</w:t>
        </w:r>
        <w:r>
          <w:fldChar w:fldCharType="end"/>
        </w:r>
      </w:p>
    </w:sdtContent>
  </w:sdt>
  <w:p w14:paraId="087EFE38" w14:textId="77777777" w:rsidR="00DA7DB6" w:rsidRDefault="00DA7D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1D049" w14:textId="77777777" w:rsidR="00A31D82" w:rsidRDefault="00A31D82" w:rsidP="00DA7DB6">
      <w:r>
        <w:separator/>
      </w:r>
    </w:p>
  </w:footnote>
  <w:footnote w:type="continuationSeparator" w:id="0">
    <w:p w14:paraId="39039FFA" w14:textId="77777777" w:rsidR="00A31D82" w:rsidRDefault="00A31D82" w:rsidP="00DA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74EC"/>
    <w:multiLevelType w:val="multilevel"/>
    <w:tmpl w:val="0C5674EC"/>
    <w:lvl w:ilvl="0">
      <w:start w:val="1"/>
      <w:numFmt w:val="decimal"/>
      <w:lvlText w:val="（%1）"/>
      <w:lvlJc w:val="left"/>
      <w:pPr>
        <w:ind w:left="1412" w:hanging="420"/>
      </w:pPr>
      <w:rPr>
        <w:rFonts w:hint="eastAsia"/>
        <w:b w:val="0"/>
        <w:sz w:val="24"/>
        <w:lang w:val="en-US"/>
      </w:rPr>
    </w:lvl>
    <w:lvl w:ilvl="1">
      <w:start w:val="1"/>
      <w:numFmt w:val="lowerLetter"/>
      <w:lvlText w:val="%2)"/>
      <w:lvlJc w:val="left"/>
      <w:pPr>
        <w:ind w:left="-294" w:hanging="420"/>
      </w:pPr>
      <w:rPr>
        <w:rFonts w:hint="eastAsia"/>
      </w:rPr>
    </w:lvl>
    <w:lvl w:ilvl="2">
      <w:start w:val="1"/>
      <w:numFmt w:val="lowerRoman"/>
      <w:lvlText w:val="%3."/>
      <w:lvlJc w:val="right"/>
      <w:pPr>
        <w:ind w:left="126" w:hanging="420"/>
      </w:pPr>
      <w:rPr>
        <w:rFonts w:hint="eastAsia"/>
      </w:rPr>
    </w:lvl>
    <w:lvl w:ilvl="3">
      <w:start w:val="1"/>
      <w:numFmt w:val="decimal"/>
      <w:lvlText w:val="%4."/>
      <w:lvlJc w:val="left"/>
      <w:pPr>
        <w:ind w:left="546" w:hanging="420"/>
      </w:pPr>
      <w:rPr>
        <w:rFonts w:hint="eastAsia"/>
      </w:rPr>
    </w:lvl>
    <w:lvl w:ilvl="4">
      <w:start w:val="1"/>
      <w:numFmt w:val="lowerLetter"/>
      <w:lvlText w:val="%5)"/>
      <w:lvlJc w:val="left"/>
      <w:pPr>
        <w:ind w:left="966" w:hanging="420"/>
      </w:pPr>
      <w:rPr>
        <w:rFonts w:hint="eastAsia"/>
      </w:rPr>
    </w:lvl>
    <w:lvl w:ilvl="5">
      <w:start w:val="1"/>
      <w:numFmt w:val="lowerRoman"/>
      <w:lvlText w:val="%6."/>
      <w:lvlJc w:val="right"/>
      <w:pPr>
        <w:ind w:left="1386" w:hanging="420"/>
      </w:pPr>
      <w:rPr>
        <w:rFonts w:hint="eastAsia"/>
      </w:rPr>
    </w:lvl>
    <w:lvl w:ilvl="6">
      <w:start w:val="1"/>
      <w:numFmt w:val="decimal"/>
      <w:lvlText w:val="%7."/>
      <w:lvlJc w:val="left"/>
      <w:pPr>
        <w:ind w:left="1806" w:hanging="420"/>
      </w:pPr>
      <w:rPr>
        <w:rFonts w:hint="eastAsia"/>
      </w:rPr>
    </w:lvl>
    <w:lvl w:ilvl="7">
      <w:start w:val="1"/>
      <w:numFmt w:val="lowerLetter"/>
      <w:lvlText w:val="%8)"/>
      <w:lvlJc w:val="left"/>
      <w:pPr>
        <w:ind w:left="2226" w:hanging="420"/>
      </w:pPr>
      <w:rPr>
        <w:rFonts w:hint="eastAsia"/>
      </w:rPr>
    </w:lvl>
    <w:lvl w:ilvl="8">
      <w:start w:val="1"/>
      <w:numFmt w:val="lowerRoman"/>
      <w:lvlText w:val="%9."/>
      <w:lvlJc w:val="right"/>
      <w:pPr>
        <w:ind w:left="2646" w:hanging="420"/>
      </w:pPr>
      <w:rPr>
        <w:rFonts w:hint="eastAsia"/>
      </w:rPr>
    </w:lvl>
  </w:abstractNum>
  <w:abstractNum w:abstractNumId="1" w15:restartNumberingAfterBreak="0">
    <w:nsid w:val="7A7D5A07"/>
    <w:multiLevelType w:val="hybridMultilevel"/>
    <w:tmpl w:val="233E57EA"/>
    <w:lvl w:ilvl="0" w:tplc="450E7F9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89"/>
    <w:rsid w:val="0003764D"/>
    <w:rsid w:val="0006533B"/>
    <w:rsid w:val="000737C8"/>
    <w:rsid w:val="00073D01"/>
    <w:rsid w:val="0009317C"/>
    <w:rsid w:val="000A0060"/>
    <w:rsid w:val="000B601D"/>
    <w:rsid w:val="000C6306"/>
    <w:rsid w:val="000D3FCE"/>
    <w:rsid w:val="000E5B30"/>
    <w:rsid w:val="00114404"/>
    <w:rsid w:val="00162545"/>
    <w:rsid w:val="00175A61"/>
    <w:rsid w:val="00176C33"/>
    <w:rsid w:val="001A61D7"/>
    <w:rsid w:val="001C3ED7"/>
    <w:rsid w:val="001E4A23"/>
    <w:rsid w:val="001F117A"/>
    <w:rsid w:val="00204510"/>
    <w:rsid w:val="00224EBF"/>
    <w:rsid w:val="002337B4"/>
    <w:rsid w:val="00235DAC"/>
    <w:rsid w:val="002540F2"/>
    <w:rsid w:val="002879FD"/>
    <w:rsid w:val="0029409C"/>
    <w:rsid w:val="002F4F1A"/>
    <w:rsid w:val="0031657D"/>
    <w:rsid w:val="003222EE"/>
    <w:rsid w:val="00341812"/>
    <w:rsid w:val="00346726"/>
    <w:rsid w:val="0037099D"/>
    <w:rsid w:val="003B4C1B"/>
    <w:rsid w:val="003F003F"/>
    <w:rsid w:val="00402E54"/>
    <w:rsid w:val="00424CE1"/>
    <w:rsid w:val="00454155"/>
    <w:rsid w:val="00456615"/>
    <w:rsid w:val="0047186C"/>
    <w:rsid w:val="004A37AD"/>
    <w:rsid w:val="004D3CE7"/>
    <w:rsid w:val="0051387F"/>
    <w:rsid w:val="00517D58"/>
    <w:rsid w:val="00527A6F"/>
    <w:rsid w:val="005A0283"/>
    <w:rsid w:val="005B259C"/>
    <w:rsid w:val="005B37AE"/>
    <w:rsid w:val="005E2F73"/>
    <w:rsid w:val="00605F88"/>
    <w:rsid w:val="006272F7"/>
    <w:rsid w:val="00654D71"/>
    <w:rsid w:val="00687275"/>
    <w:rsid w:val="006D4AAC"/>
    <w:rsid w:val="006F2017"/>
    <w:rsid w:val="007069D5"/>
    <w:rsid w:val="0074001E"/>
    <w:rsid w:val="007C020F"/>
    <w:rsid w:val="007D3B25"/>
    <w:rsid w:val="007E4990"/>
    <w:rsid w:val="007F4B5D"/>
    <w:rsid w:val="008002ED"/>
    <w:rsid w:val="00820496"/>
    <w:rsid w:val="00876290"/>
    <w:rsid w:val="00895530"/>
    <w:rsid w:val="008D496D"/>
    <w:rsid w:val="008E7C2F"/>
    <w:rsid w:val="008F6C89"/>
    <w:rsid w:val="0093784F"/>
    <w:rsid w:val="00965D7D"/>
    <w:rsid w:val="009B664D"/>
    <w:rsid w:val="009D217A"/>
    <w:rsid w:val="009E0FFB"/>
    <w:rsid w:val="00A10732"/>
    <w:rsid w:val="00A26CBF"/>
    <w:rsid w:val="00A31D82"/>
    <w:rsid w:val="00AD0BEE"/>
    <w:rsid w:val="00AF3B0F"/>
    <w:rsid w:val="00B1708B"/>
    <w:rsid w:val="00BC373F"/>
    <w:rsid w:val="00BC7256"/>
    <w:rsid w:val="00BD76B5"/>
    <w:rsid w:val="00BD7A43"/>
    <w:rsid w:val="00BD7CF4"/>
    <w:rsid w:val="00C25730"/>
    <w:rsid w:val="00C37DD6"/>
    <w:rsid w:val="00C75CD7"/>
    <w:rsid w:val="00CA6E8B"/>
    <w:rsid w:val="00CC6C11"/>
    <w:rsid w:val="00CD1BA2"/>
    <w:rsid w:val="00CD2DB9"/>
    <w:rsid w:val="00CE40EA"/>
    <w:rsid w:val="00D80ACF"/>
    <w:rsid w:val="00D85020"/>
    <w:rsid w:val="00DA7DB6"/>
    <w:rsid w:val="00DF2F42"/>
    <w:rsid w:val="00E310B3"/>
    <w:rsid w:val="00E45763"/>
    <w:rsid w:val="00E90E2E"/>
    <w:rsid w:val="00EB62BD"/>
    <w:rsid w:val="00EF0687"/>
    <w:rsid w:val="00F2348A"/>
    <w:rsid w:val="00F66E7B"/>
    <w:rsid w:val="00F83125"/>
    <w:rsid w:val="00F853FD"/>
    <w:rsid w:val="00FB244B"/>
    <w:rsid w:val="00FC6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233A"/>
  <w15:chartTrackingRefBased/>
  <w15:docId w15:val="{E0DECC29-1833-4B1B-8CF9-2DA6EEA5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C89"/>
    <w:pPr>
      <w:widowControl w:val="0"/>
      <w:jc w:val="both"/>
    </w:pPr>
    <w:rPr>
      <w:rFonts w:ascii="Calibri" w:eastAsia="宋体" w:hAnsi="Calibri" w:cs="Times New Roman"/>
    </w:rPr>
  </w:style>
  <w:style w:type="paragraph" w:styleId="2">
    <w:name w:val="heading 2"/>
    <w:basedOn w:val="a"/>
    <w:next w:val="a"/>
    <w:link w:val="2Char"/>
    <w:uiPriority w:val="9"/>
    <w:qFormat/>
    <w:rsid w:val="00BD76B5"/>
    <w:pPr>
      <w:keepNext/>
      <w:keepLines/>
      <w:spacing w:beforeLines="50" w:before="156" w:line="360" w:lineRule="auto"/>
      <w:jc w:val="left"/>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6C89"/>
    <w:rPr>
      <w:sz w:val="18"/>
      <w:szCs w:val="18"/>
    </w:rPr>
  </w:style>
  <w:style w:type="character" w:customStyle="1" w:styleId="Char">
    <w:name w:val="批注框文本 Char"/>
    <w:basedOn w:val="a0"/>
    <w:link w:val="a3"/>
    <w:uiPriority w:val="99"/>
    <w:semiHidden/>
    <w:rsid w:val="008F6C89"/>
    <w:rPr>
      <w:rFonts w:ascii="Calibri" w:eastAsia="宋体" w:hAnsi="Calibri" w:cs="Times New Roman"/>
      <w:sz w:val="18"/>
      <w:szCs w:val="18"/>
    </w:rPr>
  </w:style>
  <w:style w:type="character" w:customStyle="1" w:styleId="2Char">
    <w:name w:val="标题 2 Char"/>
    <w:basedOn w:val="a0"/>
    <w:link w:val="2"/>
    <w:uiPriority w:val="9"/>
    <w:qFormat/>
    <w:rsid w:val="00BD76B5"/>
    <w:rPr>
      <w:rFonts w:ascii="Calibri" w:eastAsia="宋体" w:hAnsi="Calibri" w:cs="Times New Roman"/>
      <w:b/>
      <w:bCs/>
      <w:sz w:val="28"/>
      <w:szCs w:val="32"/>
    </w:rPr>
  </w:style>
  <w:style w:type="character" w:styleId="a4">
    <w:name w:val="annotation reference"/>
    <w:basedOn w:val="a0"/>
    <w:uiPriority w:val="99"/>
    <w:semiHidden/>
    <w:unhideWhenUsed/>
    <w:rsid w:val="00B1708B"/>
    <w:rPr>
      <w:sz w:val="21"/>
      <w:szCs w:val="21"/>
    </w:rPr>
  </w:style>
  <w:style w:type="paragraph" w:styleId="a5">
    <w:name w:val="annotation text"/>
    <w:basedOn w:val="a"/>
    <w:link w:val="Char0"/>
    <w:uiPriority w:val="99"/>
    <w:semiHidden/>
    <w:unhideWhenUsed/>
    <w:rsid w:val="00B1708B"/>
    <w:pPr>
      <w:jc w:val="left"/>
    </w:pPr>
  </w:style>
  <w:style w:type="character" w:customStyle="1" w:styleId="Char0">
    <w:name w:val="批注文字 Char"/>
    <w:basedOn w:val="a0"/>
    <w:link w:val="a5"/>
    <w:uiPriority w:val="99"/>
    <w:semiHidden/>
    <w:rsid w:val="00B1708B"/>
    <w:rPr>
      <w:rFonts w:ascii="Calibri" w:eastAsia="宋体" w:hAnsi="Calibri" w:cs="Times New Roman"/>
    </w:rPr>
  </w:style>
  <w:style w:type="paragraph" w:styleId="a6">
    <w:name w:val="annotation subject"/>
    <w:basedOn w:val="a5"/>
    <w:next w:val="a5"/>
    <w:link w:val="Char1"/>
    <w:uiPriority w:val="99"/>
    <w:semiHidden/>
    <w:unhideWhenUsed/>
    <w:rsid w:val="00B1708B"/>
    <w:rPr>
      <w:b/>
      <w:bCs/>
    </w:rPr>
  </w:style>
  <w:style w:type="character" w:customStyle="1" w:styleId="Char1">
    <w:name w:val="批注主题 Char"/>
    <w:basedOn w:val="Char0"/>
    <w:link w:val="a6"/>
    <w:uiPriority w:val="99"/>
    <w:semiHidden/>
    <w:rsid w:val="00B1708B"/>
    <w:rPr>
      <w:rFonts w:ascii="Calibri" w:eastAsia="宋体" w:hAnsi="Calibri" w:cs="Times New Roman"/>
      <w:b/>
      <w:bCs/>
    </w:rPr>
  </w:style>
  <w:style w:type="paragraph" w:styleId="a7">
    <w:name w:val="List Paragraph"/>
    <w:basedOn w:val="a"/>
    <w:uiPriority w:val="34"/>
    <w:qFormat/>
    <w:rsid w:val="00CD2DB9"/>
    <w:pPr>
      <w:ind w:firstLineChars="200" w:firstLine="420"/>
    </w:pPr>
  </w:style>
  <w:style w:type="paragraph" w:styleId="a8">
    <w:name w:val="header"/>
    <w:basedOn w:val="a"/>
    <w:link w:val="Char2"/>
    <w:uiPriority w:val="99"/>
    <w:unhideWhenUsed/>
    <w:rsid w:val="00DA7DB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A7DB6"/>
    <w:rPr>
      <w:rFonts w:ascii="Calibri" w:eastAsia="宋体" w:hAnsi="Calibri" w:cs="Times New Roman"/>
      <w:sz w:val="18"/>
      <w:szCs w:val="18"/>
    </w:rPr>
  </w:style>
  <w:style w:type="paragraph" w:styleId="a9">
    <w:name w:val="footer"/>
    <w:basedOn w:val="a"/>
    <w:link w:val="Char3"/>
    <w:uiPriority w:val="99"/>
    <w:unhideWhenUsed/>
    <w:rsid w:val="00DA7DB6"/>
    <w:pPr>
      <w:tabs>
        <w:tab w:val="center" w:pos="4153"/>
        <w:tab w:val="right" w:pos="8306"/>
      </w:tabs>
      <w:snapToGrid w:val="0"/>
      <w:jc w:val="left"/>
    </w:pPr>
    <w:rPr>
      <w:sz w:val="18"/>
      <w:szCs w:val="18"/>
    </w:rPr>
  </w:style>
  <w:style w:type="character" w:customStyle="1" w:styleId="Char3">
    <w:name w:val="页脚 Char"/>
    <w:basedOn w:val="a0"/>
    <w:link w:val="a9"/>
    <w:uiPriority w:val="99"/>
    <w:rsid w:val="00DA7DB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499901180@qq.com</dc:creator>
  <cp:keywords/>
  <dc:description/>
  <cp:lastModifiedBy>Administrator</cp:lastModifiedBy>
  <cp:revision>99</cp:revision>
  <dcterms:created xsi:type="dcterms:W3CDTF">2020-10-12T01:03:00Z</dcterms:created>
  <dcterms:modified xsi:type="dcterms:W3CDTF">2020-10-20T06:13:00Z</dcterms:modified>
</cp:coreProperties>
</file>