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ind w:firstLine="0" w:firstLineChars="0"/>
        <w:rPr>
          <w:sz w:val="40"/>
          <w:highlight w:val="none"/>
        </w:rPr>
      </w:pPr>
      <w:r>
        <w:rPr>
          <w:rFonts w:hint="eastAsia"/>
          <w:sz w:val="40"/>
          <w:highlight w:val="none"/>
        </w:rPr>
        <w:t>杭州市房屋建筑和市政基础设施</w:t>
      </w:r>
    </w:p>
    <w:p>
      <w:pPr>
        <w:pStyle w:val="2"/>
        <w:spacing w:after="312" w:afterLines="100"/>
        <w:ind w:firstLine="0" w:firstLineChars="0"/>
        <w:rPr>
          <w:sz w:val="40"/>
          <w:highlight w:val="none"/>
        </w:rPr>
      </w:pPr>
      <w:r>
        <w:rPr>
          <w:rFonts w:hint="eastAsia"/>
          <w:sz w:val="40"/>
          <w:highlight w:val="none"/>
        </w:rPr>
        <w:t>工程总承包项目计价办法（12.</w:t>
      </w:r>
      <w:r>
        <w:rPr>
          <w:rFonts w:hint="eastAsia"/>
          <w:sz w:val="40"/>
          <w:highlight w:val="none"/>
          <w:lang w:val="en-US" w:eastAsia="zh-CN"/>
        </w:rPr>
        <w:t>17</w:t>
      </w:r>
      <w:r>
        <w:rPr>
          <w:rFonts w:hint="eastAsia"/>
          <w:sz w:val="40"/>
          <w:highlight w:val="none"/>
        </w:rPr>
        <w:t>修改）</w:t>
      </w:r>
    </w:p>
    <w:p>
      <w:pPr>
        <w:snapToGrid w:val="0"/>
        <w:spacing w:line="300" w:lineRule="auto"/>
        <w:ind w:firstLine="0" w:firstLineChars="0"/>
        <w:rPr>
          <w:highlight w:val="none"/>
        </w:rPr>
      </w:pPr>
      <w:r>
        <w:rPr>
          <w:rFonts w:hint="eastAsia"/>
          <w:highlight w:val="none"/>
        </w:rPr>
        <w:t>各区、县（市）建设局，</w:t>
      </w:r>
      <w:r>
        <w:rPr>
          <w:highlight w:val="none"/>
        </w:rPr>
        <w:t>各有关单位：</w:t>
      </w:r>
    </w:p>
    <w:p>
      <w:pPr>
        <w:pStyle w:val="17"/>
        <w:snapToGrid w:val="0"/>
        <w:spacing w:line="300" w:lineRule="auto"/>
        <w:ind w:firstLine="640"/>
        <w:rPr>
          <w:highlight w:val="none"/>
        </w:rPr>
      </w:pPr>
      <w:r>
        <w:rPr>
          <w:rFonts w:hint="eastAsia"/>
          <w:highlight w:val="none"/>
        </w:rPr>
        <w:t>为进一步加强我市房屋建筑和市政基础设施工程总承包项目的计价管理，有效解决在工程价款确定、工程计价管控及竣工结算等方面中出现的各类计价问题，现结合我市实际，现制定《杭州市房屋建筑和市政基础设施工程总承包项目计价办法》（以下简称本办法），请认真贯彻执行。</w:t>
      </w:r>
    </w:p>
    <w:p>
      <w:pPr>
        <w:pStyle w:val="3"/>
        <w:spacing w:line="300" w:lineRule="auto"/>
        <w:rPr>
          <w:highlight w:val="none"/>
        </w:rPr>
      </w:pPr>
      <w:r>
        <w:rPr>
          <w:rFonts w:hint="eastAsia"/>
          <w:highlight w:val="none"/>
        </w:rPr>
        <w:t>一、总 则</w:t>
      </w:r>
    </w:p>
    <w:p>
      <w:pPr>
        <w:pStyle w:val="17"/>
        <w:numPr>
          <w:ilvl w:val="0"/>
          <w:numId w:val="2"/>
        </w:numPr>
        <w:snapToGrid w:val="0"/>
        <w:spacing w:line="300" w:lineRule="auto"/>
        <w:ind w:left="0" w:firstLine="641" w:firstLineChars="0"/>
        <w:rPr>
          <w:highlight w:val="none"/>
        </w:rPr>
      </w:pPr>
      <w:r>
        <w:rPr>
          <w:highlight w:val="none"/>
        </w:rPr>
        <w:t>本办法所称工程总承包，是指承包单位按照与建设单位签订的合同，对工程项目设计、采购、施工或者设计、施工等阶段实行总承包，并对工程的质量、安全、工期和造价等全面负责的工程建设组织实施方式。</w:t>
      </w:r>
    </w:p>
    <w:p>
      <w:pPr>
        <w:pStyle w:val="17"/>
        <w:numPr>
          <w:ilvl w:val="0"/>
          <w:numId w:val="2"/>
        </w:numPr>
        <w:snapToGrid w:val="0"/>
        <w:spacing w:line="300" w:lineRule="auto"/>
        <w:ind w:left="0" w:firstLine="641" w:firstLineChars="0"/>
        <w:rPr>
          <w:highlight w:val="none"/>
        </w:rPr>
      </w:pPr>
      <w:r>
        <w:rPr>
          <w:highlight w:val="none"/>
        </w:rPr>
        <w:t>本市行政区域内，</w:t>
      </w:r>
      <w:r>
        <w:rPr>
          <w:rFonts w:hint="eastAsia"/>
          <w:highlight w:val="none"/>
        </w:rPr>
        <w:t>政府投资项目、国有资金占控股或者主导地位的项目</w:t>
      </w:r>
      <w:r>
        <w:rPr>
          <w:highlight w:val="none"/>
        </w:rPr>
        <w:t>，采用工程总承包方式的，其项目的工程量清单和最高投标限价编制以及投标报价编制、合同价款确定与调整、价款结算等计价活动适用本办法。非</w:t>
      </w:r>
      <w:r>
        <w:rPr>
          <w:rFonts w:hint="eastAsia"/>
          <w:highlight w:val="none"/>
        </w:rPr>
        <w:t>国有资金</w:t>
      </w:r>
      <w:r>
        <w:rPr>
          <w:highlight w:val="none"/>
        </w:rPr>
        <w:t>投资</w:t>
      </w:r>
      <w:r>
        <w:rPr>
          <w:rFonts w:hint="eastAsia"/>
          <w:highlight w:val="none"/>
        </w:rPr>
        <w:t>项目</w:t>
      </w:r>
      <w:r>
        <w:rPr>
          <w:highlight w:val="none"/>
        </w:rPr>
        <w:t>可参照执行。</w:t>
      </w:r>
    </w:p>
    <w:p>
      <w:pPr>
        <w:pStyle w:val="17"/>
        <w:numPr>
          <w:ilvl w:val="0"/>
          <w:numId w:val="2"/>
        </w:numPr>
        <w:snapToGrid w:val="0"/>
        <w:spacing w:line="300" w:lineRule="auto"/>
        <w:ind w:left="0" w:firstLine="641" w:firstLineChars="0"/>
        <w:rPr>
          <w:highlight w:val="none"/>
        </w:rPr>
      </w:pPr>
      <w:r>
        <w:rPr>
          <w:rFonts w:hint="eastAsia"/>
          <w:highlight w:val="none"/>
        </w:rPr>
        <w:t>采用工程总承包方式的政府投资项目、国有资金占控股或者主导地位的项目，除法律、法规另有规定外，原则上应当在初步设计审批完成后进行工程总承包项目发包。</w:t>
      </w:r>
      <w:r>
        <w:rPr>
          <w:rFonts w:hint="eastAsia"/>
          <w:highlight w:val="none"/>
          <w:lang w:eastAsia="zh-CN"/>
        </w:rPr>
        <w:t>对建设单位要求在初步设计审批前进行工程总承包项目发包的，需经建设行政主管部门审批同意。</w:t>
      </w:r>
    </w:p>
    <w:p>
      <w:pPr>
        <w:pStyle w:val="3"/>
        <w:spacing w:line="300" w:lineRule="auto"/>
        <w:rPr>
          <w:highlight w:val="none"/>
        </w:rPr>
      </w:pPr>
      <w:r>
        <w:rPr>
          <w:rFonts w:hint="eastAsia"/>
          <w:highlight w:val="none"/>
        </w:rPr>
        <w:t>二、合同的价格构成</w:t>
      </w:r>
    </w:p>
    <w:p>
      <w:pPr>
        <w:pStyle w:val="17"/>
        <w:numPr>
          <w:ilvl w:val="0"/>
          <w:numId w:val="2"/>
        </w:numPr>
        <w:snapToGrid w:val="0"/>
        <w:spacing w:line="300" w:lineRule="auto"/>
        <w:ind w:left="0" w:firstLine="641" w:firstLineChars="0"/>
        <w:rPr>
          <w:highlight w:val="none"/>
        </w:rPr>
      </w:pPr>
      <w:r>
        <w:rPr>
          <w:rFonts w:hint="eastAsia"/>
          <w:highlight w:val="none"/>
        </w:rPr>
        <w:t>工程总承包项目合同的价格，由</w:t>
      </w:r>
      <w:bookmarkStart w:id="0" w:name="_Hlk55562774"/>
      <w:r>
        <w:rPr>
          <w:rFonts w:hint="eastAsia"/>
          <w:highlight w:val="none"/>
        </w:rPr>
        <w:t>工程设计费、设备购置费、建筑安装工程费</w:t>
      </w:r>
      <w:bookmarkEnd w:id="0"/>
      <w:r>
        <w:rPr>
          <w:rFonts w:hint="eastAsia"/>
          <w:highlight w:val="none"/>
        </w:rPr>
        <w:t>、暂估价、暂列金额和工程总承包其他费构成，上述价格均为含税的完全费用。</w:t>
      </w:r>
    </w:p>
    <w:p>
      <w:pPr>
        <w:pStyle w:val="17"/>
        <w:numPr>
          <w:ilvl w:val="0"/>
          <w:numId w:val="2"/>
        </w:numPr>
        <w:snapToGrid w:val="0"/>
        <w:spacing w:line="300" w:lineRule="auto"/>
        <w:ind w:left="0" w:firstLine="640" w:firstLineChars="0"/>
        <w:rPr>
          <w:highlight w:val="none"/>
        </w:rPr>
      </w:pPr>
      <w:r>
        <w:rPr>
          <w:rFonts w:hint="eastAsia"/>
          <w:highlight w:val="none"/>
        </w:rPr>
        <w:t>工程设计费指根据设计任务书要求，完成建设项目设计服务工作所需的费用。根据不同设计阶段可分为方案设计费、初步设计费、施工图设计费等。</w:t>
      </w:r>
    </w:p>
    <w:p>
      <w:pPr>
        <w:pStyle w:val="17"/>
        <w:numPr>
          <w:ilvl w:val="0"/>
          <w:numId w:val="2"/>
        </w:numPr>
        <w:snapToGrid w:val="0"/>
        <w:spacing w:line="300" w:lineRule="auto"/>
        <w:ind w:left="0" w:firstLine="641" w:firstLineChars="0"/>
        <w:rPr>
          <w:highlight w:val="none"/>
        </w:rPr>
      </w:pPr>
      <w:r>
        <w:rPr>
          <w:rFonts w:hint="eastAsia"/>
          <w:highlight w:val="none"/>
        </w:rPr>
        <w:t>设备购置费指为建设项目购置或者自制达到固定资产标准，且构成永久工程的机电设备、仪器装置、运载工具及其他类似设备和装置的购置费用。</w:t>
      </w:r>
    </w:p>
    <w:p>
      <w:pPr>
        <w:pStyle w:val="17"/>
        <w:numPr>
          <w:ilvl w:val="0"/>
          <w:numId w:val="2"/>
        </w:numPr>
        <w:snapToGrid w:val="0"/>
        <w:spacing w:line="300" w:lineRule="auto"/>
        <w:ind w:left="0" w:firstLine="641" w:firstLineChars="0"/>
        <w:rPr>
          <w:highlight w:val="none"/>
        </w:rPr>
      </w:pPr>
      <w:r>
        <w:rPr>
          <w:rFonts w:hint="eastAsia"/>
          <w:highlight w:val="none"/>
        </w:rPr>
        <w:t>建筑安装工程费指完成建设项目的建筑及安装工程施工、验收交付、质量缺陷保修所需的费用，不包括设备购置费用。</w:t>
      </w:r>
    </w:p>
    <w:p>
      <w:pPr>
        <w:pStyle w:val="17"/>
        <w:numPr>
          <w:ilvl w:val="0"/>
          <w:numId w:val="2"/>
        </w:numPr>
        <w:snapToGrid w:val="0"/>
        <w:spacing w:line="300" w:lineRule="auto"/>
        <w:ind w:left="0" w:firstLine="641" w:firstLineChars="0"/>
        <w:rPr>
          <w:highlight w:val="none"/>
        </w:rPr>
      </w:pPr>
      <w:r>
        <w:rPr>
          <w:rFonts w:hint="eastAsia"/>
          <w:highlight w:val="none"/>
        </w:rPr>
        <w:t>暂估价指由发包人在项目清单中给定的，用于支付必然发生但暂时不能确定价格的专业服务、材料、设备、专业工程的金额。</w:t>
      </w:r>
    </w:p>
    <w:p>
      <w:pPr>
        <w:pStyle w:val="17"/>
        <w:numPr>
          <w:ilvl w:val="0"/>
          <w:numId w:val="2"/>
        </w:numPr>
        <w:snapToGrid w:val="0"/>
        <w:spacing w:line="300" w:lineRule="auto"/>
        <w:ind w:left="0" w:firstLine="641" w:firstLineChars="0"/>
        <w:rPr>
          <w:highlight w:val="none"/>
        </w:rPr>
      </w:pPr>
      <w:r>
        <w:rPr>
          <w:rFonts w:hint="eastAsia"/>
          <w:highlight w:val="none"/>
        </w:rPr>
        <w:t>暂列金额指由发包人在项目清单中给定的，用于在签订合同时尚未确定或不可预见变更的设计、施工及其所需材料、工程设备、服务等的金额，包括标化工地暂列金额和优质工程暂列金额。</w:t>
      </w:r>
    </w:p>
    <w:p>
      <w:pPr>
        <w:pStyle w:val="17"/>
        <w:numPr>
          <w:ilvl w:val="0"/>
          <w:numId w:val="2"/>
        </w:numPr>
        <w:snapToGrid w:val="0"/>
        <w:spacing w:line="300" w:lineRule="auto"/>
        <w:ind w:left="0" w:firstLine="641" w:firstLineChars="0"/>
        <w:rPr>
          <w:highlight w:val="none"/>
        </w:rPr>
      </w:pPr>
      <w:r>
        <w:rPr>
          <w:rFonts w:hint="eastAsia"/>
          <w:highlight w:val="none"/>
        </w:rPr>
        <w:t>工程总承包其他费包括</w:t>
      </w:r>
      <w:r>
        <w:rPr>
          <w:rFonts w:hint="eastAsia"/>
          <w:highlight w:val="none"/>
          <w:lang w:eastAsia="zh-CN"/>
        </w:rPr>
        <w:t>总承包管理费、</w:t>
      </w:r>
      <w:r>
        <w:rPr>
          <w:rFonts w:hint="eastAsia"/>
          <w:highlight w:val="none"/>
        </w:rPr>
        <w:t>工程建设其他费和其他费用</w:t>
      </w:r>
      <w:r>
        <w:rPr>
          <w:rFonts w:hint="eastAsia"/>
          <w:highlight w:val="none"/>
          <w:lang w:eastAsia="zh-CN"/>
        </w:rPr>
        <w:t>三</w:t>
      </w:r>
      <w:r>
        <w:rPr>
          <w:rFonts w:hint="eastAsia"/>
          <w:highlight w:val="none"/>
        </w:rPr>
        <w:t>部分。</w:t>
      </w:r>
    </w:p>
    <w:p>
      <w:pPr>
        <w:pStyle w:val="17"/>
        <w:snapToGrid w:val="0"/>
        <w:spacing w:line="300" w:lineRule="auto"/>
        <w:ind w:firstLine="640"/>
        <w:rPr>
          <w:highlight w:val="none"/>
        </w:rPr>
      </w:pPr>
      <w:r>
        <w:rPr>
          <w:rFonts w:hint="eastAsia"/>
          <w:highlight w:val="none"/>
        </w:rPr>
        <w:t>（一）总承包管理费：指因工程总承包所增加的各类专业或专项工程设计及施工的组织、协调，及项目报批报建、整体验收移交等过程中所需增加的管理性质的费用。</w:t>
      </w:r>
    </w:p>
    <w:p>
      <w:pPr>
        <w:pStyle w:val="17"/>
        <w:snapToGrid w:val="0"/>
        <w:spacing w:line="300" w:lineRule="auto"/>
        <w:ind w:firstLine="640"/>
        <w:rPr>
          <w:highlight w:val="none"/>
        </w:rPr>
      </w:pPr>
      <w:r>
        <w:rPr>
          <w:rFonts w:hint="eastAsia"/>
          <w:highlight w:val="none"/>
        </w:rPr>
        <w:t>（二）工程建设其他费。指项目建设过程中需由工程总承包单位实施，且列入我省现行建设工程其他费用定额“工程建设其他费”中的相关费用，包括工程勘察费、工程保险费、场地准备及临时设施费、节能评估费、环境影响评价费、联合试运转费等。</w:t>
      </w:r>
    </w:p>
    <w:p>
      <w:pPr>
        <w:pStyle w:val="17"/>
        <w:snapToGrid w:val="0"/>
        <w:spacing w:line="300" w:lineRule="auto"/>
        <w:ind w:firstLine="640"/>
        <w:rPr>
          <w:highlight w:val="none"/>
        </w:rPr>
      </w:pPr>
      <w:r>
        <w:rPr>
          <w:rFonts w:hint="eastAsia"/>
          <w:highlight w:val="none"/>
        </w:rPr>
        <w:t>（三）其他费用。指项目建设过程中需由工程总承包单位实施，但前述费用中未包括的费用，如</w:t>
      </w:r>
      <w:r>
        <w:rPr>
          <w:highlight w:val="none"/>
        </w:rPr>
        <w:t>BIM技术应用</w:t>
      </w:r>
      <w:r>
        <w:rPr>
          <w:rFonts w:hint="eastAsia"/>
          <w:highlight w:val="none"/>
        </w:rPr>
        <w:t>、管线及苗木迁移等费用。</w:t>
      </w:r>
    </w:p>
    <w:p>
      <w:pPr>
        <w:pStyle w:val="3"/>
        <w:spacing w:line="300" w:lineRule="auto"/>
        <w:rPr>
          <w:highlight w:val="none"/>
        </w:rPr>
      </w:pPr>
      <w:r>
        <w:rPr>
          <w:rFonts w:hint="eastAsia"/>
          <w:highlight w:val="none"/>
        </w:rPr>
        <w:t>三、清单、招标控制价和投标报价编制</w:t>
      </w:r>
    </w:p>
    <w:p>
      <w:pPr>
        <w:pStyle w:val="17"/>
        <w:numPr>
          <w:ilvl w:val="0"/>
          <w:numId w:val="2"/>
        </w:numPr>
        <w:snapToGrid w:val="0"/>
        <w:spacing w:line="300" w:lineRule="auto"/>
        <w:ind w:left="0" w:firstLine="641" w:firstLineChars="0"/>
        <w:rPr>
          <w:highlight w:val="none"/>
        </w:rPr>
      </w:pPr>
      <w:r>
        <w:rPr>
          <w:rFonts w:hint="eastAsia"/>
          <w:highlight w:val="none"/>
        </w:rPr>
        <w:t>工程总承包项目清单作为招标文件的组成部分，应根据本办法有关规定并结合建设项目特点，参照本办法附件相应格式进行编制。</w:t>
      </w:r>
    </w:p>
    <w:p>
      <w:pPr>
        <w:pStyle w:val="17"/>
        <w:numPr>
          <w:ilvl w:val="0"/>
          <w:numId w:val="2"/>
        </w:numPr>
        <w:snapToGrid w:val="0"/>
        <w:spacing w:line="300" w:lineRule="auto"/>
        <w:ind w:left="0" w:firstLine="641" w:firstLineChars="0"/>
        <w:rPr>
          <w:highlight w:val="none"/>
        </w:rPr>
      </w:pPr>
      <w:r>
        <w:rPr>
          <w:rFonts w:hint="eastAsia"/>
          <w:highlight w:val="none"/>
        </w:rPr>
        <w:t>工程总承包项目招标应设置招标控制价作为投标的最高投标限价。招标控制价应按照项目估算或初步设计概算的编制方法及要求进行编制，并根据招标项目的具体条件和招标时的建设市场行情确定合理的浮动比例。</w:t>
      </w:r>
    </w:p>
    <w:p>
      <w:pPr>
        <w:pStyle w:val="17"/>
        <w:snapToGrid w:val="0"/>
        <w:spacing w:line="300" w:lineRule="auto"/>
        <w:ind w:firstLine="640"/>
        <w:rPr>
          <w:highlight w:val="none"/>
        </w:rPr>
      </w:pPr>
      <w:r>
        <w:rPr>
          <w:rFonts w:hint="eastAsia"/>
          <w:highlight w:val="none"/>
        </w:rPr>
        <w:t>招标控制价中的</w:t>
      </w:r>
      <w:r>
        <w:rPr>
          <w:highlight w:val="none"/>
        </w:rPr>
        <w:t>各项费用组成应与招标文件中承包人所需完成的工作内容相一致。</w:t>
      </w:r>
    </w:p>
    <w:p>
      <w:pPr>
        <w:pStyle w:val="17"/>
        <w:numPr>
          <w:ilvl w:val="0"/>
          <w:numId w:val="2"/>
        </w:numPr>
        <w:snapToGrid w:val="0"/>
        <w:spacing w:line="300" w:lineRule="auto"/>
        <w:ind w:left="0" w:firstLine="641" w:firstLineChars="0"/>
        <w:rPr>
          <w:highlight w:val="none"/>
        </w:rPr>
      </w:pPr>
      <w:r>
        <w:rPr>
          <w:rFonts w:hint="eastAsia"/>
          <w:highlight w:val="none"/>
        </w:rPr>
        <w:t>招标控制价各项费用的确定，如现行计价依据和政策文件有明确规定的，按相关规定执行；</w:t>
      </w:r>
      <w:r>
        <w:rPr>
          <w:rFonts w:hint="eastAsia"/>
          <w:highlight w:val="none"/>
          <w:lang w:eastAsia="zh-CN"/>
        </w:rPr>
        <w:t>对相关政策文件已明确实施市场调节价的各类费用，招标人应参考同期类似项目收费情况并结合市场因素，合理确定费用标准；</w:t>
      </w:r>
      <w:r>
        <w:rPr>
          <w:rFonts w:hint="eastAsia"/>
          <w:highlight w:val="none"/>
        </w:rPr>
        <w:t>未明确的，可按以下规定执行：</w:t>
      </w:r>
    </w:p>
    <w:p>
      <w:pPr>
        <w:pStyle w:val="17"/>
        <w:snapToGrid w:val="0"/>
        <w:spacing w:line="300" w:lineRule="auto"/>
        <w:ind w:firstLine="640"/>
        <w:rPr>
          <w:highlight w:val="none"/>
        </w:rPr>
      </w:pPr>
      <w:r>
        <w:rPr>
          <w:rFonts w:hint="eastAsia"/>
          <w:highlight w:val="none"/>
        </w:rPr>
        <w:t>（一）总承包管理费：</w:t>
      </w:r>
      <w:r>
        <w:rPr>
          <w:highlight w:val="none"/>
        </w:rPr>
        <w:t>根据项目</w:t>
      </w:r>
      <w:r>
        <w:rPr>
          <w:rFonts w:hint="eastAsia"/>
          <w:highlight w:val="none"/>
        </w:rPr>
        <w:t>实际</w:t>
      </w:r>
      <w:r>
        <w:rPr>
          <w:highlight w:val="none"/>
        </w:rPr>
        <w:t>，按</w:t>
      </w:r>
      <w:r>
        <w:rPr>
          <w:rFonts w:hint="eastAsia"/>
          <w:highlight w:val="none"/>
        </w:rPr>
        <w:t>《浙江省建设工程其他费用定额》</w:t>
      </w:r>
      <w:r>
        <w:rPr>
          <w:highlight w:val="none"/>
        </w:rPr>
        <w:t>中项目建设管理费的</w:t>
      </w:r>
      <w:r>
        <w:rPr>
          <w:rFonts w:hint="eastAsia"/>
          <w:highlight w:val="none"/>
        </w:rPr>
        <w:t>一定比例</w:t>
      </w:r>
      <w:r>
        <w:rPr>
          <w:highlight w:val="none"/>
        </w:rPr>
        <w:t>计取</w:t>
      </w:r>
      <w:r>
        <w:rPr>
          <w:rFonts w:hint="eastAsia"/>
          <w:highlight w:val="none"/>
        </w:rPr>
        <w:t>。</w:t>
      </w:r>
    </w:p>
    <w:p>
      <w:pPr>
        <w:pStyle w:val="17"/>
        <w:snapToGrid w:val="0"/>
        <w:spacing w:line="300" w:lineRule="auto"/>
        <w:ind w:firstLine="640"/>
        <w:rPr>
          <w:highlight w:val="none"/>
        </w:rPr>
      </w:pPr>
      <w:r>
        <w:rPr>
          <w:rFonts w:hint="eastAsia"/>
          <w:highlight w:val="none"/>
        </w:rPr>
        <w:t>（二）</w:t>
      </w:r>
      <w:r>
        <w:rPr>
          <w:highlight w:val="none"/>
        </w:rPr>
        <w:t>BIM技术应用</w:t>
      </w:r>
      <w:r>
        <w:rPr>
          <w:rFonts w:hint="eastAsia"/>
          <w:highlight w:val="none"/>
        </w:rPr>
        <w:t>费：参照</w:t>
      </w:r>
      <w:r>
        <w:rPr>
          <w:highlight w:val="none"/>
        </w:rPr>
        <w:t>《浙江省建筑信息模型（BIM）技术推广应用费用计价参考依据》（浙建建〔2017〕91号）计取</w:t>
      </w:r>
      <w:r>
        <w:rPr>
          <w:rFonts w:hint="eastAsia"/>
          <w:highlight w:val="none"/>
        </w:rPr>
        <w:t>。</w:t>
      </w:r>
    </w:p>
    <w:p>
      <w:pPr>
        <w:pStyle w:val="17"/>
        <w:snapToGrid w:val="0"/>
        <w:spacing w:line="300" w:lineRule="auto"/>
        <w:ind w:firstLine="640"/>
        <w:rPr>
          <w:highlight w:val="none"/>
        </w:rPr>
      </w:pPr>
      <w:r>
        <w:rPr>
          <w:rFonts w:hint="eastAsia"/>
          <w:highlight w:val="none"/>
        </w:rPr>
        <w:t>（三）管线及苗木迁移、临时租地等费用：根据工程实际，结合市场价格调研等因素综合计取。</w:t>
      </w:r>
    </w:p>
    <w:p>
      <w:pPr>
        <w:pStyle w:val="17"/>
        <w:snapToGrid w:val="0"/>
        <w:spacing w:line="300" w:lineRule="auto"/>
        <w:ind w:firstLine="640"/>
        <w:rPr>
          <w:highlight w:val="none"/>
        </w:rPr>
      </w:pPr>
      <w:r>
        <w:rPr>
          <w:rFonts w:hint="eastAsia"/>
          <w:highlight w:val="none"/>
        </w:rPr>
        <w:t>（四）暂估价：根据项目实际设置，</w:t>
      </w:r>
      <w:r>
        <w:rPr>
          <w:highlight w:val="none"/>
        </w:rPr>
        <w:t>具体</w:t>
      </w:r>
      <w:r>
        <w:rPr>
          <w:rFonts w:hint="eastAsia"/>
          <w:highlight w:val="none"/>
        </w:rPr>
        <w:t>数量和</w:t>
      </w:r>
      <w:r>
        <w:rPr>
          <w:highlight w:val="none"/>
        </w:rPr>
        <w:t>金额由招标人</w:t>
      </w:r>
      <w:r>
        <w:rPr>
          <w:rFonts w:hint="eastAsia"/>
          <w:highlight w:val="none"/>
        </w:rPr>
        <w:t>报项目所属建设行政主管部门批准后</w:t>
      </w:r>
      <w:r>
        <w:rPr>
          <w:highlight w:val="none"/>
        </w:rPr>
        <w:t>给定</w:t>
      </w:r>
      <w:r>
        <w:rPr>
          <w:rFonts w:hint="eastAsia"/>
          <w:highlight w:val="none"/>
        </w:rPr>
        <w:t>，</w:t>
      </w:r>
      <w:r>
        <w:rPr>
          <w:highlight w:val="none"/>
        </w:rPr>
        <w:t>并计入合同价</w:t>
      </w:r>
      <w:r>
        <w:rPr>
          <w:rFonts w:hint="eastAsia"/>
          <w:highlight w:val="none"/>
        </w:rPr>
        <w:t>。</w:t>
      </w:r>
    </w:p>
    <w:p>
      <w:pPr>
        <w:pStyle w:val="17"/>
        <w:snapToGrid w:val="0"/>
        <w:spacing w:line="300" w:lineRule="auto"/>
        <w:ind w:firstLine="640"/>
        <w:rPr>
          <w:highlight w:val="none"/>
        </w:rPr>
      </w:pPr>
      <w:r>
        <w:rPr>
          <w:rFonts w:hint="eastAsia"/>
          <w:highlight w:val="none"/>
        </w:rPr>
        <w:t>（五）暂列金额：</w:t>
      </w:r>
      <w:r>
        <w:rPr>
          <w:highlight w:val="none"/>
        </w:rPr>
        <w:t>具体金额由招标人给定并计入合同价。</w:t>
      </w:r>
      <w:r>
        <w:rPr>
          <w:rFonts w:hint="eastAsia"/>
          <w:highlight w:val="none"/>
        </w:rPr>
        <w:t>其中，标化工地和优质工程暂列金额根据我省建设工程计价规则有关规定按要求等级对应费率计算，其余费用根</w:t>
      </w:r>
      <w:r>
        <w:rPr>
          <w:highlight w:val="none"/>
        </w:rPr>
        <w:t>据项目</w:t>
      </w:r>
      <w:r>
        <w:rPr>
          <w:rFonts w:hint="eastAsia"/>
          <w:highlight w:val="none"/>
        </w:rPr>
        <w:t>实际设置</w:t>
      </w:r>
      <w:r>
        <w:rPr>
          <w:highlight w:val="none"/>
        </w:rPr>
        <w:t>，</w:t>
      </w:r>
      <w:r>
        <w:rPr>
          <w:rFonts w:hint="eastAsia"/>
          <w:highlight w:val="none"/>
        </w:rPr>
        <w:t>不高于</w:t>
      </w:r>
      <w:r>
        <w:rPr>
          <w:highlight w:val="none"/>
        </w:rPr>
        <w:t>工程设计费、设备购置费、建筑安装工程费之和的5%</w:t>
      </w:r>
      <w:r>
        <w:rPr>
          <w:rFonts w:hint="eastAsia"/>
          <w:highlight w:val="none"/>
        </w:rPr>
        <w:t>确定。</w:t>
      </w:r>
      <w:r>
        <w:rPr>
          <w:highlight w:val="none"/>
        </w:rPr>
        <w:t xml:space="preserve"> </w:t>
      </w:r>
    </w:p>
    <w:p>
      <w:pPr>
        <w:pStyle w:val="17"/>
        <w:numPr>
          <w:ilvl w:val="0"/>
          <w:numId w:val="2"/>
        </w:numPr>
        <w:snapToGrid w:val="0"/>
        <w:spacing w:line="300" w:lineRule="auto"/>
        <w:ind w:left="0" w:firstLine="641" w:firstLineChars="0"/>
        <w:rPr>
          <w:highlight w:val="none"/>
        </w:rPr>
      </w:pPr>
      <w:r>
        <w:rPr>
          <w:rFonts w:hint="eastAsia"/>
          <w:highlight w:val="none"/>
        </w:rPr>
        <w:t>工程总承包项目的投标报价依据招标文件以及招标人提供的工程总承包项目清单、设计文件等，并结合工程特点、市场因素及企业自身情况进行编制。</w:t>
      </w:r>
    </w:p>
    <w:p>
      <w:pPr>
        <w:pStyle w:val="3"/>
        <w:spacing w:line="300" w:lineRule="auto"/>
        <w:rPr>
          <w:highlight w:val="none"/>
        </w:rPr>
      </w:pPr>
      <w:r>
        <w:rPr>
          <w:rFonts w:hint="eastAsia"/>
          <w:highlight w:val="none"/>
        </w:rPr>
        <w:t>四、合同价款的确定与调整</w:t>
      </w:r>
    </w:p>
    <w:p>
      <w:pPr>
        <w:pStyle w:val="17"/>
        <w:numPr>
          <w:ilvl w:val="0"/>
          <w:numId w:val="2"/>
        </w:numPr>
        <w:snapToGrid w:val="0"/>
        <w:spacing w:line="300" w:lineRule="auto"/>
        <w:ind w:left="0" w:firstLine="641" w:firstLineChars="0"/>
        <w:rPr>
          <w:highlight w:val="none"/>
        </w:rPr>
      </w:pPr>
      <w:r>
        <w:rPr>
          <w:rFonts w:hint="eastAsia"/>
          <w:highlight w:val="none"/>
        </w:rPr>
        <w:t>工程总承包合同宜采用总价合同，但因工程项目特殊、条件复杂等因素难以确定项目总价的，也可采用单价合同、成本加酬金等其他价格合同形式。</w:t>
      </w:r>
    </w:p>
    <w:p>
      <w:pPr>
        <w:pStyle w:val="17"/>
        <w:numPr>
          <w:ilvl w:val="0"/>
          <w:numId w:val="2"/>
        </w:numPr>
        <w:snapToGrid w:val="0"/>
        <w:spacing w:line="300" w:lineRule="auto"/>
        <w:ind w:left="0" w:firstLine="641" w:firstLineChars="0"/>
        <w:rPr>
          <w:highlight w:val="none"/>
        </w:rPr>
      </w:pPr>
      <w:r>
        <w:rPr>
          <w:rFonts w:hint="eastAsia"/>
          <w:highlight w:val="none"/>
        </w:rPr>
        <w:t>工程总承包项目采用总价合同的，除合同约定可以调整的情形外，合同总价不予调整。调整的情形主要包括以下内容，具体调整范围和调整方法由双方在合同中约定。</w:t>
      </w:r>
    </w:p>
    <w:p>
      <w:pPr>
        <w:pStyle w:val="17"/>
        <w:snapToGrid w:val="0"/>
        <w:spacing w:line="300" w:lineRule="auto"/>
        <w:ind w:firstLine="641" w:firstLineChars="0"/>
        <w:rPr>
          <w:highlight w:val="none"/>
        </w:rPr>
      </w:pPr>
      <w:r>
        <w:rPr>
          <w:rFonts w:hint="eastAsia"/>
          <w:highlight w:val="none"/>
        </w:rPr>
        <w:t>（一）主要工程材料、设备、人工价格与招标时基期价（指基准日所在月份对应的省、市造价管理机构发布的信息价格）相比，波动幅度超过合同约定幅度的部分；</w:t>
      </w:r>
    </w:p>
    <w:p>
      <w:pPr>
        <w:pStyle w:val="17"/>
        <w:snapToGrid w:val="0"/>
        <w:spacing w:line="300" w:lineRule="auto"/>
        <w:ind w:firstLine="641" w:firstLineChars="0"/>
        <w:rPr>
          <w:highlight w:val="none"/>
        </w:rPr>
      </w:pPr>
      <w:r>
        <w:rPr>
          <w:rFonts w:hint="eastAsia"/>
          <w:highlight w:val="none"/>
        </w:rPr>
        <w:t>（二）因国家法律法规政策变化引起的合同价格的变化；</w:t>
      </w:r>
    </w:p>
    <w:p>
      <w:pPr>
        <w:pStyle w:val="17"/>
        <w:snapToGrid w:val="0"/>
        <w:spacing w:line="300" w:lineRule="auto"/>
        <w:ind w:firstLine="641" w:firstLineChars="0"/>
        <w:rPr>
          <w:highlight w:val="none"/>
        </w:rPr>
      </w:pPr>
      <w:r>
        <w:rPr>
          <w:rFonts w:hint="eastAsia"/>
          <w:highlight w:val="none"/>
        </w:rPr>
        <w:t>（三）不可预见的地质条件造成的工程费用的变化；</w:t>
      </w:r>
    </w:p>
    <w:p>
      <w:pPr>
        <w:pStyle w:val="17"/>
        <w:snapToGrid w:val="0"/>
        <w:spacing w:line="300" w:lineRule="auto"/>
        <w:ind w:firstLine="641" w:firstLineChars="0"/>
        <w:rPr>
          <w:highlight w:val="none"/>
        </w:rPr>
      </w:pPr>
      <w:r>
        <w:rPr>
          <w:rFonts w:hint="eastAsia"/>
          <w:highlight w:val="none"/>
        </w:rPr>
        <w:t>（四）因建设单位原因产生的工程费用的变化；</w:t>
      </w:r>
    </w:p>
    <w:p>
      <w:pPr>
        <w:pStyle w:val="17"/>
        <w:snapToGrid w:val="0"/>
        <w:spacing w:line="300" w:lineRule="auto"/>
        <w:ind w:firstLine="641" w:firstLineChars="0"/>
        <w:rPr>
          <w:highlight w:val="none"/>
        </w:rPr>
      </w:pPr>
      <w:r>
        <w:rPr>
          <w:rFonts w:hint="eastAsia"/>
          <w:highlight w:val="none"/>
        </w:rPr>
        <w:t>（五）不可抗力造成的工程费用的变化。</w:t>
      </w:r>
    </w:p>
    <w:p>
      <w:pPr>
        <w:pStyle w:val="17"/>
        <w:numPr>
          <w:ilvl w:val="0"/>
          <w:numId w:val="2"/>
        </w:numPr>
        <w:snapToGrid w:val="0"/>
        <w:spacing w:line="300" w:lineRule="auto"/>
        <w:ind w:left="0" w:firstLine="641" w:firstLineChars="0"/>
        <w:rPr>
          <w:highlight w:val="none"/>
        </w:rPr>
      </w:pPr>
      <w:r>
        <w:rPr>
          <w:rFonts w:hint="eastAsia"/>
          <w:highlight w:val="none"/>
        </w:rPr>
        <w:t>主要工程材料、设备、人工价格等市场要素价格调整方式及价差计算方法参照我市杭建市发〔</w:t>
      </w:r>
      <w:r>
        <w:rPr>
          <w:highlight w:val="none"/>
        </w:rPr>
        <w:t>2018〕579号</w:t>
      </w:r>
      <w:r>
        <w:rPr>
          <w:rFonts w:hint="eastAsia"/>
          <w:highlight w:val="none"/>
        </w:rPr>
        <w:t>文有关规定执行。对采用总价合同的，其用于调差的人工及主要工程材料的消耗量，可参照同类项目的造价指标数据，在招标文件中事先予以约定。</w:t>
      </w:r>
    </w:p>
    <w:p>
      <w:pPr>
        <w:pStyle w:val="17"/>
        <w:numPr>
          <w:ilvl w:val="0"/>
          <w:numId w:val="2"/>
        </w:numPr>
        <w:snapToGrid w:val="0"/>
        <w:spacing w:line="300" w:lineRule="auto"/>
        <w:ind w:left="0" w:firstLine="641" w:firstLineChars="0"/>
        <w:rPr>
          <w:highlight w:val="none"/>
        </w:rPr>
      </w:pPr>
      <w:r>
        <w:rPr>
          <w:rFonts w:hint="eastAsia"/>
          <w:highlight w:val="none"/>
        </w:rPr>
        <w:t>对因建筑面积变化而引起工程变更的，应在招标文件中事先明确基准建筑面积的计算方法。</w:t>
      </w:r>
    </w:p>
    <w:p>
      <w:pPr>
        <w:pStyle w:val="17"/>
        <w:numPr>
          <w:ilvl w:val="0"/>
          <w:numId w:val="2"/>
        </w:numPr>
        <w:snapToGrid w:val="0"/>
        <w:spacing w:line="300" w:lineRule="auto"/>
        <w:ind w:left="0" w:firstLine="641" w:firstLineChars="0"/>
        <w:rPr>
          <w:highlight w:val="none"/>
        </w:rPr>
      </w:pPr>
      <w:r>
        <w:rPr>
          <w:rFonts w:hint="eastAsia"/>
          <w:highlight w:val="none"/>
        </w:rPr>
        <w:t>因建设单位原因产生的工程费用调整，合同无类似价格可参考时，可按下列方法确定：</w:t>
      </w:r>
    </w:p>
    <w:p>
      <w:pPr>
        <w:pStyle w:val="17"/>
        <w:snapToGrid w:val="0"/>
        <w:spacing w:line="300" w:lineRule="auto"/>
        <w:ind w:firstLine="640"/>
        <w:rPr>
          <w:highlight w:val="none"/>
        </w:rPr>
      </w:pPr>
      <w:r>
        <w:rPr>
          <w:rFonts w:hint="eastAsia"/>
          <w:highlight w:val="none"/>
        </w:rPr>
        <w:t>（一）工程设计费、总承包管理费：工程调整部分的建设规模或工程造价，超过招标时总建设规模或总造价的</w:t>
      </w:r>
      <w:r>
        <w:rPr>
          <w:highlight w:val="none"/>
        </w:rPr>
        <w:t>5%</w:t>
      </w:r>
      <w:r>
        <w:rPr>
          <w:rFonts w:hint="eastAsia"/>
          <w:highlight w:val="none"/>
        </w:rPr>
        <w:t>以上时，</w:t>
      </w:r>
      <w:r>
        <w:rPr>
          <w:highlight w:val="none"/>
        </w:rPr>
        <w:t>其超出5%以上部分由发承包双方协商确定</w:t>
      </w:r>
      <w:r>
        <w:rPr>
          <w:rFonts w:hint="eastAsia"/>
          <w:highlight w:val="none"/>
        </w:rPr>
        <w:t>。</w:t>
      </w:r>
    </w:p>
    <w:p>
      <w:pPr>
        <w:pStyle w:val="17"/>
        <w:snapToGrid w:val="0"/>
        <w:spacing w:line="300" w:lineRule="auto"/>
        <w:ind w:firstLine="640"/>
        <w:rPr>
          <w:highlight w:val="none"/>
        </w:rPr>
      </w:pPr>
      <w:r>
        <w:rPr>
          <w:rFonts w:hint="eastAsia"/>
          <w:highlight w:val="none"/>
        </w:rPr>
        <w:t>（二）设备购置费：按双方共同以询价或招标方式确定后的价格计入。</w:t>
      </w:r>
    </w:p>
    <w:p>
      <w:pPr>
        <w:pStyle w:val="17"/>
        <w:snapToGrid w:val="0"/>
        <w:spacing w:line="300" w:lineRule="auto"/>
        <w:ind w:firstLine="640"/>
        <w:rPr>
          <w:highlight w:val="none"/>
        </w:rPr>
      </w:pPr>
      <w:r>
        <w:rPr>
          <w:rFonts w:hint="eastAsia"/>
          <w:highlight w:val="none"/>
        </w:rPr>
        <w:t>（三）建筑安装工程费：按现行计价依据规定的方法计算，同时考虑让利幅度。</w:t>
      </w:r>
    </w:p>
    <w:p>
      <w:pPr>
        <w:pStyle w:val="17"/>
        <w:snapToGrid w:val="0"/>
        <w:spacing w:line="300" w:lineRule="auto"/>
        <w:ind w:firstLine="640"/>
        <w:rPr>
          <w:rFonts w:hint="eastAsia" w:eastAsia="华文仿宋"/>
          <w:highlight w:val="none"/>
          <w:lang w:eastAsia="zh-CN"/>
        </w:rPr>
      </w:pPr>
      <w:r>
        <w:rPr>
          <w:rFonts w:hint="eastAsia"/>
          <w:highlight w:val="none"/>
        </w:rPr>
        <w:t>让利幅度＝1－投标价中建筑安装工程费</w:t>
      </w:r>
      <w:r>
        <w:rPr>
          <w:rFonts w:hint="eastAsia"/>
          <w:highlight w:val="none"/>
          <w:lang w:eastAsia="zh-CN"/>
        </w:rPr>
        <w:t>（扣除暂估、暂列金额）</w:t>
      </w:r>
      <w:r>
        <w:rPr>
          <w:rFonts w:hint="eastAsia"/>
          <w:highlight w:val="none"/>
        </w:rPr>
        <w:t>/最高投标限价中建筑安装工程费</w:t>
      </w:r>
      <w:r>
        <w:rPr>
          <w:rFonts w:hint="eastAsia"/>
          <w:highlight w:val="none"/>
          <w:lang w:eastAsia="zh-CN"/>
        </w:rPr>
        <w:t>（扣除暂估、暂列金额）</w:t>
      </w:r>
    </w:p>
    <w:p>
      <w:pPr>
        <w:pStyle w:val="17"/>
        <w:numPr>
          <w:ilvl w:val="0"/>
          <w:numId w:val="2"/>
        </w:numPr>
        <w:snapToGrid w:val="0"/>
        <w:spacing w:line="300" w:lineRule="auto"/>
        <w:ind w:left="0" w:firstLine="640" w:firstLineChars="0"/>
        <w:rPr>
          <w:highlight w:val="none"/>
        </w:rPr>
      </w:pPr>
      <w:r>
        <w:rPr>
          <w:rFonts w:hint="eastAsia"/>
          <w:highlight w:val="none"/>
        </w:rPr>
        <w:t>鼓励工程总承包企业积极对合同中发包人要求及原设计文件提出合理化建议，书面合理化建议经采纳并构成变更时，其价款调整按合同中“变更”条款的有关约定执行。</w:t>
      </w:r>
      <w:r>
        <w:rPr>
          <w:rFonts w:hint="eastAsia" w:ascii="宋体" w:hAnsi="宋体"/>
          <w:szCs w:val="21"/>
          <w:highlight w:val="none"/>
        </w:rPr>
        <w:t>合理化建议的实施降低了合同价格、缩短了工期或者提高了工程经济效益的，发包人可通过在专用合同条款中约定等方式，给予一定比例的奖励。</w:t>
      </w:r>
    </w:p>
    <w:p>
      <w:pPr>
        <w:pStyle w:val="17"/>
        <w:numPr>
          <w:ilvl w:val="0"/>
          <w:numId w:val="2"/>
        </w:numPr>
        <w:snapToGrid w:val="0"/>
        <w:spacing w:line="300" w:lineRule="auto"/>
        <w:ind w:left="0" w:firstLine="640" w:firstLineChars="0"/>
        <w:rPr>
          <w:highlight w:val="none"/>
        </w:rPr>
      </w:pPr>
      <w:r>
        <w:rPr>
          <w:rFonts w:hint="eastAsia"/>
          <w:highlight w:val="none"/>
        </w:rPr>
        <w:t>工程总承包项目实行限额设计，投标报价中各分部的报价是限额设计的依据和目标，对承包人通过采用设计优化、先进施工技术及管理方式节约的费用，在满足合同约定及发包人要求的前提下，承包人有权进行自主调配。</w:t>
      </w:r>
    </w:p>
    <w:p>
      <w:pPr>
        <w:pStyle w:val="17"/>
        <w:numPr>
          <w:ilvl w:val="0"/>
          <w:numId w:val="2"/>
        </w:numPr>
        <w:snapToGrid w:val="0"/>
        <w:spacing w:line="300" w:lineRule="auto"/>
        <w:ind w:left="0" w:firstLine="640" w:firstLineChars="0"/>
        <w:rPr>
          <w:highlight w:val="none"/>
        </w:rPr>
      </w:pPr>
      <w:bookmarkStart w:id="1" w:name="_Ref56888140"/>
      <w:r>
        <w:rPr>
          <w:rFonts w:hint="eastAsia"/>
          <w:highlight w:val="none"/>
        </w:rPr>
        <w:t>以暂估价形式包括在总承包范围内的专业工程、设备和主材，除达到国家规定规模标准，应当依法进行招标外，可采用询价、竞争性谈判等方式确定其价格。</w:t>
      </w:r>
      <w:bookmarkEnd w:id="1"/>
      <w:r>
        <w:rPr>
          <w:rFonts w:hint="eastAsia"/>
          <w:highlight w:val="none"/>
        </w:rPr>
        <w:t>上述专业工程、设备和主材根据合同约定，由发包人签订合同的，按我省建设工程计价规则相关规定计取专业发包工程管理费、甲供材料保管费和甲供设备保管费；</w:t>
      </w:r>
      <w:r>
        <w:rPr>
          <w:rFonts w:hint="eastAsia"/>
          <w:highlight w:val="none"/>
        </w:rPr>
        <w:t>发包人确定价格后由承包人签订合同的，专业发包工程管理费、材料采购管理费和设备采购管理费按本办法附表5-1“</w:t>
      </w:r>
      <w:r>
        <w:rPr>
          <w:highlight w:val="none"/>
        </w:rPr>
        <w:t>工程总承包专项服务费</w:t>
      </w:r>
      <w:r>
        <w:rPr>
          <w:rFonts w:hint="eastAsia"/>
          <w:highlight w:val="none"/>
        </w:rPr>
        <w:t>计价表”填报。</w:t>
      </w:r>
    </w:p>
    <w:p>
      <w:pPr>
        <w:pStyle w:val="3"/>
        <w:spacing w:line="300" w:lineRule="auto"/>
        <w:rPr>
          <w:highlight w:val="none"/>
        </w:rPr>
      </w:pPr>
      <w:r>
        <w:rPr>
          <w:rFonts w:hint="eastAsia"/>
          <w:highlight w:val="none"/>
        </w:rPr>
        <w:t>五、合同价款的支付及结算</w:t>
      </w:r>
    </w:p>
    <w:p>
      <w:pPr>
        <w:pStyle w:val="17"/>
        <w:numPr>
          <w:ilvl w:val="0"/>
          <w:numId w:val="2"/>
        </w:numPr>
        <w:snapToGrid w:val="0"/>
        <w:spacing w:line="300" w:lineRule="auto"/>
        <w:ind w:left="0" w:firstLine="640" w:firstLineChars="0"/>
        <w:rPr>
          <w:highlight w:val="none"/>
        </w:rPr>
      </w:pPr>
      <w:r>
        <w:rPr>
          <w:rFonts w:hint="eastAsia"/>
          <w:highlight w:val="none"/>
        </w:rPr>
        <w:t>工程总承包项目合同中各项费用应根据价格清单的费用构成、工程进度安排等合理约定工程预付款、工程进度款的支付比例和支付方法。其中工程设计费、设备购置费、建筑安装工程费等可按以下规定进行支付。</w:t>
      </w:r>
    </w:p>
    <w:p>
      <w:pPr>
        <w:pStyle w:val="17"/>
        <w:snapToGrid w:val="0"/>
        <w:spacing w:line="300" w:lineRule="auto"/>
        <w:ind w:firstLine="640"/>
        <w:rPr>
          <w:highlight w:val="none"/>
        </w:rPr>
      </w:pPr>
      <w:r>
        <w:rPr>
          <w:rFonts w:hint="eastAsia"/>
          <w:highlight w:val="none"/>
        </w:rPr>
        <w:t>（一）工程设计费：通过施工图图审的，支付比例不少于5</w:t>
      </w:r>
      <w:r>
        <w:rPr>
          <w:highlight w:val="none"/>
        </w:rPr>
        <w:t>0</w:t>
      </w:r>
      <w:r>
        <w:rPr>
          <w:rFonts w:hint="eastAsia"/>
          <w:highlight w:val="none"/>
        </w:rPr>
        <w:t>%；完成所有专项设计且通过主体结构验收的，支付比例不少于</w:t>
      </w:r>
      <w:r>
        <w:rPr>
          <w:highlight w:val="none"/>
        </w:rPr>
        <w:t>80</w:t>
      </w:r>
      <w:r>
        <w:rPr>
          <w:rFonts w:hint="eastAsia"/>
          <w:highlight w:val="none"/>
        </w:rPr>
        <w:t>%；通过竣工验收并完成各项资料备案手续的，支付比例不少于</w:t>
      </w:r>
      <w:r>
        <w:rPr>
          <w:highlight w:val="none"/>
        </w:rPr>
        <w:t>95</w:t>
      </w:r>
      <w:r>
        <w:rPr>
          <w:rFonts w:hint="eastAsia"/>
          <w:highlight w:val="none"/>
        </w:rPr>
        <w:t>%。</w:t>
      </w:r>
    </w:p>
    <w:p>
      <w:pPr>
        <w:pStyle w:val="17"/>
        <w:snapToGrid w:val="0"/>
        <w:spacing w:line="300" w:lineRule="auto"/>
        <w:ind w:firstLine="640"/>
        <w:rPr>
          <w:highlight w:val="none"/>
        </w:rPr>
      </w:pPr>
      <w:r>
        <w:rPr>
          <w:rFonts w:hint="eastAsia"/>
          <w:highlight w:val="none"/>
        </w:rPr>
        <w:t>（二）设备购置费：对采用询价或公开招标方式确定价格的设备，可按承包人签订的采购合同相应节点和金额进行支付，但采购合同涉及款项支付的相关条款需提前报发包人批准。</w:t>
      </w:r>
    </w:p>
    <w:p>
      <w:pPr>
        <w:pStyle w:val="17"/>
        <w:snapToGrid w:val="0"/>
        <w:spacing w:line="300" w:lineRule="auto"/>
        <w:ind w:firstLine="640"/>
        <w:rPr>
          <w:rFonts w:hint="eastAsia" w:eastAsia="华文仿宋"/>
          <w:highlight w:val="none"/>
          <w:lang w:eastAsia="zh-CN"/>
        </w:rPr>
      </w:pPr>
      <w:r>
        <w:rPr>
          <w:rFonts w:hint="eastAsia"/>
          <w:highlight w:val="none"/>
        </w:rPr>
        <w:t>（三）建筑安装工程费：根据经审核后的进度款支付申请按月或按节点进行支付，支付比例应不低于已完成工程量的</w:t>
      </w:r>
      <w:r>
        <w:rPr>
          <w:highlight w:val="none"/>
        </w:rPr>
        <w:t>80%</w:t>
      </w:r>
      <w:r>
        <w:rPr>
          <w:rFonts w:hint="eastAsia"/>
          <w:highlight w:val="none"/>
        </w:rPr>
        <w:t>。</w:t>
      </w:r>
    </w:p>
    <w:p>
      <w:pPr>
        <w:pStyle w:val="17"/>
        <w:numPr>
          <w:ilvl w:val="0"/>
          <w:numId w:val="3"/>
        </w:numPr>
        <w:snapToGrid w:val="0"/>
        <w:spacing w:line="300" w:lineRule="auto"/>
        <w:ind w:firstLine="640"/>
        <w:rPr>
          <w:highlight w:val="none"/>
        </w:rPr>
      </w:pPr>
      <w:r>
        <w:rPr>
          <w:rFonts w:hint="eastAsia"/>
          <w:highlight w:val="none"/>
        </w:rPr>
        <w:t>安全文明施工基本费：按照</w:t>
      </w:r>
      <w:r>
        <w:rPr>
          <w:rFonts w:hint="eastAsia" w:ascii="仿宋" w:hAnsi="仿宋" w:eastAsia="仿宋"/>
          <w:highlight w:val="none"/>
        </w:rPr>
        <w:t>不低于省建设行政主管部门颁发的施工费用定额和相关取费计价文件规定的弹性费率下限的计算值</w:t>
      </w:r>
      <w:r>
        <w:rPr>
          <w:rFonts w:hint="eastAsia"/>
          <w:highlight w:val="none"/>
        </w:rPr>
        <w:t>，</w:t>
      </w:r>
      <w:r>
        <w:rPr>
          <w:rFonts w:hint="eastAsia"/>
          <w:highlight w:val="none"/>
        </w:rPr>
        <w:t>具体金额由招标人在项目清单中给定</w:t>
      </w:r>
      <w:r>
        <w:rPr>
          <w:rFonts w:hint="eastAsia"/>
          <w:highlight w:val="none"/>
        </w:rPr>
        <w:t>。对国有资金投资的建设项目，发包人在开工后</w:t>
      </w:r>
      <w:r>
        <w:rPr>
          <w:highlight w:val="none"/>
        </w:rPr>
        <w:t xml:space="preserve"> 28 天内</w:t>
      </w:r>
      <w:r>
        <w:rPr>
          <w:rFonts w:hint="eastAsia"/>
          <w:highlight w:val="none"/>
        </w:rPr>
        <w:t>预</w:t>
      </w:r>
      <w:r>
        <w:rPr>
          <w:highlight w:val="none"/>
        </w:rPr>
        <w:t>付安全文明施工费用不得低于该费用总额的60%；</w:t>
      </w:r>
      <w:r>
        <w:rPr>
          <w:rFonts w:hint="eastAsia"/>
          <w:highlight w:val="none"/>
        </w:rPr>
        <w:t>非国有资金投资项目，不得低于</w:t>
      </w:r>
      <w:r>
        <w:rPr>
          <w:highlight w:val="none"/>
        </w:rPr>
        <w:t>该费用总额的50%。</w:t>
      </w:r>
    </w:p>
    <w:p>
      <w:pPr>
        <w:pStyle w:val="17"/>
        <w:numPr>
          <w:ilvl w:val="0"/>
          <w:numId w:val="3"/>
        </w:numPr>
        <w:snapToGrid w:val="0"/>
        <w:spacing w:line="300" w:lineRule="auto"/>
        <w:ind w:left="0" w:leftChars="0" w:firstLine="640" w:firstLineChars="200"/>
        <w:rPr>
          <w:rFonts w:hint="eastAsia"/>
          <w:highlight w:val="none"/>
        </w:rPr>
      </w:pPr>
      <w:r>
        <w:rPr>
          <w:rFonts w:hint="eastAsia"/>
          <w:highlight w:val="none"/>
        </w:rPr>
        <w:t>标化工地增加费、优质工程增加费：视实际获得情况</w:t>
      </w:r>
      <w:r>
        <w:rPr>
          <w:rFonts w:hint="eastAsia"/>
          <w:highlight w:val="none"/>
          <w:lang w:eastAsia="zh-CN"/>
        </w:rPr>
        <w:t>按合同约定支付</w:t>
      </w:r>
      <w:r>
        <w:rPr>
          <w:rFonts w:hint="eastAsia"/>
          <w:highlight w:val="none"/>
        </w:rPr>
        <w:t>。</w:t>
      </w:r>
    </w:p>
    <w:p>
      <w:pPr>
        <w:pStyle w:val="17"/>
        <w:numPr>
          <w:ilvl w:val="0"/>
          <w:numId w:val="0"/>
        </w:numPr>
        <w:snapToGrid w:val="0"/>
        <w:spacing w:line="300" w:lineRule="auto"/>
        <w:ind w:leftChars="200"/>
        <w:rPr>
          <w:rFonts w:hint="eastAsia" w:ascii="华文仿宋" w:hAnsi="华文仿宋" w:eastAsia="华文仿宋" w:cs="华文仿宋"/>
          <w:highlight w:val="none"/>
          <w:lang w:val="en-US" w:eastAsia="zh-CN"/>
        </w:rPr>
      </w:pPr>
      <w:r>
        <w:rPr>
          <w:rFonts w:hint="eastAsia"/>
          <w:b/>
          <w:bCs/>
          <w:highlight w:val="none"/>
          <w:lang w:eastAsia="zh-CN"/>
        </w:rPr>
        <w:t>第二十三条</w:t>
      </w:r>
      <w:r>
        <w:rPr>
          <w:rFonts w:hint="eastAsia"/>
          <w:highlight w:val="none"/>
          <w:lang w:val="en-US" w:eastAsia="zh-CN"/>
        </w:rPr>
        <w:t xml:space="preserve">  </w:t>
      </w:r>
      <w:r>
        <w:rPr>
          <w:rFonts w:hint="eastAsia" w:ascii="华文仿宋" w:hAnsi="华文仿宋" w:eastAsia="华文仿宋" w:cs="华文仿宋"/>
          <w:highlight w:val="none"/>
          <w:lang w:val="en-US" w:eastAsia="zh-CN"/>
        </w:rPr>
        <w:t>发承包双方应加强</w:t>
      </w:r>
      <w:r>
        <w:rPr>
          <w:rFonts w:hint="eastAsia" w:cs="华文仿宋"/>
          <w:highlight w:val="none"/>
          <w:lang w:val="en-US" w:eastAsia="zh-CN"/>
        </w:rPr>
        <w:t>项目</w:t>
      </w:r>
      <w:r>
        <w:rPr>
          <w:rFonts w:hint="eastAsia" w:ascii="华文仿宋" w:hAnsi="华文仿宋" w:eastAsia="华文仿宋" w:cs="华文仿宋"/>
          <w:highlight w:val="none"/>
          <w:lang w:val="en-US" w:eastAsia="zh-CN"/>
        </w:rPr>
        <w:t>投资的动态管理和监</w:t>
      </w:r>
    </w:p>
    <w:p>
      <w:pPr>
        <w:pStyle w:val="17"/>
        <w:numPr>
          <w:ilvl w:val="0"/>
          <w:numId w:val="0"/>
        </w:numPr>
        <w:snapToGrid w:val="0"/>
        <w:spacing w:line="300" w:lineRule="auto"/>
        <w:rPr>
          <w:rFonts w:hint="eastAsia" w:ascii="华文仿宋" w:hAnsi="华文仿宋" w:eastAsia="华文仿宋" w:cs="华文仿宋"/>
          <w:highlight w:val="none"/>
          <w:lang w:val="en-US" w:eastAsia="zh-CN"/>
        </w:rPr>
      </w:pPr>
      <w:r>
        <w:rPr>
          <w:rFonts w:hint="eastAsia" w:ascii="华文仿宋" w:hAnsi="华文仿宋" w:eastAsia="华文仿宋" w:cs="华文仿宋"/>
          <w:highlight w:val="none"/>
          <w:lang w:val="en-US" w:eastAsia="zh-CN"/>
        </w:rPr>
        <w:t>控，发包方支付工程款时，应考虑限额设计实现情况，结合实际完成产值支付，避免超投标价支付风险。工程总承包单位对可能超投标价的调整事项，应及时与发包方沟通。</w:t>
      </w:r>
    </w:p>
    <w:p>
      <w:pPr>
        <w:pStyle w:val="17"/>
        <w:numPr>
          <w:ilvl w:val="0"/>
          <w:numId w:val="2"/>
        </w:numPr>
        <w:snapToGrid w:val="0"/>
        <w:spacing w:line="300" w:lineRule="auto"/>
        <w:ind w:left="0" w:firstLine="640" w:firstLineChars="0"/>
        <w:rPr>
          <w:highlight w:val="none"/>
        </w:rPr>
      </w:pPr>
      <w:r>
        <w:rPr>
          <w:rFonts w:hint="eastAsia"/>
          <w:highlight w:val="none"/>
        </w:rPr>
        <w:t>鼓励工程总承包项目推行施工过程结算，施工过程结算周期可按施工形象进度节点划分，做到与工程进度款支付节点相衔接。对实施施工过程结算的项目推行全过程造价咨询，及时办理工程变更签证和施工过程结算审核。</w:t>
      </w:r>
    </w:p>
    <w:p>
      <w:pPr>
        <w:pStyle w:val="17"/>
        <w:numPr>
          <w:ilvl w:val="0"/>
          <w:numId w:val="2"/>
        </w:numPr>
        <w:snapToGrid w:val="0"/>
        <w:spacing w:line="300" w:lineRule="auto"/>
        <w:ind w:left="0" w:firstLine="640" w:firstLineChars="0"/>
        <w:rPr>
          <w:highlight w:val="none"/>
        </w:rPr>
      </w:pPr>
      <w:r>
        <w:rPr>
          <w:rFonts w:hint="eastAsia"/>
          <w:highlight w:val="none"/>
        </w:rPr>
        <w:t>对于采用总价合同的工程总承包项目，在工程结算审核时，重点审核其建设的规模、标准及所用的主要材料、设备等是否符合合同条款的要求；</w:t>
      </w:r>
      <w:r>
        <w:rPr>
          <w:rFonts w:hint="eastAsia"/>
          <w:color w:val="auto"/>
          <w:highlight w:val="none"/>
        </w:rPr>
        <w:t>采用非总价合同的项目，最高投标限价即为合同的最高限额，结算价超过最高投标限价的，按最高投标限价进行结算，但合同约定可另行调整的除外。</w:t>
      </w:r>
    </w:p>
    <w:p>
      <w:pPr>
        <w:pStyle w:val="17"/>
        <w:numPr>
          <w:ilvl w:val="0"/>
          <w:numId w:val="2"/>
        </w:numPr>
        <w:snapToGrid w:val="0"/>
        <w:spacing w:line="300" w:lineRule="auto"/>
        <w:ind w:left="0" w:firstLine="640" w:firstLineChars="0"/>
        <w:rPr>
          <w:highlight w:val="none"/>
        </w:rPr>
      </w:pPr>
      <w:r>
        <w:rPr>
          <w:rFonts w:hint="eastAsia"/>
          <w:highlight w:val="none"/>
        </w:rPr>
        <w:t>对采用参建各方共同参与询价或招标方式确定价格的材料、设备和专业工程，结算时应将询价结果或招标结果作为结算依据，同时在结算审核时重点审核承包人就该采购或专业分包合同的履约情况。</w:t>
      </w:r>
    </w:p>
    <w:p>
      <w:pPr>
        <w:pStyle w:val="3"/>
        <w:spacing w:line="300" w:lineRule="auto"/>
        <w:rPr>
          <w:highlight w:val="none"/>
        </w:rPr>
      </w:pPr>
      <w:r>
        <w:rPr>
          <w:rFonts w:hint="eastAsia"/>
          <w:highlight w:val="none"/>
        </w:rPr>
        <w:t>六、附 则</w:t>
      </w:r>
    </w:p>
    <w:p>
      <w:pPr>
        <w:pStyle w:val="17"/>
        <w:numPr>
          <w:ilvl w:val="0"/>
          <w:numId w:val="2"/>
        </w:numPr>
        <w:snapToGrid w:val="0"/>
        <w:spacing w:line="300" w:lineRule="auto"/>
        <w:ind w:left="0" w:firstLine="640" w:firstLineChars="0"/>
        <w:rPr>
          <w:highlight w:val="none"/>
        </w:rPr>
      </w:pPr>
      <w:r>
        <w:rPr>
          <w:rFonts w:hint="eastAsia"/>
          <w:highlight w:val="none"/>
        </w:rPr>
        <w:t>本办法自2</w:t>
      </w:r>
      <w:r>
        <w:rPr>
          <w:highlight w:val="none"/>
        </w:rPr>
        <w:t>021</w:t>
      </w:r>
      <w:r>
        <w:rPr>
          <w:rFonts w:hint="eastAsia"/>
          <w:highlight w:val="none"/>
        </w:rPr>
        <w:t>年X月X日起实施。</w:t>
      </w:r>
    </w:p>
    <w:p>
      <w:pPr>
        <w:pStyle w:val="17"/>
        <w:numPr>
          <w:ilvl w:val="0"/>
          <w:numId w:val="2"/>
        </w:numPr>
        <w:snapToGrid w:val="0"/>
        <w:spacing w:line="300" w:lineRule="auto"/>
        <w:ind w:left="0" w:firstLine="640" w:firstLineChars="0"/>
        <w:rPr>
          <w:highlight w:val="none"/>
        </w:rPr>
      </w:pPr>
      <w:r>
        <w:rPr>
          <w:rFonts w:hint="eastAsia"/>
          <w:highlight w:val="none"/>
        </w:rPr>
        <w:t>《杭州市房屋建筑和市政基础设施项目工程总承包招标文件示范文本》（2</w:t>
      </w:r>
      <w:r>
        <w:rPr>
          <w:highlight w:val="none"/>
        </w:rPr>
        <w:t>019</w:t>
      </w:r>
      <w:r>
        <w:rPr>
          <w:rFonts w:hint="eastAsia"/>
          <w:highlight w:val="none"/>
        </w:rPr>
        <w:t>版）中“</w:t>
      </w:r>
      <w:r>
        <w:rPr>
          <w:highlight w:val="none"/>
        </w:rPr>
        <w:t>工程总承包项目清单及计价表</w:t>
      </w:r>
      <w:r>
        <w:rPr>
          <w:rFonts w:hint="eastAsia"/>
          <w:highlight w:val="none"/>
        </w:rPr>
        <w:t>”同步根据本办法做相应调整。</w:t>
      </w:r>
    </w:p>
    <w:p>
      <w:pPr>
        <w:pStyle w:val="17"/>
        <w:snapToGrid w:val="0"/>
        <w:spacing w:line="300" w:lineRule="auto"/>
        <w:ind w:left="640" w:firstLine="0" w:firstLineChars="0"/>
        <w:rPr>
          <w:highlight w:val="none"/>
        </w:rPr>
      </w:pPr>
    </w:p>
    <w:p>
      <w:pPr>
        <w:pStyle w:val="17"/>
        <w:snapToGrid w:val="0"/>
        <w:spacing w:line="300" w:lineRule="auto"/>
        <w:ind w:left="640" w:firstLine="0" w:firstLineChars="0"/>
        <w:jc w:val="right"/>
        <w:rPr>
          <w:highlight w:val="none"/>
        </w:rPr>
      </w:pPr>
    </w:p>
    <w:p>
      <w:pPr>
        <w:snapToGrid w:val="0"/>
        <w:spacing w:line="264" w:lineRule="auto"/>
        <w:ind w:firstLine="0" w:firstLineChars="0"/>
        <w:rPr>
          <w:highlight w:val="none"/>
        </w:rPr>
      </w:pPr>
      <w:r>
        <w:rPr>
          <w:rFonts w:hint="eastAsia"/>
          <w:highlight w:val="none"/>
        </w:rPr>
        <w:t>附件：</w:t>
      </w:r>
      <w:r>
        <w:rPr>
          <w:highlight w:val="none"/>
        </w:rPr>
        <w:t>工程总承包项目清单及计价表</w:t>
      </w:r>
    </w:p>
    <w:p>
      <w:pPr>
        <w:snapToGrid w:val="0"/>
        <w:spacing w:line="264" w:lineRule="auto"/>
        <w:ind w:firstLine="0" w:firstLineChars="0"/>
        <w:jc w:val="center"/>
        <w:rPr>
          <w:highlight w:val="none"/>
        </w:rPr>
      </w:pPr>
    </w:p>
    <w:p>
      <w:pPr>
        <w:snapToGrid w:val="0"/>
        <w:ind w:firstLine="0" w:firstLineChars="0"/>
        <w:jc w:val="center"/>
        <w:rPr>
          <w:rFonts w:ascii="黑体" w:hAnsi="黑体" w:eastAsia="黑体"/>
          <w:highlight w:val="none"/>
        </w:rPr>
      </w:pPr>
      <w:r>
        <w:rPr>
          <w:rFonts w:hint="eastAsia" w:ascii="黑体" w:hAnsi="黑体" w:eastAsia="黑体"/>
          <w:highlight w:val="none"/>
        </w:rPr>
        <w:t>表1</w:t>
      </w:r>
      <w:r>
        <w:rPr>
          <w:rFonts w:ascii="黑体" w:hAnsi="黑体" w:eastAsia="黑体"/>
          <w:highlight w:val="none"/>
        </w:rPr>
        <w:t xml:space="preserve"> 工程总承包费用汇总表</w:t>
      </w:r>
    </w:p>
    <w:p>
      <w:pPr>
        <w:snapToGrid w:val="0"/>
        <w:ind w:firstLine="0" w:firstLineChars="0"/>
        <w:jc w:val="left"/>
        <w:rPr>
          <w:rFonts w:ascii="宋体" w:hAnsi="宋体" w:eastAsia="宋体"/>
          <w:sz w:val="24"/>
          <w:szCs w:val="24"/>
          <w:highlight w:val="none"/>
        </w:rPr>
      </w:pPr>
      <w:r>
        <w:rPr>
          <w:rFonts w:hint="eastAsia" w:ascii="宋体" w:hAnsi="宋体" w:eastAsia="宋体"/>
          <w:sz w:val="24"/>
          <w:szCs w:val="24"/>
          <w:highlight w:val="none"/>
        </w:rPr>
        <w:t>工程名称：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35"/>
        <w:gridCol w:w="2717"/>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序号</w:t>
            </w:r>
          </w:p>
        </w:tc>
        <w:tc>
          <w:tcPr>
            <w:tcW w:w="2835"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项目名称</w:t>
            </w:r>
          </w:p>
        </w:tc>
        <w:tc>
          <w:tcPr>
            <w:tcW w:w="2717"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金额（元）</w:t>
            </w:r>
          </w:p>
        </w:tc>
        <w:tc>
          <w:tcPr>
            <w:tcW w:w="2180"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1</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工程设计费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2</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设备购置费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3</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建筑安装工程费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3.1</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安全文明施工基本费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3.2</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暂估价</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4</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暂列金额</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5</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总承包其他费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b/>
                <w:bCs/>
                <w:sz w:val="24"/>
                <w:szCs w:val="24"/>
                <w:highlight w:val="none"/>
              </w:rPr>
            </w:pPr>
          </w:p>
        </w:tc>
        <w:tc>
          <w:tcPr>
            <w:tcW w:w="2835" w:type="dxa"/>
            <w:vAlign w:val="center"/>
          </w:tcPr>
          <w:p>
            <w:pPr>
              <w:snapToGrid w:val="0"/>
              <w:ind w:left="320" w:leftChars="100" w:firstLine="0" w:firstLineChars="0"/>
              <w:jc w:val="left"/>
              <w:rPr>
                <w:rFonts w:ascii="宋体" w:hAnsi="宋体" w:eastAsia="宋体"/>
                <w:b/>
                <w:bCs/>
                <w:sz w:val="24"/>
                <w:szCs w:val="24"/>
                <w:highlight w:val="none"/>
              </w:rPr>
            </w:pPr>
            <w:r>
              <w:rPr>
                <w:rFonts w:hint="eastAsia" w:ascii="宋体" w:hAnsi="宋体" w:eastAsia="宋体"/>
                <w:b/>
                <w:bCs/>
                <w:sz w:val="24"/>
                <w:szCs w:val="24"/>
                <w:highlight w:val="none"/>
              </w:rPr>
              <w:t>合 计</w:t>
            </w:r>
          </w:p>
        </w:tc>
        <w:tc>
          <w:tcPr>
            <w:tcW w:w="2717" w:type="dxa"/>
            <w:vAlign w:val="center"/>
          </w:tcPr>
          <w:p>
            <w:pPr>
              <w:snapToGrid w:val="0"/>
              <w:ind w:firstLine="0" w:firstLineChars="0"/>
              <w:jc w:val="center"/>
              <w:rPr>
                <w:rFonts w:ascii="宋体" w:hAnsi="宋体" w:eastAsia="宋体"/>
                <w:b/>
                <w:bCs/>
                <w:sz w:val="24"/>
                <w:szCs w:val="24"/>
                <w:highlight w:val="none"/>
              </w:rPr>
            </w:pPr>
          </w:p>
        </w:tc>
        <w:tc>
          <w:tcPr>
            <w:tcW w:w="2180" w:type="dxa"/>
            <w:vAlign w:val="center"/>
          </w:tcPr>
          <w:p>
            <w:pPr>
              <w:snapToGrid w:val="0"/>
              <w:ind w:firstLine="0" w:firstLineChars="0"/>
              <w:jc w:val="center"/>
              <w:rPr>
                <w:rFonts w:ascii="宋体" w:hAnsi="宋体" w:eastAsia="宋体"/>
                <w:b/>
                <w:bCs/>
                <w:sz w:val="24"/>
                <w:szCs w:val="24"/>
                <w:highlight w:val="none"/>
              </w:rPr>
            </w:pPr>
          </w:p>
        </w:tc>
      </w:tr>
    </w:tbl>
    <w:p>
      <w:pPr>
        <w:snapToGrid w:val="0"/>
        <w:ind w:firstLine="0" w:firstLineChars="0"/>
        <w:jc w:val="center"/>
        <w:rPr>
          <w:rFonts w:ascii="宋体" w:hAnsi="宋体" w:eastAsia="宋体"/>
          <w:sz w:val="24"/>
          <w:szCs w:val="24"/>
          <w:highlight w:val="none"/>
        </w:rPr>
      </w:pPr>
    </w:p>
    <w:p>
      <w:pPr>
        <w:snapToGrid w:val="0"/>
        <w:ind w:firstLine="0" w:firstLineChars="0"/>
        <w:jc w:val="center"/>
        <w:rPr>
          <w:rFonts w:ascii="宋体" w:hAnsi="宋体" w:eastAsia="宋体"/>
          <w:sz w:val="24"/>
          <w:szCs w:val="24"/>
          <w:highlight w:val="none"/>
        </w:rPr>
      </w:pPr>
    </w:p>
    <w:p>
      <w:pPr>
        <w:snapToGrid w:val="0"/>
        <w:ind w:firstLine="0" w:firstLineChars="0"/>
        <w:jc w:val="center"/>
        <w:rPr>
          <w:rFonts w:ascii="黑体" w:hAnsi="黑体" w:eastAsia="黑体"/>
          <w:highlight w:val="none"/>
        </w:rPr>
      </w:pPr>
      <w:r>
        <w:rPr>
          <w:rFonts w:hint="eastAsia" w:ascii="黑体" w:hAnsi="黑体" w:eastAsia="黑体"/>
          <w:highlight w:val="none"/>
        </w:rPr>
        <w:t>表</w:t>
      </w:r>
      <w:r>
        <w:rPr>
          <w:rFonts w:ascii="黑体" w:hAnsi="黑体" w:eastAsia="黑体"/>
          <w:highlight w:val="none"/>
        </w:rPr>
        <w:t xml:space="preserve">2 </w:t>
      </w:r>
      <w:r>
        <w:rPr>
          <w:rFonts w:hint="eastAsia" w:ascii="黑体" w:hAnsi="黑体" w:eastAsia="黑体"/>
          <w:highlight w:val="none"/>
        </w:rPr>
        <w:t>工程设计费清单及计价表</w:t>
      </w:r>
    </w:p>
    <w:p>
      <w:pPr>
        <w:snapToGrid w:val="0"/>
        <w:ind w:firstLine="0" w:firstLineChars="0"/>
        <w:jc w:val="left"/>
        <w:rPr>
          <w:rFonts w:ascii="宋体" w:hAnsi="宋体" w:eastAsia="宋体"/>
          <w:sz w:val="24"/>
          <w:szCs w:val="24"/>
          <w:highlight w:val="none"/>
        </w:rPr>
      </w:pPr>
      <w:r>
        <w:rPr>
          <w:rFonts w:hint="eastAsia" w:ascii="宋体" w:hAnsi="宋体" w:eastAsia="宋体"/>
          <w:sz w:val="24"/>
          <w:szCs w:val="24"/>
          <w:highlight w:val="none"/>
        </w:rPr>
        <w:t>工程名称：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35"/>
        <w:gridCol w:w="2717"/>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序号</w:t>
            </w:r>
          </w:p>
        </w:tc>
        <w:tc>
          <w:tcPr>
            <w:tcW w:w="2835"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项目名称</w:t>
            </w:r>
          </w:p>
        </w:tc>
        <w:tc>
          <w:tcPr>
            <w:tcW w:w="2717"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金额（元）</w:t>
            </w:r>
          </w:p>
        </w:tc>
        <w:tc>
          <w:tcPr>
            <w:tcW w:w="2180"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1</w:t>
            </w:r>
          </w:p>
        </w:tc>
        <w:tc>
          <w:tcPr>
            <w:tcW w:w="2835" w:type="dxa"/>
            <w:vAlign w:val="center"/>
          </w:tcPr>
          <w:p>
            <w:pPr>
              <w:snapToGrid w:val="0"/>
              <w:ind w:left="320" w:leftChars="100" w:firstLine="0" w:firstLineChars="0"/>
              <w:jc w:val="left"/>
              <w:rPr>
                <w:rFonts w:ascii="宋体" w:hAnsi="宋体" w:eastAsia="宋体"/>
                <w:sz w:val="24"/>
                <w:szCs w:val="24"/>
                <w:highlight w:val="none"/>
              </w:rPr>
            </w:pPr>
            <w:r>
              <w:rPr>
                <w:rFonts w:hint="eastAsia" w:ascii="宋体" w:hAnsi="宋体" w:eastAsia="宋体"/>
                <w:sz w:val="24"/>
                <w:szCs w:val="24"/>
                <w:highlight w:val="none"/>
              </w:rPr>
              <w:t>工程设计费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.1</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初步设计费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.2</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施工图设计费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.3</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p>
        </w:tc>
        <w:tc>
          <w:tcPr>
            <w:tcW w:w="2835" w:type="dxa"/>
            <w:vAlign w:val="center"/>
          </w:tcPr>
          <w:p>
            <w:pPr>
              <w:snapToGrid w:val="0"/>
              <w:ind w:firstLine="0" w:firstLineChars="0"/>
              <w:rPr>
                <w:rFonts w:ascii="宋体" w:hAnsi="宋体" w:eastAsia="宋体"/>
                <w:sz w:val="24"/>
                <w:szCs w:val="24"/>
                <w:highlight w:val="none"/>
              </w:rPr>
            </w:pP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b/>
                <w:bCs/>
                <w:sz w:val="24"/>
                <w:szCs w:val="24"/>
                <w:highlight w:val="none"/>
              </w:rPr>
            </w:pPr>
          </w:p>
        </w:tc>
        <w:tc>
          <w:tcPr>
            <w:tcW w:w="2835" w:type="dxa"/>
            <w:vAlign w:val="center"/>
          </w:tcPr>
          <w:p>
            <w:pPr>
              <w:snapToGrid w:val="0"/>
              <w:ind w:left="320" w:leftChars="100" w:firstLine="0" w:firstLineChars="0"/>
              <w:jc w:val="left"/>
              <w:rPr>
                <w:rFonts w:ascii="宋体" w:hAnsi="宋体" w:eastAsia="宋体"/>
                <w:b/>
                <w:bCs/>
                <w:sz w:val="24"/>
                <w:szCs w:val="24"/>
                <w:highlight w:val="none"/>
              </w:rPr>
            </w:pPr>
            <w:r>
              <w:rPr>
                <w:rFonts w:hint="eastAsia" w:ascii="宋体" w:hAnsi="宋体" w:eastAsia="宋体"/>
                <w:b/>
                <w:bCs/>
                <w:sz w:val="24"/>
                <w:szCs w:val="24"/>
                <w:highlight w:val="none"/>
              </w:rPr>
              <w:t>合 计</w:t>
            </w:r>
          </w:p>
        </w:tc>
        <w:tc>
          <w:tcPr>
            <w:tcW w:w="2717" w:type="dxa"/>
            <w:vAlign w:val="center"/>
          </w:tcPr>
          <w:p>
            <w:pPr>
              <w:snapToGrid w:val="0"/>
              <w:ind w:firstLine="0" w:firstLineChars="0"/>
              <w:jc w:val="center"/>
              <w:rPr>
                <w:rFonts w:ascii="宋体" w:hAnsi="宋体" w:eastAsia="宋体"/>
                <w:b/>
                <w:bCs/>
                <w:sz w:val="24"/>
                <w:szCs w:val="24"/>
                <w:highlight w:val="none"/>
              </w:rPr>
            </w:pPr>
          </w:p>
        </w:tc>
        <w:tc>
          <w:tcPr>
            <w:tcW w:w="2180" w:type="dxa"/>
            <w:vAlign w:val="center"/>
          </w:tcPr>
          <w:p>
            <w:pPr>
              <w:snapToGrid w:val="0"/>
              <w:ind w:firstLine="0" w:firstLineChars="0"/>
              <w:jc w:val="center"/>
              <w:rPr>
                <w:rFonts w:ascii="宋体" w:hAnsi="宋体" w:eastAsia="宋体"/>
                <w:b/>
                <w:bCs/>
                <w:sz w:val="24"/>
                <w:szCs w:val="24"/>
                <w:highlight w:val="none"/>
              </w:rPr>
            </w:pPr>
          </w:p>
        </w:tc>
      </w:tr>
    </w:tbl>
    <w:p>
      <w:pPr>
        <w:snapToGrid w:val="0"/>
        <w:spacing w:before="78" w:beforeLines="25"/>
        <w:ind w:left="334" w:hanging="334" w:hangingChars="152"/>
        <w:rPr>
          <w:rFonts w:ascii="宋体" w:hAnsi="宋体" w:eastAsia="宋体"/>
          <w:sz w:val="22"/>
          <w:szCs w:val="22"/>
          <w:highlight w:val="none"/>
        </w:rPr>
      </w:pPr>
      <w:r>
        <w:rPr>
          <w:rFonts w:hint="eastAsia" w:ascii="宋体" w:hAnsi="宋体" w:eastAsia="宋体"/>
          <w:sz w:val="22"/>
          <w:szCs w:val="22"/>
          <w:highlight w:val="none"/>
        </w:rPr>
        <w:t>注 根据招标文件的设计工作内容，投</w:t>
      </w:r>
      <w:r>
        <w:rPr>
          <w:rFonts w:ascii="宋体" w:hAnsi="宋体" w:eastAsia="宋体"/>
          <w:sz w:val="22"/>
          <w:szCs w:val="22"/>
          <w:highlight w:val="none"/>
        </w:rPr>
        <w:t>标人认为需要增加的费用</w:t>
      </w:r>
      <w:r>
        <w:rPr>
          <w:rFonts w:hint="eastAsia" w:ascii="宋体" w:hAnsi="宋体" w:eastAsia="宋体"/>
          <w:sz w:val="22"/>
          <w:szCs w:val="22"/>
          <w:highlight w:val="none"/>
        </w:rPr>
        <w:t>项可自行添加，并列</w:t>
      </w:r>
      <w:r>
        <w:rPr>
          <w:rFonts w:ascii="宋体" w:hAnsi="宋体" w:eastAsia="宋体"/>
          <w:sz w:val="22"/>
          <w:szCs w:val="22"/>
          <w:highlight w:val="none"/>
        </w:rPr>
        <w:t>明该项目的名称及金额</w:t>
      </w:r>
      <w:r>
        <w:rPr>
          <w:rFonts w:hint="eastAsia" w:ascii="宋体" w:hAnsi="宋体" w:eastAsia="宋体"/>
          <w:sz w:val="22"/>
          <w:szCs w:val="22"/>
          <w:highlight w:val="none"/>
        </w:rPr>
        <w:t>，</w:t>
      </w:r>
      <w:r>
        <w:rPr>
          <w:rFonts w:ascii="宋体" w:hAnsi="宋体" w:eastAsia="宋体"/>
          <w:sz w:val="22"/>
          <w:szCs w:val="22"/>
          <w:highlight w:val="none"/>
        </w:rPr>
        <w:t>一切在报价时</w:t>
      </w:r>
      <w:r>
        <w:rPr>
          <w:rFonts w:hint="eastAsia" w:ascii="宋体" w:hAnsi="宋体" w:eastAsia="宋体"/>
          <w:sz w:val="22"/>
          <w:szCs w:val="22"/>
          <w:highlight w:val="none"/>
        </w:rPr>
        <w:t>应报</w:t>
      </w:r>
      <w:r>
        <w:rPr>
          <w:rFonts w:ascii="宋体" w:hAnsi="宋体" w:eastAsia="宋体"/>
          <w:sz w:val="22"/>
          <w:szCs w:val="22"/>
          <w:highlight w:val="none"/>
        </w:rPr>
        <w:t>未报的项目均被视为已包括在报价金额内</w:t>
      </w:r>
      <w:r>
        <w:rPr>
          <w:rFonts w:hint="eastAsia" w:ascii="宋体" w:hAnsi="宋体" w:eastAsia="宋体"/>
          <w:sz w:val="22"/>
          <w:szCs w:val="22"/>
          <w:highlight w:val="none"/>
        </w:rPr>
        <w:t>。</w:t>
      </w:r>
    </w:p>
    <w:p>
      <w:pPr>
        <w:snapToGrid w:val="0"/>
        <w:spacing w:line="264" w:lineRule="auto"/>
        <w:ind w:firstLine="0" w:firstLineChars="0"/>
        <w:jc w:val="center"/>
        <w:rPr>
          <w:rFonts w:ascii="宋体" w:hAnsi="宋体" w:eastAsia="宋体"/>
          <w:sz w:val="24"/>
          <w:szCs w:val="24"/>
          <w:highlight w:val="none"/>
        </w:rPr>
      </w:pPr>
    </w:p>
    <w:p>
      <w:pPr>
        <w:snapToGrid w:val="0"/>
        <w:spacing w:line="264" w:lineRule="auto"/>
        <w:ind w:firstLine="0" w:firstLineChars="0"/>
        <w:jc w:val="center"/>
        <w:rPr>
          <w:rFonts w:ascii="宋体" w:hAnsi="宋体" w:eastAsia="宋体"/>
          <w:sz w:val="24"/>
          <w:szCs w:val="24"/>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cols w:space="425" w:num="1"/>
          <w:docGrid w:type="lines" w:linePitch="312" w:charSpace="0"/>
        </w:sectPr>
      </w:pPr>
    </w:p>
    <w:p>
      <w:pPr>
        <w:snapToGrid w:val="0"/>
        <w:ind w:firstLine="0" w:firstLineChars="0"/>
        <w:jc w:val="center"/>
        <w:rPr>
          <w:rFonts w:ascii="黑体" w:hAnsi="黑体" w:eastAsia="黑体"/>
          <w:highlight w:val="none"/>
        </w:rPr>
      </w:pPr>
      <w:r>
        <w:rPr>
          <w:rFonts w:hint="eastAsia" w:ascii="黑体" w:hAnsi="黑体" w:eastAsia="黑体"/>
          <w:highlight w:val="none"/>
        </w:rPr>
        <w:t>表</w:t>
      </w:r>
      <w:r>
        <w:rPr>
          <w:rFonts w:ascii="黑体" w:hAnsi="黑体" w:eastAsia="黑体"/>
          <w:highlight w:val="none"/>
        </w:rPr>
        <w:t xml:space="preserve">3 </w:t>
      </w:r>
      <w:r>
        <w:rPr>
          <w:rFonts w:hint="eastAsia" w:ascii="黑体" w:hAnsi="黑体" w:eastAsia="黑体"/>
          <w:highlight w:val="none"/>
        </w:rPr>
        <w:t>设备购置费清单及计价表</w:t>
      </w:r>
    </w:p>
    <w:p>
      <w:pPr>
        <w:snapToGrid w:val="0"/>
        <w:ind w:firstLine="0" w:firstLineChars="0"/>
        <w:jc w:val="left"/>
        <w:rPr>
          <w:rFonts w:ascii="宋体" w:hAnsi="宋体" w:eastAsia="宋体"/>
          <w:sz w:val="24"/>
          <w:szCs w:val="24"/>
          <w:highlight w:val="none"/>
        </w:rPr>
      </w:pPr>
      <w:r>
        <w:rPr>
          <w:rFonts w:hint="eastAsia" w:ascii="宋体" w:hAnsi="宋体" w:eastAsia="宋体"/>
          <w:sz w:val="24"/>
          <w:szCs w:val="24"/>
          <w:highlight w:val="none"/>
        </w:rPr>
        <w:t>工程名称：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2128"/>
        <w:gridCol w:w="1276"/>
        <w:gridCol w:w="850"/>
        <w:gridCol w:w="709"/>
        <w:gridCol w:w="992"/>
        <w:gridCol w:w="99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序号</w:t>
            </w:r>
          </w:p>
        </w:tc>
        <w:tc>
          <w:tcPr>
            <w:tcW w:w="2128"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项目名称</w:t>
            </w:r>
          </w:p>
        </w:tc>
        <w:tc>
          <w:tcPr>
            <w:tcW w:w="1276" w:type="dxa"/>
            <w:vAlign w:val="center"/>
          </w:tcPr>
          <w:p>
            <w:pPr>
              <w:snapToGrid w:val="0"/>
              <w:ind w:firstLine="0" w:firstLineChars="0"/>
              <w:jc w:val="center"/>
              <w:rPr>
                <w:rFonts w:ascii="宋体" w:hAnsi="宋体" w:eastAsia="宋体"/>
                <w:b/>
                <w:bCs/>
                <w:sz w:val="24"/>
                <w:szCs w:val="24"/>
                <w:highlight w:val="none"/>
              </w:rPr>
            </w:pPr>
            <w:r>
              <w:rPr>
                <w:rFonts w:ascii="宋体" w:hAnsi="宋体" w:eastAsia="宋体"/>
                <w:b/>
                <w:bCs/>
                <w:sz w:val="24"/>
                <w:szCs w:val="24"/>
                <w:highlight w:val="none"/>
              </w:rPr>
              <w:t>技术参数</w:t>
            </w:r>
          </w:p>
          <w:p>
            <w:pPr>
              <w:snapToGrid w:val="0"/>
              <w:ind w:firstLine="0" w:firstLineChars="0"/>
              <w:jc w:val="center"/>
              <w:rPr>
                <w:rFonts w:ascii="宋体" w:hAnsi="宋体" w:eastAsia="宋体"/>
                <w:b/>
                <w:bCs/>
                <w:sz w:val="24"/>
                <w:szCs w:val="24"/>
                <w:highlight w:val="none"/>
              </w:rPr>
            </w:pPr>
            <w:r>
              <w:rPr>
                <w:rFonts w:ascii="宋体" w:hAnsi="宋体" w:eastAsia="宋体"/>
                <w:b/>
                <w:bCs/>
                <w:sz w:val="24"/>
                <w:szCs w:val="24"/>
                <w:highlight w:val="none"/>
              </w:rPr>
              <w:t>规格型号</w:t>
            </w:r>
          </w:p>
        </w:tc>
        <w:tc>
          <w:tcPr>
            <w:tcW w:w="850"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单位</w:t>
            </w:r>
          </w:p>
        </w:tc>
        <w:tc>
          <w:tcPr>
            <w:tcW w:w="709"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数量</w:t>
            </w:r>
          </w:p>
        </w:tc>
        <w:tc>
          <w:tcPr>
            <w:tcW w:w="992"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单价</w:t>
            </w:r>
          </w:p>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（元）</w:t>
            </w:r>
          </w:p>
        </w:tc>
        <w:tc>
          <w:tcPr>
            <w:tcW w:w="993"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合价</w:t>
            </w:r>
          </w:p>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（元）</w:t>
            </w:r>
          </w:p>
        </w:tc>
        <w:tc>
          <w:tcPr>
            <w:tcW w:w="928"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2</w:t>
            </w:r>
          </w:p>
        </w:tc>
        <w:tc>
          <w:tcPr>
            <w:tcW w:w="2128" w:type="dxa"/>
            <w:vAlign w:val="center"/>
          </w:tcPr>
          <w:p>
            <w:pPr>
              <w:snapToGrid w:val="0"/>
              <w:ind w:left="320" w:leftChars="100" w:firstLine="0" w:firstLineChars="0"/>
              <w:jc w:val="left"/>
              <w:rPr>
                <w:rFonts w:ascii="宋体" w:hAnsi="宋体" w:eastAsia="宋体"/>
                <w:sz w:val="24"/>
                <w:szCs w:val="24"/>
                <w:highlight w:val="none"/>
              </w:rPr>
            </w:pPr>
            <w:r>
              <w:rPr>
                <w:rFonts w:hint="eastAsia" w:ascii="宋体" w:hAnsi="宋体" w:eastAsia="宋体"/>
                <w:sz w:val="24"/>
                <w:szCs w:val="24"/>
                <w:highlight w:val="none"/>
              </w:rPr>
              <w:t>设备购置费</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2.1</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工程设备费</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.1.1</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（设备名称）</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.2</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必备的备品备件</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.2.1</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（备品备件名称）</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b/>
                <w:bCs/>
                <w:sz w:val="24"/>
                <w:szCs w:val="24"/>
                <w:highlight w:val="none"/>
              </w:rPr>
            </w:pPr>
          </w:p>
        </w:tc>
        <w:tc>
          <w:tcPr>
            <w:tcW w:w="2128" w:type="dxa"/>
            <w:vAlign w:val="center"/>
          </w:tcPr>
          <w:p>
            <w:pPr>
              <w:snapToGrid w:val="0"/>
              <w:ind w:left="320" w:leftChars="100" w:firstLine="0" w:firstLineChars="0"/>
              <w:jc w:val="left"/>
              <w:rPr>
                <w:rFonts w:ascii="宋体" w:hAnsi="宋体" w:eastAsia="宋体"/>
                <w:b/>
                <w:bCs/>
                <w:sz w:val="24"/>
                <w:szCs w:val="24"/>
                <w:highlight w:val="none"/>
              </w:rPr>
            </w:pPr>
            <w:r>
              <w:rPr>
                <w:rFonts w:hint="eastAsia" w:ascii="宋体" w:hAnsi="宋体" w:eastAsia="宋体"/>
                <w:b/>
                <w:bCs/>
                <w:sz w:val="24"/>
                <w:szCs w:val="24"/>
                <w:highlight w:val="none"/>
              </w:rPr>
              <w:t>合 计</w:t>
            </w:r>
          </w:p>
        </w:tc>
        <w:tc>
          <w:tcPr>
            <w:tcW w:w="1276" w:type="dxa"/>
            <w:vAlign w:val="center"/>
          </w:tcPr>
          <w:p>
            <w:pPr>
              <w:snapToGrid w:val="0"/>
              <w:ind w:firstLine="0" w:firstLineChars="0"/>
              <w:jc w:val="center"/>
              <w:rPr>
                <w:rFonts w:ascii="宋体" w:hAnsi="宋体" w:eastAsia="宋体"/>
                <w:b/>
                <w:bCs/>
                <w:sz w:val="24"/>
                <w:szCs w:val="24"/>
                <w:highlight w:val="none"/>
              </w:rPr>
            </w:pPr>
          </w:p>
        </w:tc>
        <w:tc>
          <w:tcPr>
            <w:tcW w:w="850" w:type="dxa"/>
            <w:vAlign w:val="center"/>
          </w:tcPr>
          <w:p>
            <w:pPr>
              <w:snapToGrid w:val="0"/>
              <w:ind w:firstLine="0" w:firstLineChars="0"/>
              <w:jc w:val="center"/>
              <w:rPr>
                <w:rFonts w:ascii="宋体" w:hAnsi="宋体" w:eastAsia="宋体"/>
                <w:b/>
                <w:bCs/>
                <w:sz w:val="24"/>
                <w:szCs w:val="24"/>
                <w:highlight w:val="none"/>
              </w:rPr>
            </w:pPr>
          </w:p>
        </w:tc>
        <w:tc>
          <w:tcPr>
            <w:tcW w:w="709" w:type="dxa"/>
            <w:vAlign w:val="center"/>
          </w:tcPr>
          <w:p>
            <w:pPr>
              <w:snapToGrid w:val="0"/>
              <w:ind w:firstLine="0" w:firstLineChars="0"/>
              <w:jc w:val="center"/>
              <w:rPr>
                <w:rFonts w:ascii="宋体" w:hAnsi="宋体" w:eastAsia="宋体"/>
                <w:b/>
                <w:bCs/>
                <w:sz w:val="24"/>
                <w:szCs w:val="24"/>
                <w:highlight w:val="none"/>
              </w:rPr>
            </w:pPr>
          </w:p>
        </w:tc>
        <w:tc>
          <w:tcPr>
            <w:tcW w:w="992" w:type="dxa"/>
            <w:vAlign w:val="center"/>
          </w:tcPr>
          <w:p>
            <w:pPr>
              <w:snapToGrid w:val="0"/>
              <w:ind w:firstLine="0" w:firstLineChars="0"/>
              <w:jc w:val="center"/>
              <w:rPr>
                <w:rFonts w:ascii="宋体" w:hAnsi="宋体" w:eastAsia="宋体"/>
                <w:b/>
                <w:bCs/>
                <w:sz w:val="24"/>
                <w:szCs w:val="24"/>
                <w:highlight w:val="none"/>
              </w:rPr>
            </w:pPr>
          </w:p>
        </w:tc>
        <w:tc>
          <w:tcPr>
            <w:tcW w:w="993" w:type="dxa"/>
            <w:vAlign w:val="center"/>
          </w:tcPr>
          <w:p>
            <w:pPr>
              <w:snapToGrid w:val="0"/>
              <w:ind w:firstLine="0" w:firstLineChars="0"/>
              <w:jc w:val="center"/>
              <w:rPr>
                <w:rFonts w:ascii="宋体" w:hAnsi="宋体" w:eastAsia="宋体"/>
                <w:b/>
                <w:bCs/>
                <w:sz w:val="24"/>
                <w:szCs w:val="24"/>
                <w:highlight w:val="none"/>
              </w:rPr>
            </w:pPr>
          </w:p>
        </w:tc>
        <w:tc>
          <w:tcPr>
            <w:tcW w:w="928" w:type="dxa"/>
            <w:vAlign w:val="center"/>
          </w:tcPr>
          <w:p>
            <w:pPr>
              <w:snapToGrid w:val="0"/>
              <w:ind w:firstLine="0" w:firstLineChars="0"/>
              <w:jc w:val="center"/>
              <w:rPr>
                <w:rFonts w:ascii="宋体" w:hAnsi="宋体" w:eastAsia="宋体"/>
                <w:b/>
                <w:bCs/>
                <w:sz w:val="24"/>
                <w:szCs w:val="24"/>
                <w:highlight w:val="none"/>
              </w:rPr>
            </w:pPr>
          </w:p>
        </w:tc>
      </w:tr>
    </w:tbl>
    <w:p>
      <w:pPr>
        <w:snapToGrid w:val="0"/>
        <w:spacing w:before="78" w:beforeLines="25"/>
        <w:ind w:left="334" w:hanging="334" w:hangingChars="152"/>
        <w:rPr>
          <w:rFonts w:ascii="宋体" w:hAnsi="宋体" w:eastAsia="宋体"/>
          <w:sz w:val="22"/>
          <w:szCs w:val="22"/>
          <w:highlight w:val="none"/>
        </w:rPr>
      </w:pPr>
      <w:r>
        <w:rPr>
          <w:rFonts w:hint="eastAsia" w:ascii="宋体" w:hAnsi="宋体" w:eastAsia="宋体"/>
          <w:sz w:val="22"/>
          <w:szCs w:val="22"/>
          <w:highlight w:val="none"/>
        </w:rPr>
        <w:t>注 招标人应详细列明工程设备的技术参数、规格型号、计量单位、数量，以及所需备品备件的要求。该表内所有列项的工程设备和备品配件清单的完整性和准确性由招标人负责。</w:t>
      </w:r>
    </w:p>
    <w:p>
      <w:pPr>
        <w:snapToGrid w:val="0"/>
        <w:spacing w:line="264" w:lineRule="auto"/>
        <w:ind w:firstLine="0" w:firstLineChars="0"/>
        <w:jc w:val="center"/>
        <w:rPr>
          <w:rFonts w:ascii="宋体" w:hAnsi="宋体" w:eastAsia="宋体"/>
          <w:sz w:val="24"/>
          <w:szCs w:val="24"/>
          <w:highlight w:val="none"/>
        </w:rPr>
      </w:pPr>
    </w:p>
    <w:p>
      <w:pPr>
        <w:snapToGrid w:val="0"/>
        <w:spacing w:line="264" w:lineRule="auto"/>
        <w:ind w:firstLine="0" w:firstLineChars="0"/>
        <w:jc w:val="center"/>
        <w:rPr>
          <w:rFonts w:ascii="宋体" w:hAnsi="宋体" w:eastAsia="宋体"/>
          <w:sz w:val="24"/>
          <w:szCs w:val="24"/>
          <w:highlight w:val="none"/>
        </w:rPr>
      </w:pPr>
    </w:p>
    <w:p>
      <w:pPr>
        <w:snapToGrid w:val="0"/>
        <w:ind w:firstLine="0" w:firstLineChars="0"/>
        <w:jc w:val="center"/>
        <w:rPr>
          <w:rFonts w:ascii="黑体" w:hAnsi="黑体" w:eastAsia="黑体"/>
          <w:highlight w:val="none"/>
        </w:rPr>
      </w:pPr>
      <w:r>
        <w:rPr>
          <w:rFonts w:hint="eastAsia" w:ascii="黑体" w:hAnsi="黑体" w:eastAsia="黑体"/>
          <w:highlight w:val="none"/>
        </w:rPr>
        <w:t>表</w:t>
      </w:r>
      <w:r>
        <w:rPr>
          <w:rFonts w:ascii="黑体" w:hAnsi="黑体" w:eastAsia="黑体"/>
          <w:highlight w:val="none"/>
        </w:rPr>
        <w:t xml:space="preserve">4 </w:t>
      </w:r>
      <w:r>
        <w:rPr>
          <w:rFonts w:hint="eastAsia" w:ascii="黑体" w:hAnsi="黑体" w:eastAsia="黑体"/>
          <w:highlight w:val="none"/>
        </w:rPr>
        <w:t>建筑安装工程费清单及计价表</w:t>
      </w:r>
    </w:p>
    <w:p>
      <w:pPr>
        <w:snapToGrid w:val="0"/>
        <w:ind w:firstLine="0" w:firstLineChars="0"/>
        <w:jc w:val="left"/>
        <w:rPr>
          <w:rFonts w:ascii="宋体" w:hAnsi="宋体" w:eastAsia="宋体"/>
          <w:sz w:val="24"/>
          <w:szCs w:val="24"/>
          <w:highlight w:val="none"/>
        </w:rPr>
      </w:pPr>
      <w:r>
        <w:rPr>
          <w:rFonts w:hint="eastAsia" w:ascii="宋体" w:hAnsi="宋体" w:eastAsia="宋体"/>
          <w:sz w:val="24"/>
          <w:szCs w:val="24"/>
          <w:highlight w:val="none"/>
        </w:rPr>
        <w:t>工程名称：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2128"/>
        <w:gridCol w:w="1276"/>
        <w:gridCol w:w="850"/>
        <w:gridCol w:w="709"/>
        <w:gridCol w:w="992"/>
        <w:gridCol w:w="99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序号</w:t>
            </w:r>
          </w:p>
        </w:tc>
        <w:tc>
          <w:tcPr>
            <w:tcW w:w="2128"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项目名称</w:t>
            </w:r>
          </w:p>
        </w:tc>
        <w:tc>
          <w:tcPr>
            <w:tcW w:w="1276"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工作内容</w:t>
            </w:r>
          </w:p>
        </w:tc>
        <w:tc>
          <w:tcPr>
            <w:tcW w:w="850"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单位</w:t>
            </w:r>
          </w:p>
        </w:tc>
        <w:tc>
          <w:tcPr>
            <w:tcW w:w="709"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数量</w:t>
            </w:r>
          </w:p>
        </w:tc>
        <w:tc>
          <w:tcPr>
            <w:tcW w:w="992"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单价</w:t>
            </w:r>
          </w:p>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（元）</w:t>
            </w:r>
          </w:p>
        </w:tc>
        <w:tc>
          <w:tcPr>
            <w:tcW w:w="993"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合价</w:t>
            </w:r>
          </w:p>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（元）</w:t>
            </w:r>
          </w:p>
        </w:tc>
        <w:tc>
          <w:tcPr>
            <w:tcW w:w="928"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3</w:t>
            </w:r>
          </w:p>
        </w:tc>
        <w:tc>
          <w:tcPr>
            <w:tcW w:w="212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建筑安装工程费</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3.1</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（单位工程1）</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3.</w:t>
            </w:r>
            <w:r>
              <w:rPr>
                <w:rFonts w:hint="eastAsia" w:ascii="宋体" w:hAnsi="宋体" w:eastAsia="宋体"/>
                <w:sz w:val="24"/>
                <w:szCs w:val="24"/>
                <w:highlight w:val="none"/>
              </w:rPr>
              <w:t>2</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（单位工程2）</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b/>
                <w:bCs/>
                <w:sz w:val="24"/>
                <w:szCs w:val="24"/>
                <w:highlight w:val="none"/>
              </w:rPr>
            </w:pPr>
          </w:p>
        </w:tc>
        <w:tc>
          <w:tcPr>
            <w:tcW w:w="2128" w:type="dxa"/>
            <w:vAlign w:val="center"/>
          </w:tcPr>
          <w:p>
            <w:pPr>
              <w:snapToGrid w:val="0"/>
              <w:ind w:left="320" w:leftChars="100" w:firstLine="0" w:firstLineChars="0"/>
              <w:jc w:val="left"/>
              <w:rPr>
                <w:rFonts w:ascii="宋体" w:hAnsi="宋体" w:eastAsia="宋体"/>
                <w:b/>
                <w:bCs/>
                <w:sz w:val="24"/>
                <w:szCs w:val="24"/>
                <w:highlight w:val="none"/>
              </w:rPr>
            </w:pPr>
            <w:r>
              <w:rPr>
                <w:rFonts w:hint="eastAsia" w:ascii="宋体" w:hAnsi="宋体" w:eastAsia="宋体"/>
                <w:b/>
                <w:bCs/>
                <w:sz w:val="24"/>
                <w:szCs w:val="24"/>
                <w:highlight w:val="none"/>
              </w:rPr>
              <w:t>合 计</w:t>
            </w:r>
          </w:p>
        </w:tc>
        <w:tc>
          <w:tcPr>
            <w:tcW w:w="1276" w:type="dxa"/>
            <w:vAlign w:val="center"/>
          </w:tcPr>
          <w:p>
            <w:pPr>
              <w:snapToGrid w:val="0"/>
              <w:ind w:firstLine="0" w:firstLineChars="0"/>
              <w:jc w:val="center"/>
              <w:rPr>
                <w:rFonts w:ascii="宋体" w:hAnsi="宋体" w:eastAsia="宋体"/>
                <w:b/>
                <w:bCs/>
                <w:sz w:val="24"/>
                <w:szCs w:val="24"/>
                <w:highlight w:val="none"/>
              </w:rPr>
            </w:pPr>
          </w:p>
        </w:tc>
        <w:tc>
          <w:tcPr>
            <w:tcW w:w="850" w:type="dxa"/>
            <w:vAlign w:val="center"/>
          </w:tcPr>
          <w:p>
            <w:pPr>
              <w:snapToGrid w:val="0"/>
              <w:ind w:firstLine="0" w:firstLineChars="0"/>
              <w:jc w:val="center"/>
              <w:rPr>
                <w:rFonts w:ascii="宋体" w:hAnsi="宋体" w:eastAsia="宋体"/>
                <w:b/>
                <w:bCs/>
                <w:sz w:val="24"/>
                <w:szCs w:val="24"/>
                <w:highlight w:val="none"/>
              </w:rPr>
            </w:pPr>
          </w:p>
        </w:tc>
        <w:tc>
          <w:tcPr>
            <w:tcW w:w="709" w:type="dxa"/>
            <w:vAlign w:val="center"/>
          </w:tcPr>
          <w:p>
            <w:pPr>
              <w:snapToGrid w:val="0"/>
              <w:ind w:firstLine="0" w:firstLineChars="0"/>
              <w:jc w:val="center"/>
              <w:rPr>
                <w:rFonts w:ascii="宋体" w:hAnsi="宋体" w:eastAsia="宋体"/>
                <w:b/>
                <w:bCs/>
                <w:sz w:val="24"/>
                <w:szCs w:val="24"/>
                <w:highlight w:val="none"/>
              </w:rPr>
            </w:pPr>
          </w:p>
        </w:tc>
        <w:tc>
          <w:tcPr>
            <w:tcW w:w="992" w:type="dxa"/>
            <w:vAlign w:val="center"/>
          </w:tcPr>
          <w:p>
            <w:pPr>
              <w:snapToGrid w:val="0"/>
              <w:ind w:firstLine="0" w:firstLineChars="0"/>
              <w:jc w:val="center"/>
              <w:rPr>
                <w:rFonts w:ascii="宋体" w:hAnsi="宋体" w:eastAsia="宋体"/>
                <w:b/>
                <w:bCs/>
                <w:sz w:val="24"/>
                <w:szCs w:val="24"/>
                <w:highlight w:val="none"/>
              </w:rPr>
            </w:pPr>
          </w:p>
        </w:tc>
        <w:tc>
          <w:tcPr>
            <w:tcW w:w="993" w:type="dxa"/>
            <w:vAlign w:val="center"/>
          </w:tcPr>
          <w:p>
            <w:pPr>
              <w:snapToGrid w:val="0"/>
              <w:ind w:firstLine="0" w:firstLineChars="0"/>
              <w:jc w:val="center"/>
              <w:rPr>
                <w:rFonts w:ascii="宋体" w:hAnsi="宋体" w:eastAsia="宋体"/>
                <w:b/>
                <w:bCs/>
                <w:sz w:val="24"/>
                <w:szCs w:val="24"/>
                <w:highlight w:val="none"/>
              </w:rPr>
            </w:pPr>
          </w:p>
        </w:tc>
        <w:tc>
          <w:tcPr>
            <w:tcW w:w="928" w:type="dxa"/>
            <w:vAlign w:val="center"/>
          </w:tcPr>
          <w:p>
            <w:pPr>
              <w:snapToGrid w:val="0"/>
              <w:ind w:firstLine="0" w:firstLineChars="0"/>
              <w:jc w:val="center"/>
              <w:rPr>
                <w:rFonts w:ascii="宋体" w:hAnsi="宋体" w:eastAsia="宋体"/>
                <w:b/>
                <w:bCs/>
                <w:sz w:val="24"/>
                <w:szCs w:val="24"/>
                <w:highlight w:val="none"/>
              </w:rPr>
            </w:pPr>
          </w:p>
        </w:tc>
      </w:tr>
    </w:tbl>
    <w:p>
      <w:pPr>
        <w:snapToGrid w:val="0"/>
        <w:spacing w:line="264" w:lineRule="auto"/>
        <w:ind w:firstLine="0" w:firstLineChars="0"/>
        <w:jc w:val="center"/>
        <w:rPr>
          <w:rFonts w:ascii="宋体" w:hAnsi="宋体" w:eastAsia="宋体"/>
          <w:sz w:val="24"/>
          <w:szCs w:val="24"/>
          <w:highlight w:val="none"/>
        </w:rPr>
        <w:sectPr>
          <w:pgSz w:w="11906" w:h="16838"/>
          <w:pgMar w:top="1440" w:right="1588" w:bottom="1440" w:left="1588" w:header="851" w:footer="992" w:gutter="0"/>
          <w:cols w:space="425" w:num="1"/>
          <w:docGrid w:type="lines" w:linePitch="312" w:charSpace="0"/>
        </w:sectPr>
      </w:pPr>
    </w:p>
    <w:p>
      <w:pPr>
        <w:snapToGrid w:val="0"/>
        <w:ind w:firstLine="0" w:firstLineChars="0"/>
        <w:jc w:val="center"/>
        <w:rPr>
          <w:rFonts w:ascii="黑体" w:hAnsi="黑体" w:eastAsia="黑体"/>
          <w:highlight w:val="none"/>
        </w:rPr>
      </w:pPr>
      <w:r>
        <w:rPr>
          <w:rFonts w:hint="eastAsia" w:ascii="黑体" w:hAnsi="黑体" w:eastAsia="黑体"/>
          <w:highlight w:val="none"/>
        </w:rPr>
        <w:t>表</w:t>
      </w:r>
      <w:r>
        <w:rPr>
          <w:rFonts w:ascii="黑体" w:hAnsi="黑体" w:eastAsia="黑体"/>
          <w:highlight w:val="none"/>
        </w:rPr>
        <w:t xml:space="preserve">5 </w:t>
      </w:r>
      <w:r>
        <w:rPr>
          <w:rFonts w:hint="eastAsia" w:ascii="黑体" w:hAnsi="黑体" w:eastAsia="黑体"/>
          <w:highlight w:val="none"/>
        </w:rPr>
        <w:t>暂估价清单明细表</w:t>
      </w:r>
    </w:p>
    <w:p>
      <w:pPr>
        <w:snapToGrid w:val="0"/>
        <w:ind w:firstLine="0" w:firstLineChars="0"/>
        <w:jc w:val="left"/>
        <w:rPr>
          <w:rFonts w:ascii="宋体" w:hAnsi="宋体" w:eastAsia="宋体"/>
          <w:sz w:val="24"/>
          <w:szCs w:val="24"/>
          <w:highlight w:val="none"/>
        </w:rPr>
      </w:pPr>
      <w:r>
        <w:rPr>
          <w:rFonts w:hint="eastAsia" w:ascii="宋体" w:hAnsi="宋体" w:eastAsia="宋体"/>
          <w:sz w:val="24"/>
          <w:szCs w:val="24"/>
          <w:highlight w:val="none"/>
        </w:rPr>
        <w:t>工程名称：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2128"/>
        <w:gridCol w:w="1276"/>
        <w:gridCol w:w="850"/>
        <w:gridCol w:w="709"/>
        <w:gridCol w:w="992"/>
        <w:gridCol w:w="99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序号</w:t>
            </w:r>
          </w:p>
        </w:tc>
        <w:tc>
          <w:tcPr>
            <w:tcW w:w="2128"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项目名称</w:t>
            </w:r>
          </w:p>
        </w:tc>
        <w:tc>
          <w:tcPr>
            <w:tcW w:w="1276"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工作内容</w:t>
            </w:r>
          </w:p>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项目特征</w:t>
            </w:r>
          </w:p>
        </w:tc>
        <w:tc>
          <w:tcPr>
            <w:tcW w:w="850"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单位</w:t>
            </w:r>
          </w:p>
        </w:tc>
        <w:tc>
          <w:tcPr>
            <w:tcW w:w="709"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数量</w:t>
            </w:r>
          </w:p>
        </w:tc>
        <w:tc>
          <w:tcPr>
            <w:tcW w:w="992"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单价</w:t>
            </w:r>
          </w:p>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（元）</w:t>
            </w:r>
          </w:p>
        </w:tc>
        <w:tc>
          <w:tcPr>
            <w:tcW w:w="993"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合价</w:t>
            </w:r>
          </w:p>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（元）</w:t>
            </w:r>
          </w:p>
        </w:tc>
        <w:tc>
          <w:tcPr>
            <w:tcW w:w="928"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4</w:t>
            </w:r>
          </w:p>
        </w:tc>
        <w:tc>
          <w:tcPr>
            <w:tcW w:w="2128" w:type="dxa"/>
            <w:vAlign w:val="center"/>
          </w:tcPr>
          <w:p>
            <w:pPr>
              <w:snapToGrid w:val="0"/>
              <w:ind w:left="320" w:leftChars="100" w:firstLine="0" w:firstLineChars="0"/>
              <w:jc w:val="left"/>
              <w:rPr>
                <w:rFonts w:ascii="宋体" w:hAnsi="宋体" w:eastAsia="宋体"/>
                <w:sz w:val="24"/>
                <w:szCs w:val="24"/>
                <w:highlight w:val="none"/>
              </w:rPr>
            </w:pPr>
            <w:r>
              <w:rPr>
                <w:rFonts w:hint="eastAsia" w:ascii="宋体" w:hAnsi="宋体" w:eastAsia="宋体"/>
                <w:sz w:val="24"/>
                <w:szCs w:val="24"/>
                <w:highlight w:val="none"/>
              </w:rPr>
              <w:t>暂估价</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4.1</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材料暂估价</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.1.1</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（材料名称）</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.2</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设备暂估价</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.2.1</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（设备名称）</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.3</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专业工程暂估价</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.3.1</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（专业工程名称）</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.4</w:t>
            </w:r>
          </w:p>
        </w:tc>
        <w:tc>
          <w:tcPr>
            <w:tcW w:w="2128" w:type="dxa"/>
            <w:vAlign w:val="center"/>
          </w:tcPr>
          <w:p>
            <w:pPr>
              <w:snapToGrid w:val="0"/>
              <w:ind w:firstLine="0" w:firstLineChars="0"/>
              <w:jc w:val="left"/>
              <w:rPr>
                <w:rFonts w:ascii="宋体" w:hAnsi="宋体" w:eastAsia="宋体"/>
                <w:sz w:val="24"/>
                <w:szCs w:val="24"/>
                <w:highlight w:val="none"/>
              </w:rPr>
            </w:pPr>
            <w:r>
              <w:rPr>
                <w:rFonts w:hint="eastAsia" w:ascii="宋体" w:hAnsi="宋体" w:eastAsia="宋体"/>
                <w:sz w:val="24"/>
                <w:szCs w:val="24"/>
                <w:highlight w:val="none"/>
              </w:rPr>
              <w:t>专业服务暂估价</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4</w:t>
            </w:r>
            <w:r>
              <w:rPr>
                <w:rFonts w:ascii="宋体" w:hAnsi="宋体" w:eastAsia="宋体"/>
                <w:sz w:val="24"/>
                <w:szCs w:val="24"/>
                <w:highlight w:val="none"/>
              </w:rPr>
              <w:t>.4.1</w:t>
            </w: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（专业服务名称）</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sz w:val="24"/>
                <w:szCs w:val="24"/>
                <w:highlight w:val="none"/>
              </w:rPr>
            </w:pPr>
          </w:p>
        </w:tc>
        <w:tc>
          <w:tcPr>
            <w:tcW w:w="2128"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w:t>
            </w:r>
          </w:p>
        </w:tc>
        <w:tc>
          <w:tcPr>
            <w:tcW w:w="1276" w:type="dxa"/>
            <w:vAlign w:val="center"/>
          </w:tcPr>
          <w:p>
            <w:pPr>
              <w:snapToGrid w:val="0"/>
              <w:ind w:firstLine="0" w:firstLineChars="0"/>
              <w:jc w:val="center"/>
              <w:rPr>
                <w:rFonts w:ascii="宋体" w:hAnsi="宋体" w:eastAsia="宋体"/>
                <w:sz w:val="24"/>
                <w:szCs w:val="24"/>
                <w:highlight w:val="none"/>
              </w:rPr>
            </w:pPr>
          </w:p>
        </w:tc>
        <w:tc>
          <w:tcPr>
            <w:tcW w:w="850" w:type="dxa"/>
            <w:vAlign w:val="center"/>
          </w:tcPr>
          <w:p>
            <w:pPr>
              <w:snapToGrid w:val="0"/>
              <w:ind w:firstLine="0" w:firstLineChars="0"/>
              <w:jc w:val="center"/>
              <w:rPr>
                <w:rFonts w:ascii="宋体" w:hAnsi="宋体" w:eastAsia="宋体"/>
                <w:sz w:val="24"/>
                <w:szCs w:val="24"/>
                <w:highlight w:val="none"/>
              </w:rPr>
            </w:pPr>
          </w:p>
        </w:tc>
        <w:tc>
          <w:tcPr>
            <w:tcW w:w="709" w:type="dxa"/>
            <w:vAlign w:val="center"/>
          </w:tcPr>
          <w:p>
            <w:pPr>
              <w:snapToGrid w:val="0"/>
              <w:ind w:firstLine="0" w:firstLineChars="0"/>
              <w:jc w:val="center"/>
              <w:rPr>
                <w:rFonts w:ascii="宋体" w:hAnsi="宋体" w:eastAsia="宋体"/>
                <w:sz w:val="24"/>
                <w:szCs w:val="24"/>
                <w:highlight w:val="none"/>
              </w:rPr>
            </w:pPr>
          </w:p>
        </w:tc>
        <w:tc>
          <w:tcPr>
            <w:tcW w:w="992" w:type="dxa"/>
            <w:vAlign w:val="center"/>
          </w:tcPr>
          <w:p>
            <w:pPr>
              <w:snapToGrid w:val="0"/>
              <w:ind w:firstLine="0" w:firstLineChars="0"/>
              <w:jc w:val="center"/>
              <w:rPr>
                <w:rFonts w:ascii="宋体" w:hAnsi="宋体" w:eastAsia="宋体"/>
                <w:sz w:val="24"/>
                <w:szCs w:val="24"/>
                <w:highlight w:val="none"/>
              </w:rPr>
            </w:pPr>
          </w:p>
        </w:tc>
        <w:tc>
          <w:tcPr>
            <w:tcW w:w="993" w:type="dxa"/>
            <w:vAlign w:val="center"/>
          </w:tcPr>
          <w:p>
            <w:pPr>
              <w:snapToGrid w:val="0"/>
              <w:ind w:firstLine="0" w:firstLineChars="0"/>
              <w:jc w:val="center"/>
              <w:rPr>
                <w:rFonts w:ascii="宋体" w:hAnsi="宋体" w:eastAsia="宋体"/>
                <w:sz w:val="24"/>
                <w:szCs w:val="24"/>
                <w:highlight w:val="none"/>
              </w:rPr>
            </w:pPr>
          </w:p>
        </w:tc>
        <w:tc>
          <w:tcPr>
            <w:tcW w:w="928"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4" w:type="dxa"/>
            <w:vAlign w:val="center"/>
          </w:tcPr>
          <w:p>
            <w:pPr>
              <w:snapToGrid w:val="0"/>
              <w:ind w:firstLine="0" w:firstLineChars="0"/>
              <w:jc w:val="center"/>
              <w:rPr>
                <w:rFonts w:ascii="宋体" w:hAnsi="宋体" w:eastAsia="宋体"/>
                <w:b/>
                <w:bCs/>
                <w:sz w:val="24"/>
                <w:szCs w:val="24"/>
                <w:highlight w:val="none"/>
              </w:rPr>
            </w:pPr>
          </w:p>
        </w:tc>
        <w:tc>
          <w:tcPr>
            <w:tcW w:w="2128" w:type="dxa"/>
            <w:vAlign w:val="center"/>
          </w:tcPr>
          <w:p>
            <w:pPr>
              <w:snapToGrid w:val="0"/>
              <w:ind w:left="320" w:leftChars="100" w:firstLine="0" w:firstLineChars="0"/>
              <w:jc w:val="left"/>
              <w:rPr>
                <w:rFonts w:ascii="宋体" w:hAnsi="宋体" w:eastAsia="宋体"/>
                <w:b/>
                <w:bCs/>
                <w:sz w:val="24"/>
                <w:szCs w:val="24"/>
                <w:highlight w:val="none"/>
              </w:rPr>
            </w:pPr>
            <w:r>
              <w:rPr>
                <w:rFonts w:hint="eastAsia" w:ascii="宋体" w:hAnsi="宋体" w:eastAsia="宋体"/>
                <w:b/>
                <w:bCs/>
                <w:sz w:val="24"/>
                <w:szCs w:val="24"/>
                <w:highlight w:val="none"/>
              </w:rPr>
              <w:t>合 计</w:t>
            </w:r>
          </w:p>
        </w:tc>
        <w:tc>
          <w:tcPr>
            <w:tcW w:w="1276" w:type="dxa"/>
            <w:vAlign w:val="center"/>
          </w:tcPr>
          <w:p>
            <w:pPr>
              <w:snapToGrid w:val="0"/>
              <w:ind w:firstLine="0" w:firstLineChars="0"/>
              <w:jc w:val="center"/>
              <w:rPr>
                <w:rFonts w:ascii="宋体" w:hAnsi="宋体" w:eastAsia="宋体"/>
                <w:b/>
                <w:bCs/>
                <w:sz w:val="24"/>
                <w:szCs w:val="24"/>
                <w:highlight w:val="none"/>
              </w:rPr>
            </w:pPr>
          </w:p>
        </w:tc>
        <w:tc>
          <w:tcPr>
            <w:tcW w:w="850" w:type="dxa"/>
            <w:vAlign w:val="center"/>
          </w:tcPr>
          <w:p>
            <w:pPr>
              <w:snapToGrid w:val="0"/>
              <w:ind w:firstLine="0" w:firstLineChars="0"/>
              <w:jc w:val="center"/>
              <w:rPr>
                <w:rFonts w:ascii="宋体" w:hAnsi="宋体" w:eastAsia="宋体"/>
                <w:b/>
                <w:bCs/>
                <w:sz w:val="24"/>
                <w:szCs w:val="24"/>
                <w:highlight w:val="none"/>
              </w:rPr>
            </w:pPr>
          </w:p>
        </w:tc>
        <w:tc>
          <w:tcPr>
            <w:tcW w:w="709" w:type="dxa"/>
            <w:vAlign w:val="center"/>
          </w:tcPr>
          <w:p>
            <w:pPr>
              <w:snapToGrid w:val="0"/>
              <w:ind w:firstLine="0" w:firstLineChars="0"/>
              <w:jc w:val="center"/>
              <w:rPr>
                <w:rFonts w:ascii="宋体" w:hAnsi="宋体" w:eastAsia="宋体"/>
                <w:b/>
                <w:bCs/>
                <w:sz w:val="24"/>
                <w:szCs w:val="24"/>
                <w:highlight w:val="none"/>
              </w:rPr>
            </w:pPr>
          </w:p>
        </w:tc>
        <w:tc>
          <w:tcPr>
            <w:tcW w:w="992" w:type="dxa"/>
            <w:vAlign w:val="center"/>
          </w:tcPr>
          <w:p>
            <w:pPr>
              <w:snapToGrid w:val="0"/>
              <w:ind w:firstLine="0" w:firstLineChars="0"/>
              <w:jc w:val="center"/>
              <w:rPr>
                <w:rFonts w:ascii="宋体" w:hAnsi="宋体" w:eastAsia="宋体"/>
                <w:b/>
                <w:bCs/>
                <w:sz w:val="24"/>
                <w:szCs w:val="24"/>
                <w:highlight w:val="none"/>
              </w:rPr>
            </w:pPr>
          </w:p>
        </w:tc>
        <w:tc>
          <w:tcPr>
            <w:tcW w:w="993" w:type="dxa"/>
            <w:vAlign w:val="center"/>
          </w:tcPr>
          <w:p>
            <w:pPr>
              <w:snapToGrid w:val="0"/>
              <w:ind w:firstLine="0" w:firstLineChars="0"/>
              <w:jc w:val="center"/>
              <w:rPr>
                <w:rFonts w:ascii="宋体" w:hAnsi="宋体" w:eastAsia="宋体"/>
                <w:b/>
                <w:bCs/>
                <w:sz w:val="24"/>
                <w:szCs w:val="24"/>
                <w:highlight w:val="none"/>
              </w:rPr>
            </w:pPr>
          </w:p>
        </w:tc>
        <w:tc>
          <w:tcPr>
            <w:tcW w:w="928" w:type="dxa"/>
            <w:vAlign w:val="center"/>
          </w:tcPr>
          <w:p>
            <w:pPr>
              <w:snapToGrid w:val="0"/>
              <w:ind w:firstLine="0" w:firstLineChars="0"/>
              <w:jc w:val="center"/>
              <w:rPr>
                <w:rFonts w:ascii="宋体" w:hAnsi="宋体" w:eastAsia="宋体"/>
                <w:b/>
                <w:bCs/>
                <w:sz w:val="24"/>
                <w:szCs w:val="24"/>
                <w:highlight w:val="none"/>
              </w:rPr>
            </w:pPr>
          </w:p>
        </w:tc>
      </w:tr>
    </w:tbl>
    <w:p>
      <w:pPr>
        <w:autoSpaceDE w:val="0"/>
        <w:autoSpaceDN w:val="0"/>
        <w:adjustRightInd w:val="0"/>
        <w:spacing w:before="78" w:beforeLines="25"/>
        <w:ind w:firstLine="0" w:firstLineChars="0"/>
        <w:jc w:val="left"/>
        <w:rPr>
          <w:rFonts w:ascii="宋体" w:hAnsi="宋体" w:eastAsia="宋体"/>
          <w:sz w:val="22"/>
          <w:szCs w:val="22"/>
          <w:highlight w:val="none"/>
        </w:rPr>
      </w:pPr>
      <w:r>
        <w:rPr>
          <w:rFonts w:hint="eastAsia" w:ascii="宋体" w:hAnsi="宋体" w:eastAsia="宋体"/>
          <w:sz w:val="22"/>
          <w:szCs w:val="22"/>
          <w:highlight w:val="none"/>
        </w:rPr>
        <w:t>注：1、以暂估价形式包括在总承包范围内的专业工程、设备和主材，应根据合同约定签约方式不同，填写表5-1工程总承包专项服务费计价表，计取相应的专业发包工程管理费、材料保管费和设备保管费；</w:t>
      </w:r>
    </w:p>
    <w:p>
      <w:pPr>
        <w:autoSpaceDE w:val="0"/>
        <w:autoSpaceDN w:val="0"/>
        <w:adjustRightInd w:val="0"/>
        <w:spacing w:before="78" w:beforeLines="25"/>
        <w:ind w:firstLine="440"/>
        <w:jc w:val="left"/>
        <w:rPr>
          <w:rFonts w:ascii="宋体" w:hAnsi="宋体" w:eastAsia="宋体"/>
          <w:sz w:val="22"/>
          <w:szCs w:val="22"/>
          <w:highlight w:val="none"/>
        </w:rPr>
      </w:pPr>
      <w:r>
        <w:rPr>
          <w:rFonts w:hint="eastAsia" w:ascii="宋体" w:hAnsi="宋体" w:eastAsia="宋体"/>
          <w:sz w:val="22"/>
          <w:szCs w:val="22"/>
          <w:highlight w:val="none"/>
        </w:rPr>
        <w:t>2、材料（设备）暂估单价进入项目综合单价。</w:t>
      </w:r>
    </w:p>
    <w:p>
      <w:pPr>
        <w:snapToGrid w:val="0"/>
        <w:ind w:firstLine="0" w:firstLineChars="0"/>
        <w:jc w:val="center"/>
        <w:rPr>
          <w:rFonts w:ascii="黑体" w:hAnsi="黑体" w:eastAsia="黑体"/>
          <w:highlight w:val="none"/>
        </w:rPr>
      </w:pPr>
    </w:p>
    <w:p>
      <w:pPr>
        <w:snapToGrid w:val="0"/>
        <w:ind w:firstLine="0" w:firstLineChars="0"/>
        <w:jc w:val="center"/>
        <w:rPr>
          <w:rFonts w:ascii="黑体" w:hAnsi="黑体" w:eastAsia="黑体"/>
          <w:highlight w:val="none"/>
        </w:rPr>
      </w:pPr>
    </w:p>
    <w:p>
      <w:pPr>
        <w:snapToGrid w:val="0"/>
        <w:ind w:firstLine="0" w:firstLineChars="0"/>
        <w:jc w:val="center"/>
        <w:rPr>
          <w:rFonts w:ascii="黑体" w:hAnsi="黑体" w:eastAsia="黑体"/>
          <w:highlight w:val="none"/>
        </w:rPr>
      </w:pPr>
    </w:p>
    <w:p>
      <w:pPr>
        <w:snapToGrid w:val="0"/>
        <w:ind w:firstLine="0" w:firstLineChars="0"/>
        <w:jc w:val="center"/>
        <w:rPr>
          <w:rFonts w:ascii="黑体" w:hAnsi="黑体" w:eastAsia="黑体"/>
          <w:highlight w:val="none"/>
        </w:rPr>
      </w:pPr>
    </w:p>
    <w:p>
      <w:pPr>
        <w:snapToGrid w:val="0"/>
        <w:ind w:firstLine="0" w:firstLineChars="0"/>
        <w:jc w:val="center"/>
        <w:rPr>
          <w:rFonts w:ascii="黑体" w:hAnsi="黑体" w:eastAsia="黑体"/>
          <w:highlight w:val="none"/>
        </w:rPr>
      </w:pPr>
    </w:p>
    <w:p>
      <w:pPr>
        <w:snapToGrid w:val="0"/>
        <w:ind w:firstLine="0" w:firstLineChars="0"/>
        <w:jc w:val="center"/>
        <w:rPr>
          <w:rFonts w:ascii="黑体" w:hAnsi="黑体" w:eastAsia="黑体"/>
          <w:highlight w:val="none"/>
        </w:rPr>
      </w:pPr>
    </w:p>
    <w:p>
      <w:pPr>
        <w:snapToGrid w:val="0"/>
        <w:ind w:firstLine="0" w:firstLineChars="0"/>
        <w:jc w:val="center"/>
        <w:rPr>
          <w:rFonts w:ascii="黑体" w:hAnsi="黑体" w:eastAsia="黑体"/>
          <w:highlight w:val="none"/>
        </w:rPr>
      </w:pPr>
    </w:p>
    <w:p>
      <w:pPr>
        <w:snapToGrid w:val="0"/>
        <w:ind w:firstLine="0" w:firstLineChars="0"/>
        <w:jc w:val="center"/>
        <w:rPr>
          <w:rFonts w:ascii="黑体" w:hAnsi="黑体" w:eastAsia="黑体"/>
          <w:highlight w:val="none"/>
        </w:rPr>
      </w:pPr>
    </w:p>
    <w:p>
      <w:pPr>
        <w:snapToGrid w:val="0"/>
        <w:ind w:firstLine="0" w:firstLineChars="0"/>
        <w:jc w:val="center"/>
        <w:rPr>
          <w:rFonts w:ascii="黑体" w:hAnsi="黑体" w:eastAsia="黑体"/>
          <w:highlight w:val="none"/>
        </w:rPr>
      </w:pPr>
    </w:p>
    <w:p>
      <w:pPr>
        <w:snapToGrid w:val="0"/>
        <w:ind w:firstLine="0" w:firstLineChars="0"/>
        <w:jc w:val="center"/>
        <w:rPr>
          <w:rFonts w:ascii="黑体" w:hAnsi="黑体" w:eastAsia="黑体"/>
          <w:highlight w:val="none"/>
        </w:rPr>
      </w:pPr>
    </w:p>
    <w:p>
      <w:pPr>
        <w:snapToGrid w:val="0"/>
        <w:ind w:firstLine="0" w:firstLineChars="0"/>
        <w:jc w:val="center"/>
        <w:rPr>
          <w:rFonts w:ascii="黑体" w:hAnsi="黑体" w:eastAsia="黑体"/>
          <w:highlight w:val="none"/>
        </w:rPr>
      </w:pPr>
      <w:r>
        <w:rPr>
          <w:rFonts w:hint="eastAsia" w:ascii="黑体" w:hAnsi="黑体" w:eastAsia="黑体"/>
          <w:highlight w:val="none"/>
        </w:rPr>
        <w:t>表5-1  工程总承包专项服务费计价表</w:t>
      </w:r>
    </w:p>
    <w:p>
      <w:pPr>
        <w:snapToGrid w:val="0"/>
        <w:ind w:firstLine="0" w:firstLineChars="0"/>
        <w:jc w:val="left"/>
        <w:rPr>
          <w:rFonts w:ascii="宋体" w:hAnsi="宋体" w:eastAsia="宋体"/>
          <w:sz w:val="24"/>
          <w:szCs w:val="24"/>
          <w:highlight w:val="none"/>
        </w:rPr>
      </w:pPr>
      <w:r>
        <w:rPr>
          <w:rFonts w:hint="eastAsia" w:ascii="宋体" w:hAnsi="宋体" w:eastAsia="宋体"/>
          <w:sz w:val="24"/>
          <w:szCs w:val="24"/>
          <w:highlight w:val="none"/>
        </w:rPr>
        <w:t>工程名称：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394"/>
        <w:gridCol w:w="184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序号</w:t>
            </w:r>
          </w:p>
        </w:tc>
        <w:tc>
          <w:tcPr>
            <w:tcW w:w="4394"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项目名称</w:t>
            </w:r>
          </w:p>
        </w:tc>
        <w:tc>
          <w:tcPr>
            <w:tcW w:w="1843"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计算基数</w:t>
            </w:r>
          </w:p>
        </w:tc>
        <w:tc>
          <w:tcPr>
            <w:tcW w:w="1637"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1</w:t>
            </w:r>
          </w:p>
        </w:tc>
        <w:tc>
          <w:tcPr>
            <w:tcW w:w="4394" w:type="dxa"/>
            <w:vAlign w:val="center"/>
          </w:tcPr>
          <w:p>
            <w:pPr>
              <w:snapToGrid w:val="0"/>
              <w:ind w:firstLine="240" w:firstLineChars="100"/>
              <w:jc w:val="left"/>
              <w:rPr>
                <w:rFonts w:ascii="宋体" w:hAnsi="宋体" w:eastAsia="宋体"/>
                <w:sz w:val="24"/>
                <w:szCs w:val="24"/>
                <w:highlight w:val="none"/>
              </w:rPr>
            </w:pPr>
            <w:r>
              <w:rPr>
                <w:rFonts w:ascii="宋体" w:hAnsi="宋体" w:eastAsia="宋体"/>
                <w:sz w:val="24"/>
                <w:szCs w:val="24"/>
                <w:highlight w:val="none"/>
              </w:rPr>
              <w:t>工程总承包专项服务费</w:t>
            </w:r>
          </w:p>
        </w:tc>
        <w:tc>
          <w:tcPr>
            <w:tcW w:w="1843" w:type="dxa"/>
            <w:vAlign w:val="center"/>
          </w:tcPr>
          <w:p>
            <w:pPr>
              <w:snapToGrid w:val="0"/>
              <w:ind w:firstLine="0" w:firstLineChars="0"/>
              <w:jc w:val="center"/>
              <w:rPr>
                <w:rFonts w:ascii="宋体" w:hAnsi="宋体" w:eastAsia="宋体"/>
                <w:sz w:val="24"/>
                <w:szCs w:val="24"/>
                <w:highlight w:val="none"/>
              </w:rPr>
            </w:pPr>
          </w:p>
        </w:tc>
        <w:tc>
          <w:tcPr>
            <w:tcW w:w="1637"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1.1</w:t>
            </w:r>
          </w:p>
        </w:tc>
        <w:tc>
          <w:tcPr>
            <w:tcW w:w="4394"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由发包人签订合同</w:t>
            </w:r>
          </w:p>
        </w:tc>
        <w:tc>
          <w:tcPr>
            <w:tcW w:w="1843" w:type="dxa"/>
            <w:vAlign w:val="center"/>
          </w:tcPr>
          <w:p>
            <w:pPr>
              <w:snapToGrid w:val="0"/>
              <w:ind w:firstLine="0" w:firstLineChars="0"/>
              <w:jc w:val="center"/>
              <w:rPr>
                <w:rFonts w:ascii="宋体" w:hAnsi="宋体" w:eastAsia="宋体"/>
                <w:sz w:val="24"/>
                <w:szCs w:val="24"/>
                <w:highlight w:val="none"/>
              </w:rPr>
            </w:pPr>
          </w:p>
        </w:tc>
        <w:tc>
          <w:tcPr>
            <w:tcW w:w="1637"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.1.1</w:t>
            </w:r>
          </w:p>
        </w:tc>
        <w:tc>
          <w:tcPr>
            <w:tcW w:w="4394"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专业发包工程管理费（管理、协调）</w:t>
            </w:r>
          </w:p>
        </w:tc>
        <w:tc>
          <w:tcPr>
            <w:tcW w:w="1843" w:type="dxa"/>
            <w:vMerge w:val="restart"/>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专业发包工程金额</w:t>
            </w:r>
          </w:p>
        </w:tc>
        <w:tc>
          <w:tcPr>
            <w:tcW w:w="1637"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.1.2</w:t>
            </w:r>
          </w:p>
        </w:tc>
        <w:tc>
          <w:tcPr>
            <w:tcW w:w="4394"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专业发包工程管理费（管理、协调、配合）</w:t>
            </w:r>
          </w:p>
        </w:tc>
        <w:tc>
          <w:tcPr>
            <w:tcW w:w="1843" w:type="dxa"/>
            <w:vMerge w:val="continue"/>
            <w:vAlign w:val="center"/>
          </w:tcPr>
          <w:p>
            <w:pPr>
              <w:snapToGrid w:val="0"/>
              <w:ind w:firstLine="0" w:firstLineChars="0"/>
              <w:jc w:val="center"/>
              <w:rPr>
                <w:rFonts w:ascii="宋体" w:hAnsi="宋体" w:eastAsia="宋体"/>
                <w:sz w:val="24"/>
                <w:szCs w:val="24"/>
                <w:highlight w:val="none"/>
              </w:rPr>
            </w:pPr>
          </w:p>
        </w:tc>
        <w:tc>
          <w:tcPr>
            <w:tcW w:w="1637"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.1.3</w:t>
            </w:r>
          </w:p>
        </w:tc>
        <w:tc>
          <w:tcPr>
            <w:tcW w:w="4394"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甲供材料保管费</w:t>
            </w:r>
          </w:p>
        </w:tc>
        <w:tc>
          <w:tcPr>
            <w:tcW w:w="1843"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甲供材料金额</w:t>
            </w:r>
          </w:p>
        </w:tc>
        <w:tc>
          <w:tcPr>
            <w:tcW w:w="1637"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1.1.4</w:t>
            </w:r>
          </w:p>
        </w:tc>
        <w:tc>
          <w:tcPr>
            <w:tcW w:w="4394"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甲供设备保管费</w:t>
            </w:r>
          </w:p>
        </w:tc>
        <w:tc>
          <w:tcPr>
            <w:tcW w:w="1843"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甲供设备金额</w:t>
            </w:r>
          </w:p>
        </w:tc>
        <w:tc>
          <w:tcPr>
            <w:tcW w:w="1637"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1.2</w:t>
            </w:r>
          </w:p>
        </w:tc>
        <w:tc>
          <w:tcPr>
            <w:tcW w:w="4394"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由承包人签订合同</w:t>
            </w:r>
          </w:p>
        </w:tc>
        <w:tc>
          <w:tcPr>
            <w:tcW w:w="1843" w:type="dxa"/>
            <w:vAlign w:val="center"/>
          </w:tcPr>
          <w:p>
            <w:pPr>
              <w:snapToGrid w:val="0"/>
              <w:ind w:firstLine="0" w:firstLineChars="0"/>
              <w:jc w:val="center"/>
              <w:rPr>
                <w:rFonts w:ascii="宋体" w:hAnsi="宋体" w:eastAsia="宋体"/>
                <w:sz w:val="24"/>
                <w:szCs w:val="24"/>
                <w:highlight w:val="none"/>
              </w:rPr>
            </w:pPr>
          </w:p>
        </w:tc>
        <w:tc>
          <w:tcPr>
            <w:tcW w:w="1637"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.2.1</w:t>
            </w:r>
          </w:p>
        </w:tc>
        <w:tc>
          <w:tcPr>
            <w:tcW w:w="4394"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专业发包工程管理费</w:t>
            </w:r>
          </w:p>
        </w:tc>
        <w:tc>
          <w:tcPr>
            <w:tcW w:w="1843"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专业发包工程金额</w:t>
            </w:r>
          </w:p>
        </w:tc>
        <w:tc>
          <w:tcPr>
            <w:tcW w:w="1637"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1</w:t>
            </w:r>
            <w:r>
              <w:rPr>
                <w:rFonts w:ascii="宋体" w:hAnsi="宋体" w:eastAsia="宋体"/>
                <w:sz w:val="24"/>
                <w:szCs w:val="24"/>
                <w:highlight w:val="none"/>
              </w:rPr>
              <w:t>.1.3</w:t>
            </w:r>
          </w:p>
        </w:tc>
        <w:tc>
          <w:tcPr>
            <w:tcW w:w="4394"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材料采购管理费</w:t>
            </w:r>
          </w:p>
        </w:tc>
        <w:tc>
          <w:tcPr>
            <w:tcW w:w="1843"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材料金额</w:t>
            </w:r>
          </w:p>
        </w:tc>
        <w:tc>
          <w:tcPr>
            <w:tcW w:w="1637"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1.1.4</w:t>
            </w:r>
          </w:p>
        </w:tc>
        <w:tc>
          <w:tcPr>
            <w:tcW w:w="4394"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设备采购管理费</w:t>
            </w:r>
          </w:p>
        </w:tc>
        <w:tc>
          <w:tcPr>
            <w:tcW w:w="1843"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设备金额</w:t>
            </w:r>
          </w:p>
        </w:tc>
        <w:tc>
          <w:tcPr>
            <w:tcW w:w="1637"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sz w:val="24"/>
                <w:szCs w:val="24"/>
                <w:highlight w:val="none"/>
              </w:rPr>
            </w:pPr>
          </w:p>
        </w:tc>
        <w:tc>
          <w:tcPr>
            <w:tcW w:w="4394" w:type="dxa"/>
            <w:vAlign w:val="center"/>
          </w:tcPr>
          <w:p>
            <w:pPr>
              <w:snapToGrid w:val="0"/>
              <w:ind w:firstLine="0" w:firstLineChars="0"/>
              <w:rPr>
                <w:rFonts w:ascii="宋体" w:hAnsi="宋体" w:eastAsia="宋体"/>
                <w:sz w:val="24"/>
                <w:szCs w:val="24"/>
                <w:highlight w:val="none"/>
              </w:rPr>
            </w:pPr>
          </w:p>
        </w:tc>
        <w:tc>
          <w:tcPr>
            <w:tcW w:w="1843" w:type="dxa"/>
            <w:vAlign w:val="center"/>
          </w:tcPr>
          <w:p>
            <w:pPr>
              <w:snapToGrid w:val="0"/>
              <w:ind w:firstLine="0" w:firstLineChars="0"/>
              <w:jc w:val="center"/>
              <w:rPr>
                <w:rFonts w:ascii="宋体" w:hAnsi="宋体" w:eastAsia="宋体"/>
                <w:sz w:val="24"/>
                <w:szCs w:val="24"/>
                <w:highlight w:val="none"/>
              </w:rPr>
            </w:pPr>
          </w:p>
        </w:tc>
        <w:tc>
          <w:tcPr>
            <w:tcW w:w="1637"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snapToGrid w:val="0"/>
              <w:ind w:firstLine="0" w:firstLineChars="0"/>
              <w:jc w:val="center"/>
              <w:rPr>
                <w:rFonts w:ascii="宋体" w:hAnsi="宋体" w:eastAsia="宋体"/>
                <w:b/>
                <w:bCs/>
                <w:sz w:val="24"/>
                <w:szCs w:val="24"/>
                <w:highlight w:val="none"/>
              </w:rPr>
            </w:pPr>
          </w:p>
        </w:tc>
        <w:tc>
          <w:tcPr>
            <w:tcW w:w="4394" w:type="dxa"/>
            <w:vAlign w:val="center"/>
          </w:tcPr>
          <w:p>
            <w:pPr>
              <w:snapToGrid w:val="0"/>
              <w:ind w:left="320" w:leftChars="100" w:firstLine="0" w:firstLineChars="0"/>
              <w:jc w:val="left"/>
              <w:rPr>
                <w:rFonts w:ascii="宋体" w:hAnsi="宋体" w:eastAsia="宋体"/>
                <w:b/>
                <w:bCs/>
                <w:sz w:val="24"/>
                <w:szCs w:val="24"/>
                <w:highlight w:val="none"/>
              </w:rPr>
            </w:pPr>
            <w:r>
              <w:rPr>
                <w:rFonts w:hint="eastAsia" w:ascii="宋体" w:hAnsi="宋体" w:eastAsia="宋体"/>
                <w:b/>
                <w:bCs/>
                <w:sz w:val="24"/>
                <w:szCs w:val="24"/>
                <w:highlight w:val="none"/>
              </w:rPr>
              <w:t>合 计</w:t>
            </w:r>
          </w:p>
        </w:tc>
        <w:tc>
          <w:tcPr>
            <w:tcW w:w="1843" w:type="dxa"/>
            <w:vAlign w:val="center"/>
          </w:tcPr>
          <w:p>
            <w:pPr>
              <w:snapToGrid w:val="0"/>
              <w:ind w:firstLine="0" w:firstLineChars="0"/>
              <w:jc w:val="center"/>
              <w:rPr>
                <w:rFonts w:ascii="宋体" w:hAnsi="宋体" w:eastAsia="宋体"/>
                <w:b/>
                <w:bCs/>
                <w:sz w:val="24"/>
                <w:szCs w:val="24"/>
                <w:highlight w:val="none"/>
              </w:rPr>
            </w:pPr>
          </w:p>
        </w:tc>
        <w:tc>
          <w:tcPr>
            <w:tcW w:w="1637" w:type="dxa"/>
            <w:vAlign w:val="center"/>
          </w:tcPr>
          <w:p>
            <w:pPr>
              <w:snapToGrid w:val="0"/>
              <w:ind w:firstLine="0" w:firstLineChars="0"/>
              <w:jc w:val="center"/>
              <w:rPr>
                <w:rFonts w:ascii="宋体" w:hAnsi="宋体" w:eastAsia="宋体"/>
                <w:b/>
                <w:bCs/>
                <w:sz w:val="24"/>
                <w:szCs w:val="24"/>
                <w:highlight w:val="none"/>
              </w:rPr>
            </w:pPr>
          </w:p>
        </w:tc>
      </w:tr>
    </w:tbl>
    <w:p>
      <w:pPr>
        <w:autoSpaceDE w:val="0"/>
        <w:autoSpaceDN w:val="0"/>
        <w:adjustRightInd w:val="0"/>
        <w:spacing w:before="78" w:beforeLines="25"/>
        <w:ind w:left="284" w:hanging="283" w:hangingChars="129"/>
        <w:rPr>
          <w:rFonts w:ascii="宋体" w:hAnsi="宋体" w:eastAsia="宋体"/>
          <w:sz w:val="22"/>
          <w:szCs w:val="22"/>
          <w:highlight w:val="none"/>
        </w:rPr>
      </w:pPr>
      <w:r>
        <w:rPr>
          <w:rFonts w:hint="eastAsia" w:ascii="宋体" w:hAnsi="宋体" w:eastAsia="宋体"/>
          <w:sz w:val="22"/>
          <w:szCs w:val="22"/>
          <w:highlight w:val="none"/>
        </w:rPr>
        <w:t xml:space="preserve">注 </w:t>
      </w:r>
      <w:r>
        <w:rPr>
          <w:rFonts w:ascii="宋体" w:hAnsi="宋体" w:eastAsia="宋体"/>
          <w:sz w:val="22"/>
          <w:szCs w:val="22"/>
          <w:highlight w:val="none"/>
        </w:rPr>
        <w:t>1</w:t>
      </w:r>
      <w:r>
        <w:rPr>
          <w:rFonts w:hint="eastAsia" w:ascii="宋体" w:hAnsi="宋体" w:eastAsia="宋体"/>
          <w:sz w:val="22"/>
          <w:szCs w:val="22"/>
          <w:highlight w:val="none"/>
        </w:rPr>
        <w:t>．材料（设备）采购管理费指材料（设备）在采购、保管过程中发生的采购保管费、企业管理费、利润、规费及税金等。</w:t>
      </w:r>
    </w:p>
    <w:p>
      <w:pPr>
        <w:snapToGrid w:val="0"/>
        <w:spacing w:line="264" w:lineRule="auto"/>
        <w:ind w:firstLine="220" w:firstLineChars="100"/>
        <w:rPr>
          <w:rFonts w:ascii="宋体" w:hAnsi="宋体" w:eastAsia="宋体"/>
          <w:sz w:val="24"/>
          <w:szCs w:val="24"/>
          <w:highlight w:val="none"/>
        </w:rPr>
      </w:pPr>
      <w:r>
        <w:rPr>
          <w:rFonts w:ascii="宋体" w:hAnsi="宋体" w:eastAsia="宋体"/>
          <w:sz w:val="22"/>
          <w:szCs w:val="22"/>
          <w:highlight w:val="none"/>
        </w:rPr>
        <w:t>2</w:t>
      </w:r>
      <w:r>
        <w:rPr>
          <w:rFonts w:hint="eastAsia" w:ascii="宋体" w:hAnsi="宋体" w:eastAsia="宋体"/>
          <w:sz w:val="22"/>
          <w:szCs w:val="22"/>
          <w:highlight w:val="none"/>
        </w:rPr>
        <w:t>．</w:t>
      </w:r>
      <w:r>
        <w:rPr>
          <w:rFonts w:ascii="宋体" w:hAnsi="宋体" w:eastAsia="宋体"/>
          <w:sz w:val="22"/>
          <w:szCs w:val="22"/>
          <w:highlight w:val="none"/>
        </w:rPr>
        <w:t>专业发包工程管理费的取费基数按其税前金额确定，不包括相应的销项税；</w:t>
      </w:r>
      <w:r>
        <w:rPr>
          <w:rFonts w:hint="eastAsia" w:ascii="宋体" w:hAnsi="宋体" w:eastAsia="宋体"/>
          <w:sz w:val="22"/>
          <w:szCs w:val="22"/>
          <w:highlight w:val="none"/>
        </w:rPr>
        <w:t>其余</w:t>
      </w:r>
      <w:r>
        <w:rPr>
          <w:rFonts w:ascii="宋体" w:hAnsi="宋体" w:eastAsia="宋体"/>
          <w:sz w:val="22"/>
          <w:szCs w:val="22"/>
          <w:highlight w:val="none"/>
        </w:rPr>
        <w:t>取费基数</w:t>
      </w:r>
      <w:r>
        <w:rPr>
          <w:rFonts w:hint="eastAsia" w:ascii="宋体" w:hAnsi="宋体" w:eastAsia="宋体"/>
          <w:sz w:val="22"/>
          <w:szCs w:val="22"/>
          <w:highlight w:val="none"/>
        </w:rPr>
        <w:t>按材料或设备的含税金额确定</w:t>
      </w:r>
      <w:r>
        <w:rPr>
          <w:rFonts w:ascii="宋体" w:hAnsi="宋体" w:eastAsia="宋体"/>
          <w:sz w:val="22"/>
          <w:szCs w:val="22"/>
          <w:highlight w:val="none"/>
        </w:rPr>
        <w:t>，包括相应的进项税。</w:t>
      </w:r>
    </w:p>
    <w:p>
      <w:pPr>
        <w:snapToGrid w:val="0"/>
        <w:spacing w:line="264" w:lineRule="auto"/>
        <w:ind w:firstLine="0" w:firstLineChars="0"/>
        <w:jc w:val="center"/>
        <w:rPr>
          <w:rFonts w:ascii="宋体" w:hAnsi="宋体" w:eastAsia="宋体"/>
          <w:sz w:val="24"/>
          <w:szCs w:val="24"/>
          <w:highlight w:val="none"/>
        </w:rPr>
      </w:pPr>
    </w:p>
    <w:p>
      <w:pPr>
        <w:snapToGrid w:val="0"/>
        <w:ind w:firstLine="0" w:firstLineChars="0"/>
        <w:jc w:val="center"/>
        <w:rPr>
          <w:rFonts w:ascii="黑体" w:hAnsi="黑体" w:eastAsia="黑体"/>
          <w:highlight w:val="none"/>
        </w:rPr>
      </w:pPr>
      <w:r>
        <w:rPr>
          <w:rFonts w:hint="eastAsia" w:ascii="黑体" w:hAnsi="黑体" w:eastAsia="黑体"/>
          <w:highlight w:val="none"/>
        </w:rPr>
        <w:t>表</w:t>
      </w:r>
      <w:r>
        <w:rPr>
          <w:rFonts w:ascii="黑体" w:hAnsi="黑体" w:eastAsia="黑体"/>
          <w:highlight w:val="none"/>
        </w:rPr>
        <w:t xml:space="preserve">6 </w:t>
      </w:r>
      <w:r>
        <w:rPr>
          <w:rFonts w:hint="eastAsia" w:ascii="黑体" w:hAnsi="黑体" w:eastAsia="黑体"/>
          <w:highlight w:val="none"/>
        </w:rPr>
        <w:t>暂列金额清单明细表</w:t>
      </w:r>
    </w:p>
    <w:p>
      <w:pPr>
        <w:snapToGrid w:val="0"/>
        <w:ind w:firstLine="0" w:firstLineChars="0"/>
        <w:jc w:val="left"/>
        <w:rPr>
          <w:rFonts w:ascii="宋体" w:hAnsi="宋体" w:eastAsia="宋体"/>
          <w:sz w:val="24"/>
          <w:szCs w:val="24"/>
          <w:highlight w:val="none"/>
        </w:rPr>
      </w:pPr>
      <w:r>
        <w:rPr>
          <w:rFonts w:hint="eastAsia" w:ascii="宋体" w:hAnsi="宋体" w:eastAsia="宋体"/>
          <w:sz w:val="24"/>
          <w:szCs w:val="24"/>
          <w:highlight w:val="none"/>
        </w:rPr>
        <w:t>工程名称：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35"/>
        <w:gridCol w:w="2717"/>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序号</w:t>
            </w:r>
          </w:p>
        </w:tc>
        <w:tc>
          <w:tcPr>
            <w:tcW w:w="2835"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项目名称</w:t>
            </w:r>
          </w:p>
        </w:tc>
        <w:tc>
          <w:tcPr>
            <w:tcW w:w="2717"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暂定金额（元）</w:t>
            </w:r>
          </w:p>
        </w:tc>
        <w:tc>
          <w:tcPr>
            <w:tcW w:w="2180"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5</w:t>
            </w:r>
          </w:p>
        </w:tc>
        <w:tc>
          <w:tcPr>
            <w:tcW w:w="2835" w:type="dxa"/>
            <w:vAlign w:val="center"/>
          </w:tcPr>
          <w:p>
            <w:pPr>
              <w:snapToGrid w:val="0"/>
              <w:ind w:left="320" w:leftChars="100" w:firstLine="0" w:firstLineChars="0"/>
              <w:jc w:val="left"/>
              <w:rPr>
                <w:rFonts w:ascii="宋体" w:hAnsi="宋体" w:eastAsia="宋体"/>
                <w:sz w:val="24"/>
                <w:szCs w:val="24"/>
                <w:highlight w:val="none"/>
              </w:rPr>
            </w:pPr>
            <w:r>
              <w:rPr>
                <w:rFonts w:hint="eastAsia" w:ascii="宋体" w:hAnsi="宋体" w:eastAsia="宋体"/>
                <w:sz w:val="24"/>
                <w:szCs w:val="24"/>
                <w:highlight w:val="none"/>
              </w:rPr>
              <w:t>暂列金额</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5.1</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标化工地增加费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5.2</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优质工程增加费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5.3</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其他暂列金额</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b/>
                <w:bCs/>
                <w:sz w:val="24"/>
                <w:szCs w:val="24"/>
                <w:highlight w:val="none"/>
              </w:rPr>
            </w:pPr>
          </w:p>
        </w:tc>
        <w:tc>
          <w:tcPr>
            <w:tcW w:w="2835" w:type="dxa"/>
            <w:vAlign w:val="center"/>
          </w:tcPr>
          <w:p>
            <w:pPr>
              <w:snapToGrid w:val="0"/>
              <w:ind w:left="320" w:leftChars="100" w:firstLine="0" w:firstLineChars="0"/>
              <w:jc w:val="left"/>
              <w:rPr>
                <w:rFonts w:ascii="宋体" w:hAnsi="宋体" w:eastAsia="宋体"/>
                <w:b/>
                <w:bCs/>
                <w:sz w:val="24"/>
                <w:szCs w:val="24"/>
                <w:highlight w:val="none"/>
              </w:rPr>
            </w:pPr>
            <w:r>
              <w:rPr>
                <w:rFonts w:hint="eastAsia" w:ascii="宋体" w:hAnsi="宋体" w:eastAsia="宋体"/>
                <w:b/>
                <w:bCs/>
                <w:sz w:val="24"/>
                <w:szCs w:val="24"/>
                <w:highlight w:val="none"/>
              </w:rPr>
              <w:t>合 计</w:t>
            </w:r>
          </w:p>
        </w:tc>
        <w:tc>
          <w:tcPr>
            <w:tcW w:w="2717" w:type="dxa"/>
            <w:vAlign w:val="center"/>
          </w:tcPr>
          <w:p>
            <w:pPr>
              <w:snapToGrid w:val="0"/>
              <w:ind w:firstLine="0" w:firstLineChars="0"/>
              <w:jc w:val="center"/>
              <w:rPr>
                <w:rFonts w:ascii="宋体" w:hAnsi="宋体" w:eastAsia="宋体"/>
                <w:b/>
                <w:bCs/>
                <w:sz w:val="24"/>
                <w:szCs w:val="24"/>
                <w:highlight w:val="none"/>
              </w:rPr>
            </w:pPr>
          </w:p>
        </w:tc>
        <w:tc>
          <w:tcPr>
            <w:tcW w:w="2180" w:type="dxa"/>
            <w:vAlign w:val="center"/>
          </w:tcPr>
          <w:p>
            <w:pPr>
              <w:snapToGrid w:val="0"/>
              <w:ind w:firstLine="0" w:firstLineChars="0"/>
              <w:jc w:val="center"/>
              <w:rPr>
                <w:rFonts w:ascii="宋体" w:hAnsi="宋体" w:eastAsia="宋体"/>
                <w:b/>
                <w:bCs/>
                <w:sz w:val="24"/>
                <w:szCs w:val="24"/>
                <w:highlight w:val="none"/>
              </w:rPr>
            </w:pPr>
          </w:p>
        </w:tc>
      </w:tr>
    </w:tbl>
    <w:p>
      <w:pPr>
        <w:snapToGrid w:val="0"/>
        <w:ind w:firstLine="0" w:firstLineChars="0"/>
        <w:jc w:val="center"/>
        <w:rPr>
          <w:rFonts w:ascii="黑体" w:hAnsi="黑体" w:eastAsia="黑体"/>
          <w:highlight w:val="none"/>
        </w:rPr>
      </w:pPr>
      <w:r>
        <w:rPr>
          <w:rFonts w:hint="eastAsia" w:ascii="黑体" w:hAnsi="黑体" w:eastAsia="黑体"/>
          <w:highlight w:val="none"/>
        </w:rPr>
        <w:t>表</w:t>
      </w:r>
      <w:r>
        <w:rPr>
          <w:rFonts w:ascii="黑体" w:hAnsi="黑体" w:eastAsia="黑体"/>
          <w:highlight w:val="none"/>
        </w:rPr>
        <w:t xml:space="preserve">7 </w:t>
      </w:r>
      <w:r>
        <w:rPr>
          <w:rFonts w:hint="eastAsia" w:ascii="黑体" w:hAnsi="黑体" w:eastAsia="黑体"/>
          <w:highlight w:val="none"/>
        </w:rPr>
        <w:t>工程总承包其他费清单及计价表</w:t>
      </w:r>
    </w:p>
    <w:p>
      <w:pPr>
        <w:snapToGrid w:val="0"/>
        <w:ind w:firstLine="0" w:firstLineChars="0"/>
        <w:jc w:val="left"/>
        <w:rPr>
          <w:rFonts w:ascii="宋体" w:hAnsi="宋体" w:eastAsia="宋体"/>
          <w:sz w:val="24"/>
          <w:szCs w:val="24"/>
          <w:highlight w:val="none"/>
        </w:rPr>
      </w:pPr>
      <w:r>
        <w:rPr>
          <w:rFonts w:hint="eastAsia" w:ascii="宋体" w:hAnsi="宋体" w:eastAsia="宋体"/>
          <w:sz w:val="24"/>
          <w:szCs w:val="24"/>
          <w:highlight w:val="none"/>
        </w:rPr>
        <w:t>工程名称：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835"/>
        <w:gridCol w:w="2717"/>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序号</w:t>
            </w:r>
          </w:p>
        </w:tc>
        <w:tc>
          <w:tcPr>
            <w:tcW w:w="2835"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项目名称</w:t>
            </w:r>
          </w:p>
        </w:tc>
        <w:tc>
          <w:tcPr>
            <w:tcW w:w="2717"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金额（元）</w:t>
            </w:r>
          </w:p>
        </w:tc>
        <w:tc>
          <w:tcPr>
            <w:tcW w:w="2180" w:type="dxa"/>
            <w:vAlign w:val="center"/>
          </w:tcPr>
          <w:p>
            <w:pPr>
              <w:snapToGrid w:val="0"/>
              <w:ind w:firstLine="0" w:firstLineChars="0"/>
              <w:jc w:val="center"/>
              <w:rPr>
                <w:rFonts w:ascii="宋体" w:hAnsi="宋体" w:eastAsia="宋体"/>
                <w:b/>
                <w:bCs/>
                <w:sz w:val="24"/>
                <w:szCs w:val="24"/>
                <w:highlight w:val="none"/>
              </w:rPr>
            </w:pPr>
            <w:r>
              <w:rPr>
                <w:rFonts w:hint="eastAsia" w:ascii="宋体" w:hAnsi="宋体" w:eastAsia="宋体"/>
                <w:b/>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6</w:t>
            </w:r>
          </w:p>
        </w:tc>
        <w:tc>
          <w:tcPr>
            <w:tcW w:w="2835" w:type="dxa"/>
            <w:vAlign w:val="center"/>
          </w:tcPr>
          <w:p>
            <w:pPr>
              <w:snapToGrid w:val="0"/>
              <w:ind w:left="320" w:leftChars="100" w:firstLine="0" w:firstLineChars="0"/>
              <w:jc w:val="left"/>
              <w:rPr>
                <w:rFonts w:ascii="宋体" w:hAnsi="宋体" w:eastAsia="宋体"/>
                <w:sz w:val="24"/>
                <w:szCs w:val="24"/>
                <w:highlight w:val="none"/>
              </w:rPr>
            </w:pPr>
            <w:r>
              <w:rPr>
                <w:rFonts w:hint="eastAsia" w:ascii="宋体" w:hAnsi="宋体" w:eastAsia="宋体"/>
                <w:sz w:val="24"/>
                <w:szCs w:val="24"/>
                <w:highlight w:val="none"/>
              </w:rPr>
              <w:t>工程总承包其他费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.1</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工程建设其他费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.1.1</w:t>
            </w:r>
          </w:p>
        </w:tc>
        <w:tc>
          <w:tcPr>
            <w:tcW w:w="2835" w:type="dxa"/>
            <w:vAlign w:val="center"/>
          </w:tcPr>
          <w:p>
            <w:pPr>
              <w:snapToGrid w:val="0"/>
              <w:ind w:firstLine="0" w:firstLineChars="0"/>
              <w:rPr>
                <w:rFonts w:ascii="宋体" w:hAnsi="宋体" w:eastAsia="宋体"/>
                <w:sz w:val="24"/>
                <w:szCs w:val="24"/>
                <w:highlight w:val="none"/>
              </w:rPr>
            </w:pPr>
            <w:r>
              <w:rPr>
                <w:rFonts w:ascii="宋体" w:hAnsi="宋体" w:eastAsia="宋体"/>
                <w:sz w:val="24"/>
                <w:szCs w:val="24"/>
                <w:highlight w:val="none"/>
              </w:rPr>
              <w:t>工程勘察费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.1.2</w:t>
            </w:r>
          </w:p>
        </w:tc>
        <w:tc>
          <w:tcPr>
            <w:tcW w:w="2835" w:type="dxa"/>
            <w:vAlign w:val="center"/>
          </w:tcPr>
          <w:p>
            <w:pPr>
              <w:snapToGrid w:val="0"/>
              <w:ind w:firstLine="0" w:firstLineChars="0"/>
              <w:rPr>
                <w:rFonts w:ascii="宋体" w:hAnsi="宋体" w:eastAsia="宋体"/>
                <w:sz w:val="24"/>
                <w:szCs w:val="24"/>
                <w:highlight w:val="none"/>
              </w:rPr>
            </w:pPr>
            <w:r>
              <w:rPr>
                <w:rFonts w:ascii="宋体" w:hAnsi="宋体" w:eastAsia="宋体"/>
                <w:sz w:val="24"/>
                <w:szCs w:val="24"/>
                <w:highlight w:val="none"/>
              </w:rPr>
              <w:t>工程保险费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.1.3</w:t>
            </w:r>
          </w:p>
        </w:tc>
        <w:tc>
          <w:tcPr>
            <w:tcW w:w="2835" w:type="dxa"/>
            <w:vAlign w:val="center"/>
          </w:tcPr>
          <w:p>
            <w:pPr>
              <w:snapToGrid w:val="0"/>
              <w:ind w:firstLine="0" w:firstLineChars="0"/>
              <w:rPr>
                <w:rFonts w:ascii="宋体" w:hAnsi="宋体" w:eastAsia="宋体"/>
                <w:sz w:val="24"/>
                <w:szCs w:val="24"/>
                <w:highlight w:val="none"/>
              </w:rPr>
            </w:pPr>
            <w:r>
              <w:rPr>
                <w:rFonts w:ascii="宋体" w:hAnsi="宋体" w:eastAsia="宋体"/>
                <w:sz w:val="24"/>
                <w:szCs w:val="24"/>
                <w:highlight w:val="none"/>
              </w:rPr>
              <w:t>场地准备及临时设施费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.1.4</w:t>
            </w:r>
          </w:p>
        </w:tc>
        <w:tc>
          <w:tcPr>
            <w:tcW w:w="2835" w:type="dxa"/>
            <w:vAlign w:val="center"/>
          </w:tcPr>
          <w:p>
            <w:pPr>
              <w:snapToGrid w:val="0"/>
              <w:ind w:firstLine="0" w:firstLineChars="0"/>
              <w:rPr>
                <w:rFonts w:ascii="宋体" w:hAnsi="宋体" w:eastAsia="宋体"/>
                <w:sz w:val="24"/>
                <w:szCs w:val="24"/>
                <w:highlight w:val="none"/>
              </w:rPr>
            </w:pPr>
            <w:r>
              <w:rPr>
                <w:rFonts w:ascii="宋体" w:hAnsi="宋体" w:eastAsia="宋体"/>
                <w:sz w:val="24"/>
                <w:szCs w:val="24"/>
                <w:highlight w:val="none"/>
              </w:rPr>
              <w:t>节能评估费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.1.5</w:t>
            </w:r>
          </w:p>
        </w:tc>
        <w:tc>
          <w:tcPr>
            <w:tcW w:w="2835" w:type="dxa"/>
            <w:vAlign w:val="center"/>
          </w:tcPr>
          <w:p>
            <w:pPr>
              <w:snapToGrid w:val="0"/>
              <w:ind w:firstLine="0" w:firstLineChars="0"/>
              <w:rPr>
                <w:rFonts w:ascii="宋体" w:hAnsi="宋体" w:eastAsia="宋体"/>
                <w:sz w:val="24"/>
                <w:szCs w:val="24"/>
                <w:highlight w:val="none"/>
              </w:rPr>
            </w:pPr>
            <w:r>
              <w:rPr>
                <w:rFonts w:ascii="宋体" w:hAnsi="宋体" w:eastAsia="宋体"/>
                <w:sz w:val="24"/>
                <w:szCs w:val="24"/>
                <w:highlight w:val="none"/>
              </w:rPr>
              <w:t>环境影响评价费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.1.6</w:t>
            </w:r>
          </w:p>
        </w:tc>
        <w:tc>
          <w:tcPr>
            <w:tcW w:w="2835" w:type="dxa"/>
            <w:vAlign w:val="center"/>
          </w:tcPr>
          <w:p>
            <w:pPr>
              <w:snapToGrid w:val="0"/>
              <w:ind w:firstLine="0" w:firstLineChars="0"/>
              <w:rPr>
                <w:rFonts w:ascii="宋体" w:hAnsi="宋体" w:eastAsia="宋体"/>
                <w:sz w:val="24"/>
                <w:szCs w:val="24"/>
                <w:highlight w:val="none"/>
              </w:rPr>
            </w:pPr>
            <w:r>
              <w:rPr>
                <w:rFonts w:ascii="宋体" w:hAnsi="宋体" w:eastAsia="宋体"/>
                <w:sz w:val="24"/>
                <w:szCs w:val="24"/>
                <w:highlight w:val="none"/>
              </w:rPr>
              <w:t>联合试运转费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w:t>
            </w:r>
            <w:r>
              <w:rPr>
                <w:rFonts w:hint="eastAsia" w:ascii="宋体" w:hAnsi="宋体" w:eastAsia="宋体"/>
                <w:sz w:val="24"/>
                <w:szCs w:val="24"/>
                <w:highlight w:val="none"/>
              </w:rPr>
              <w:t>2</w:t>
            </w: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其他费用</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w:t>
            </w:r>
            <w:r>
              <w:rPr>
                <w:rFonts w:hint="eastAsia" w:ascii="宋体" w:hAnsi="宋体" w:eastAsia="宋体"/>
                <w:sz w:val="24"/>
                <w:szCs w:val="24"/>
                <w:highlight w:val="none"/>
              </w:rPr>
              <w:t>2</w:t>
            </w:r>
            <w:r>
              <w:rPr>
                <w:rFonts w:ascii="宋体" w:hAnsi="宋体" w:eastAsia="宋体"/>
                <w:sz w:val="24"/>
                <w:szCs w:val="24"/>
                <w:highlight w:val="none"/>
              </w:rPr>
              <w:t>.1</w:t>
            </w:r>
          </w:p>
        </w:tc>
        <w:tc>
          <w:tcPr>
            <w:tcW w:w="2835" w:type="dxa"/>
            <w:vAlign w:val="center"/>
          </w:tcPr>
          <w:p>
            <w:pPr>
              <w:snapToGrid w:val="0"/>
              <w:ind w:firstLine="0" w:firstLineChars="0"/>
              <w:rPr>
                <w:rFonts w:ascii="宋体" w:hAnsi="宋体" w:eastAsia="宋体"/>
                <w:sz w:val="24"/>
                <w:szCs w:val="24"/>
                <w:highlight w:val="none"/>
              </w:rPr>
            </w:pPr>
            <w:r>
              <w:rPr>
                <w:rFonts w:ascii="宋体" w:hAnsi="宋体" w:eastAsia="宋体"/>
                <w:sz w:val="24"/>
                <w:szCs w:val="24"/>
                <w:highlight w:val="none"/>
              </w:rPr>
              <w:t>BIM技术应用</w:t>
            </w:r>
            <w:r>
              <w:rPr>
                <w:rFonts w:hint="eastAsia" w:ascii="宋体" w:hAnsi="宋体" w:eastAsia="宋体"/>
                <w:sz w:val="24"/>
                <w:szCs w:val="24"/>
                <w:highlight w:val="none"/>
              </w:rPr>
              <w:t>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w:t>
            </w:r>
            <w:r>
              <w:rPr>
                <w:rFonts w:hint="eastAsia" w:ascii="宋体" w:hAnsi="宋体" w:eastAsia="宋体"/>
                <w:sz w:val="24"/>
                <w:szCs w:val="24"/>
                <w:highlight w:val="none"/>
              </w:rPr>
              <w:t>2</w:t>
            </w:r>
            <w:r>
              <w:rPr>
                <w:rFonts w:ascii="宋体" w:hAnsi="宋体" w:eastAsia="宋体"/>
                <w:sz w:val="24"/>
                <w:szCs w:val="24"/>
                <w:highlight w:val="none"/>
              </w:rPr>
              <w:t>.2</w:t>
            </w:r>
          </w:p>
        </w:tc>
        <w:tc>
          <w:tcPr>
            <w:tcW w:w="2835" w:type="dxa"/>
            <w:vAlign w:val="center"/>
          </w:tcPr>
          <w:p>
            <w:pPr>
              <w:snapToGrid w:val="0"/>
              <w:ind w:firstLine="0" w:firstLineChars="0"/>
              <w:rPr>
                <w:rFonts w:ascii="宋体" w:hAnsi="宋体" w:eastAsia="宋体"/>
                <w:sz w:val="24"/>
                <w:szCs w:val="24"/>
                <w:highlight w:val="none"/>
              </w:rPr>
            </w:pPr>
            <w:r>
              <w:rPr>
                <w:rFonts w:ascii="宋体" w:hAnsi="宋体" w:eastAsia="宋体"/>
                <w:sz w:val="24"/>
                <w:szCs w:val="24"/>
                <w:highlight w:val="none"/>
              </w:rPr>
              <w:t>管线迁移</w:t>
            </w:r>
            <w:r>
              <w:rPr>
                <w:rFonts w:hint="eastAsia" w:ascii="宋体" w:hAnsi="宋体" w:eastAsia="宋体"/>
                <w:sz w:val="24"/>
                <w:szCs w:val="24"/>
                <w:highlight w:val="none"/>
              </w:rPr>
              <w:t>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ascii="宋体" w:hAnsi="宋体" w:eastAsia="宋体"/>
                <w:sz w:val="24"/>
                <w:szCs w:val="24"/>
                <w:highlight w:val="none"/>
              </w:rPr>
              <w:t>6.</w:t>
            </w:r>
            <w:r>
              <w:rPr>
                <w:rFonts w:hint="eastAsia" w:ascii="宋体" w:hAnsi="宋体" w:eastAsia="宋体"/>
                <w:sz w:val="24"/>
                <w:szCs w:val="24"/>
                <w:highlight w:val="none"/>
              </w:rPr>
              <w:t>2</w:t>
            </w:r>
            <w:r>
              <w:rPr>
                <w:rFonts w:ascii="宋体" w:hAnsi="宋体" w:eastAsia="宋体"/>
                <w:sz w:val="24"/>
                <w:szCs w:val="24"/>
                <w:highlight w:val="none"/>
              </w:rPr>
              <w:t>.3</w:t>
            </w:r>
          </w:p>
        </w:tc>
        <w:tc>
          <w:tcPr>
            <w:tcW w:w="2835" w:type="dxa"/>
            <w:vAlign w:val="center"/>
          </w:tcPr>
          <w:p>
            <w:pPr>
              <w:snapToGrid w:val="0"/>
              <w:ind w:firstLine="0" w:firstLineChars="0"/>
              <w:rPr>
                <w:rFonts w:ascii="宋体" w:hAnsi="宋体" w:eastAsia="宋体"/>
                <w:sz w:val="24"/>
                <w:szCs w:val="24"/>
                <w:highlight w:val="none"/>
              </w:rPr>
            </w:pPr>
            <w:r>
              <w:rPr>
                <w:rFonts w:ascii="宋体" w:hAnsi="宋体" w:eastAsia="宋体"/>
                <w:sz w:val="24"/>
                <w:szCs w:val="24"/>
                <w:highlight w:val="none"/>
              </w:rPr>
              <w:t>苗木迁移</w:t>
            </w:r>
            <w:r>
              <w:rPr>
                <w:rFonts w:hint="eastAsia" w:ascii="宋体" w:hAnsi="宋体" w:eastAsia="宋体"/>
                <w:sz w:val="24"/>
                <w:szCs w:val="24"/>
                <w:highlight w:val="none"/>
              </w:rPr>
              <w:t>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r>
              <w:rPr>
                <w:rFonts w:hint="eastAsia" w:ascii="宋体" w:hAnsi="宋体" w:eastAsia="宋体"/>
                <w:sz w:val="24"/>
                <w:szCs w:val="24"/>
                <w:highlight w:val="none"/>
              </w:rPr>
              <w:t>6</w:t>
            </w:r>
            <w:r>
              <w:rPr>
                <w:rFonts w:ascii="宋体" w:hAnsi="宋体" w:eastAsia="宋体"/>
                <w:sz w:val="24"/>
                <w:szCs w:val="24"/>
                <w:highlight w:val="none"/>
              </w:rPr>
              <w:t>.</w:t>
            </w:r>
            <w:r>
              <w:rPr>
                <w:rFonts w:hint="eastAsia" w:ascii="宋体" w:hAnsi="宋体" w:eastAsia="宋体"/>
                <w:sz w:val="24"/>
                <w:szCs w:val="24"/>
                <w:highlight w:val="none"/>
              </w:rPr>
              <w:t>2</w:t>
            </w:r>
            <w:r>
              <w:rPr>
                <w:rFonts w:ascii="宋体" w:hAnsi="宋体" w:eastAsia="宋体"/>
                <w:sz w:val="24"/>
                <w:szCs w:val="24"/>
                <w:highlight w:val="none"/>
              </w:rPr>
              <w:t>.4</w:t>
            </w:r>
          </w:p>
        </w:tc>
        <w:tc>
          <w:tcPr>
            <w:tcW w:w="2835" w:type="dxa"/>
            <w:vAlign w:val="center"/>
          </w:tcPr>
          <w:p>
            <w:pPr>
              <w:snapToGrid w:val="0"/>
              <w:ind w:firstLine="0" w:firstLineChars="0"/>
              <w:rPr>
                <w:rFonts w:ascii="宋体" w:hAnsi="宋体" w:eastAsia="宋体"/>
                <w:sz w:val="24"/>
                <w:szCs w:val="24"/>
                <w:highlight w:val="none"/>
              </w:rPr>
            </w:pPr>
            <w:r>
              <w:rPr>
                <w:rFonts w:ascii="宋体" w:hAnsi="宋体" w:eastAsia="宋体"/>
                <w:sz w:val="24"/>
                <w:szCs w:val="24"/>
                <w:highlight w:val="none"/>
              </w:rPr>
              <w:t>临时租地</w:t>
            </w:r>
            <w:r>
              <w:rPr>
                <w:rFonts w:hint="eastAsia" w:ascii="宋体" w:hAnsi="宋体" w:eastAsia="宋体"/>
                <w:sz w:val="24"/>
                <w:szCs w:val="24"/>
                <w:highlight w:val="none"/>
              </w:rPr>
              <w:t>、占道费</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sz w:val="24"/>
                <w:szCs w:val="24"/>
                <w:highlight w:val="none"/>
              </w:rPr>
            </w:pPr>
          </w:p>
        </w:tc>
        <w:tc>
          <w:tcPr>
            <w:tcW w:w="2835" w:type="dxa"/>
            <w:vAlign w:val="center"/>
          </w:tcPr>
          <w:p>
            <w:pPr>
              <w:snapToGrid w:val="0"/>
              <w:ind w:firstLine="0" w:firstLineChars="0"/>
              <w:rPr>
                <w:rFonts w:ascii="宋体" w:hAnsi="宋体" w:eastAsia="宋体"/>
                <w:sz w:val="24"/>
                <w:szCs w:val="24"/>
                <w:highlight w:val="none"/>
              </w:rPr>
            </w:pPr>
            <w:r>
              <w:rPr>
                <w:rFonts w:hint="eastAsia" w:ascii="宋体" w:hAnsi="宋体" w:eastAsia="宋体"/>
                <w:sz w:val="24"/>
                <w:szCs w:val="24"/>
                <w:highlight w:val="none"/>
              </w:rPr>
              <w:t>……</w:t>
            </w:r>
          </w:p>
        </w:tc>
        <w:tc>
          <w:tcPr>
            <w:tcW w:w="2717" w:type="dxa"/>
            <w:vAlign w:val="center"/>
          </w:tcPr>
          <w:p>
            <w:pPr>
              <w:snapToGrid w:val="0"/>
              <w:ind w:firstLine="0" w:firstLineChars="0"/>
              <w:jc w:val="center"/>
              <w:rPr>
                <w:rFonts w:ascii="宋体" w:hAnsi="宋体" w:eastAsia="宋体"/>
                <w:sz w:val="24"/>
                <w:szCs w:val="24"/>
                <w:highlight w:val="none"/>
              </w:rPr>
            </w:pPr>
          </w:p>
        </w:tc>
        <w:tc>
          <w:tcPr>
            <w:tcW w:w="2180" w:type="dxa"/>
            <w:vAlign w:val="center"/>
          </w:tcPr>
          <w:p>
            <w:pPr>
              <w:snapToGrid w:val="0"/>
              <w:ind w:firstLine="0" w:firstLineChars="0"/>
              <w:jc w:val="center"/>
              <w:rPr>
                <w:rFonts w:ascii="宋体" w:hAnsi="宋体" w:eastAsia="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88" w:type="dxa"/>
            <w:vAlign w:val="center"/>
          </w:tcPr>
          <w:p>
            <w:pPr>
              <w:snapToGrid w:val="0"/>
              <w:ind w:firstLine="0" w:firstLineChars="0"/>
              <w:jc w:val="center"/>
              <w:rPr>
                <w:rFonts w:ascii="宋体" w:hAnsi="宋体" w:eastAsia="宋体"/>
                <w:b/>
                <w:bCs/>
                <w:sz w:val="24"/>
                <w:szCs w:val="24"/>
                <w:highlight w:val="none"/>
              </w:rPr>
            </w:pPr>
          </w:p>
        </w:tc>
        <w:tc>
          <w:tcPr>
            <w:tcW w:w="2835" w:type="dxa"/>
            <w:vAlign w:val="center"/>
          </w:tcPr>
          <w:p>
            <w:pPr>
              <w:snapToGrid w:val="0"/>
              <w:ind w:left="320" w:leftChars="100" w:firstLine="0" w:firstLineChars="0"/>
              <w:jc w:val="left"/>
              <w:rPr>
                <w:rFonts w:ascii="宋体" w:hAnsi="宋体" w:eastAsia="宋体"/>
                <w:b/>
                <w:bCs/>
                <w:sz w:val="24"/>
                <w:szCs w:val="24"/>
                <w:highlight w:val="none"/>
              </w:rPr>
            </w:pPr>
            <w:r>
              <w:rPr>
                <w:rFonts w:hint="eastAsia" w:ascii="宋体" w:hAnsi="宋体" w:eastAsia="宋体"/>
                <w:b/>
                <w:bCs/>
                <w:sz w:val="24"/>
                <w:szCs w:val="24"/>
                <w:highlight w:val="none"/>
              </w:rPr>
              <w:t>合 计</w:t>
            </w:r>
          </w:p>
        </w:tc>
        <w:tc>
          <w:tcPr>
            <w:tcW w:w="2717" w:type="dxa"/>
            <w:vAlign w:val="center"/>
          </w:tcPr>
          <w:p>
            <w:pPr>
              <w:snapToGrid w:val="0"/>
              <w:ind w:firstLine="0" w:firstLineChars="0"/>
              <w:jc w:val="center"/>
              <w:rPr>
                <w:rFonts w:ascii="宋体" w:hAnsi="宋体" w:eastAsia="宋体"/>
                <w:b/>
                <w:bCs/>
                <w:sz w:val="24"/>
                <w:szCs w:val="24"/>
                <w:highlight w:val="none"/>
              </w:rPr>
            </w:pPr>
          </w:p>
        </w:tc>
        <w:tc>
          <w:tcPr>
            <w:tcW w:w="2180" w:type="dxa"/>
            <w:vAlign w:val="center"/>
          </w:tcPr>
          <w:p>
            <w:pPr>
              <w:snapToGrid w:val="0"/>
              <w:ind w:firstLine="0" w:firstLineChars="0"/>
              <w:jc w:val="center"/>
              <w:rPr>
                <w:rFonts w:ascii="宋体" w:hAnsi="宋体" w:eastAsia="宋体"/>
                <w:b/>
                <w:bCs/>
                <w:sz w:val="24"/>
                <w:szCs w:val="24"/>
                <w:highlight w:val="none"/>
              </w:rPr>
            </w:pPr>
          </w:p>
        </w:tc>
      </w:tr>
    </w:tbl>
    <w:p>
      <w:pPr>
        <w:snapToGrid w:val="0"/>
        <w:spacing w:before="78" w:beforeLines="25"/>
        <w:ind w:left="334" w:hanging="334" w:hangingChars="152"/>
        <w:rPr>
          <w:rFonts w:ascii="宋体" w:hAnsi="宋体" w:eastAsia="宋体"/>
          <w:sz w:val="22"/>
          <w:szCs w:val="22"/>
          <w:highlight w:val="none"/>
        </w:rPr>
      </w:pPr>
      <w:r>
        <w:rPr>
          <w:rFonts w:hint="eastAsia" w:ascii="宋体" w:hAnsi="宋体" w:eastAsia="宋体"/>
          <w:sz w:val="22"/>
          <w:szCs w:val="22"/>
          <w:highlight w:val="none"/>
        </w:rPr>
        <w:t>注 根据招标文件的工作内容，投</w:t>
      </w:r>
      <w:r>
        <w:rPr>
          <w:rFonts w:ascii="宋体" w:hAnsi="宋体" w:eastAsia="宋体"/>
          <w:sz w:val="22"/>
          <w:szCs w:val="22"/>
          <w:highlight w:val="none"/>
        </w:rPr>
        <w:t>标人认为需要增加的费用</w:t>
      </w:r>
      <w:r>
        <w:rPr>
          <w:rFonts w:hint="eastAsia" w:ascii="宋体" w:hAnsi="宋体" w:eastAsia="宋体"/>
          <w:sz w:val="22"/>
          <w:szCs w:val="22"/>
          <w:highlight w:val="none"/>
        </w:rPr>
        <w:t>项可自行添加，并列</w:t>
      </w:r>
      <w:r>
        <w:rPr>
          <w:rFonts w:ascii="宋体" w:hAnsi="宋体" w:eastAsia="宋体"/>
          <w:sz w:val="22"/>
          <w:szCs w:val="22"/>
          <w:highlight w:val="none"/>
        </w:rPr>
        <w:t>明该项目的名称及金额</w:t>
      </w:r>
      <w:r>
        <w:rPr>
          <w:rFonts w:hint="eastAsia" w:ascii="宋体" w:hAnsi="宋体" w:eastAsia="宋体"/>
          <w:sz w:val="22"/>
          <w:szCs w:val="22"/>
          <w:highlight w:val="none"/>
        </w:rPr>
        <w:t>，</w:t>
      </w:r>
      <w:r>
        <w:rPr>
          <w:rFonts w:ascii="宋体" w:hAnsi="宋体" w:eastAsia="宋体"/>
          <w:sz w:val="22"/>
          <w:szCs w:val="22"/>
          <w:highlight w:val="none"/>
        </w:rPr>
        <w:t>一切在报价时</w:t>
      </w:r>
      <w:r>
        <w:rPr>
          <w:rFonts w:hint="eastAsia" w:ascii="宋体" w:hAnsi="宋体" w:eastAsia="宋体"/>
          <w:sz w:val="22"/>
          <w:szCs w:val="22"/>
          <w:highlight w:val="none"/>
        </w:rPr>
        <w:t>应报</w:t>
      </w:r>
      <w:r>
        <w:rPr>
          <w:rFonts w:ascii="宋体" w:hAnsi="宋体" w:eastAsia="宋体"/>
          <w:sz w:val="22"/>
          <w:szCs w:val="22"/>
          <w:highlight w:val="none"/>
        </w:rPr>
        <w:t>未报的项目均被视为已包括在报价</w:t>
      </w:r>
      <w:bookmarkStart w:id="2" w:name="_GoBack"/>
      <w:bookmarkEnd w:id="2"/>
      <w:r>
        <w:rPr>
          <w:rFonts w:ascii="宋体" w:hAnsi="宋体" w:eastAsia="宋体"/>
          <w:sz w:val="22"/>
          <w:szCs w:val="22"/>
          <w:highlight w:val="none"/>
        </w:rPr>
        <w:t>金额内</w:t>
      </w:r>
      <w:r>
        <w:rPr>
          <w:rFonts w:hint="eastAsia" w:ascii="宋体" w:hAnsi="宋体" w:eastAsia="宋体"/>
          <w:sz w:val="22"/>
          <w:szCs w:val="22"/>
          <w:highlight w:val="none"/>
        </w:rPr>
        <w:t>。</w:t>
      </w: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8388832"/>
    </w:sdtPr>
    <w:sdtEndPr>
      <w:rPr>
        <w:sz w:val="24"/>
        <w:szCs w:val="24"/>
      </w:rPr>
    </w:sdtEndPr>
    <w:sdtContent>
      <w:p>
        <w:pPr>
          <w:pStyle w:val="6"/>
          <w:numPr>
            <w:ilvl w:val="0"/>
            <w:numId w:val="1"/>
          </w:numPr>
          <w:ind w:firstLineChars="0"/>
          <w:jc w:val="center"/>
          <w:rPr>
            <w:sz w:val="24"/>
            <w:szCs w:val="24"/>
          </w:rPr>
        </w:pPr>
        <w: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rPr>
          <w:t>4</w:t>
        </w:r>
        <w:r>
          <w:rPr>
            <w:sz w:val="24"/>
            <w:szCs w:val="24"/>
          </w:rPr>
          <w:fldChar w:fldCharType="end"/>
        </w:r>
        <w:r>
          <w:rPr>
            <w:sz w:val="24"/>
            <w:szCs w:val="24"/>
          </w:rPr>
          <w:t xml:space="preserve"> </w:t>
        </w:r>
        <w:r>
          <w:rPr>
            <w:rFonts w:hint="eastAsia"/>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66F73"/>
    <w:multiLevelType w:val="singleLevel"/>
    <w:tmpl w:val="8BF66F73"/>
    <w:lvl w:ilvl="0" w:tentative="0">
      <w:start w:val="4"/>
      <w:numFmt w:val="chineseCounting"/>
      <w:suff w:val="nothing"/>
      <w:lvlText w:val="（%1）"/>
      <w:lvlJc w:val="left"/>
      <w:rPr>
        <w:rFonts w:hint="eastAsia"/>
      </w:rPr>
    </w:lvl>
  </w:abstractNum>
  <w:abstractNum w:abstractNumId="1">
    <w:nsid w:val="5B063101"/>
    <w:multiLevelType w:val="multilevel"/>
    <w:tmpl w:val="5B063101"/>
    <w:lvl w:ilvl="0" w:tentative="0">
      <w:start w:val="5"/>
      <w:numFmt w:val="bullet"/>
      <w:suff w:val="nothing"/>
      <w:lvlText w:val="—"/>
      <w:lvlJc w:val="left"/>
      <w:pPr>
        <w:ind w:left="360" w:hanging="360"/>
      </w:pPr>
      <w:rPr>
        <w:rFonts w:hint="eastAsia" w:ascii="华文仿宋" w:hAnsi="华文仿宋" w:eastAsia="华文仿宋" w:cstheme="minorBidi"/>
        <w:sz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A9911B0"/>
    <w:multiLevelType w:val="multilevel"/>
    <w:tmpl w:val="7A9911B0"/>
    <w:lvl w:ilvl="0" w:tentative="0">
      <w:start w:val="1"/>
      <w:numFmt w:val="chineseCountingThousand"/>
      <w:suff w:val="space"/>
      <w:lvlText w:val="第%1条 "/>
      <w:lvlJc w:val="left"/>
      <w:pPr>
        <w:ind w:left="4248" w:hanging="420"/>
      </w:pPr>
      <w:rPr>
        <w:rFonts w:hint="eastAsia"/>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80"/>
    <w:rsid w:val="00010988"/>
    <w:rsid w:val="000250BC"/>
    <w:rsid w:val="0002680D"/>
    <w:rsid w:val="00060DE7"/>
    <w:rsid w:val="00072921"/>
    <w:rsid w:val="00072CD5"/>
    <w:rsid w:val="00085367"/>
    <w:rsid w:val="00086C03"/>
    <w:rsid w:val="000A5CC7"/>
    <w:rsid w:val="000C2D60"/>
    <w:rsid w:val="000C464B"/>
    <w:rsid w:val="000D7562"/>
    <w:rsid w:val="000E19CF"/>
    <w:rsid w:val="000E3854"/>
    <w:rsid w:val="000F0229"/>
    <w:rsid w:val="00111366"/>
    <w:rsid w:val="00122C79"/>
    <w:rsid w:val="0012329B"/>
    <w:rsid w:val="001360A8"/>
    <w:rsid w:val="00136772"/>
    <w:rsid w:val="00143C30"/>
    <w:rsid w:val="00163654"/>
    <w:rsid w:val="00163AB1"/>
    <w:rsid w:val="00163B59"/>
    <w:rsid w:val="00166C74"/>
    <w:rsid w:val="00166EED"/>
    <w:rsid w:val="0017274E"/>
    <w:rsid w:val="0017689C"/>
    <w:rsid w:val="001B7BFD"/>
    <w:rsid w:val="001C2E2B"/>
    <w:rsid w:val="001C40E8"/>
    <w:rsid w:val="001F1125"/>
    <w:rsid w:val="001F1CCE"/>
    <w:rsid w:val="00202188"/>
    <w:rsid w:val="00253829"/>
    <w:rsid w:val="00255D3A"/>
    <w:rsid w:val="00281701"/>
    <w:rsid w:val="00281ED7"/>
    <w:rsid w:val="002926C5"/>
    <w:rsid w:val="002A5A52"/>
    <w:rsid w:val="002B2B2A"/>
    <w:rsid w:val="002D1108"/>
    <w:rsid w:val="002D1A65"/>
    <w:rsid w:val="002D520D"/>
    <w:rsid w:val="002D5668"/>
    <w:rsid w:val="0032760E"/>
    <w:rsid w:val="00330B9A"/>
    <w:rsid w:val="00350E0C"/>
    <w:rsid w:val="00356245"/>
    <w:rsid w:val="00360A57"/>
    <w:rsid w:val="00377A0C"/>
    <w:rsid w:val="00392425"/>
    <w:rsid w:val="0039663B"/>
    <w:rsid w:val="003B190E"/>
    <w:rsid w:val="003B2B50"/>
    <w:rsid w:val="003C0790"/>
    <w:rsid w:val="003D223D"/>
    <w:rsid w:val="003E6B1C"/>
    <w:rsid w:val="00405821"/>
    <w:rsid w:val="00410789"/>
    <w:rsid w:val="00411014"/>
    <w:rsid w:val="0041546C"/>
    <w:rsid w:val="00416282"/>
    <w:rsid w:val="00426779"/>
    <w:rsid w:val="00437C10"/>
    <w:rsid w:val="00441657"/>
    <w:rsid w:val="00442F4F"/>
    <w:rsid w:val="0044778B"/>
    <w:rsid w:val="0047128C"/>
    <w:rsid w:val="00486C48"/>
    <w:rsid w:val="00491BB2"/>
    <w:rsid w:val="004943BE"/>
    <w:rsid w:val="004A331D"/>
    <w:rsid w:val="004D40BD"/>
    <w:rsid w:val="004F5B7E"/>
    <w:rsid w:val="00527862"/>
    <w:rsid w:val="0053005A"/>
    <w:rsid w:val="00550E80"/>
    <w:rsid w:val="005606DA"/>
    <w:rsid w:val="00586540"/>
    <w:rsid w:val="00595B48"/>
    <w:rsid w:val="005A3402"/>
    <w:rsid w:val="005D411F"/>
    <w:rsid w:val="005D4B0C"/>
    <w:rsid w:val="005D65B8"/>
    <w:rsid w:val="005E1773"/>
    <w:rsid w:val="00605CE0"/>
    <w:rsid w:val="00647CD7"/>
    <w:rsid w:val="00667A73"/>
    <w:rsid w:val="00671DF4"/>
    <w:rsid w:val="00674DE5"/>
    <w:rsid w:val="00696DA9"/>
    <w:rsid w:val="006A0E5C"/>
    <w:rsid w:val="006A3497"/>
    <w:rsid w:val="006B17BC"/>
    <w:rsid w:val="006B4C8F"/>
    <w:rsid w:val="006E0322"/>
    <w:rsid w:val="006E11FA"/>
    <w:rsid w:val="006E65C3"/>
    <w:rsid w:val="006E7CE7"/>
    <w:rsid w:val="00700117"/>
    <w:rsid w:val="007117C9"/>
    <w:rsid w:val="00722ECE"/>
    <w:rsid w:val="00757F8D"/>
    <w:rsid w:val="00767A9A"/>
    <w:rsid w:val="007A51F4"/>
    <w:rsid w:val="007D28A4"/>
    <w:rsid w:val="007D492C"/>
    <w:rsid w:val="007E508A"/>
    <w:rsid w:val="00813AC1"/>
    <w:rsid w:val="008170B2"/>
    <w:rsid w:val="008253E6"/>
    <w:rsid w:val="00826155"/>
    <w:rsid w:val="00830710"/>
    <w:rsid w:val="00836ADF"/>
    <w:rsid w:val="00851404"/>
    <w:rsid w:val="008865C6"/>
    <w:rsid w:val="008B4566"/>
    <w:rsid w:val="008B6516"/>
    <w:rsid w:val="008C1661"/>
    <w:rsid w:val="008C7AD3"/>
    <w:rsid w:val="008D4768"/>
    <w:rsid w:val="008D4B39"/>
    <w:rsid w:val="00901CD5"/>
    <w:rsid w:val="00911442"/>
    <w:rsid w:val="00916471"/>
    <w:rsid w:val="00917AEE"/>
    <w:rsid w:val="00924418"/>
    <w:rsid w:val="0092669B"/>
    <w:rsid w:val="00936357"/>
    <w:rsid w:val="0094024C"/>
    <w:rsid w:val="009440BD"/>
    <w:rsid w:val="00955245"/>
    <w:rsid w:val="0096007B"/>
    <w:rsid w:val="00977621"/>
    <w:rsid w:val="00984E56"/>
    <w:rsid w:val="009A65B0"/>
    <w:rsid w:val="009B3E6F"/>
    <w:rsid w:val="009C3452"/>
    <w:rsid w:val="009D07AF"/>
    <w:rsid w:val="009D2DA4"/>
    <w:rsid w:val="009F035E"/>
    <w:rsid w:val="009F6B6E"/>
    <w:rsid w:val="00A10F68"/>
    <w:rsid w:val="00A17CF3"/>
    <w:rsid w:val="00A3197E"/>
    <w:rsid w:val="00A46B78"/>
    <w:rsid w:val="00A55F24"/>
    <w:rsid w:val="00A61A75"/>
    <w:rsid w:val="00A6677E"/>
    <w:rsid w:val="00A67430"/>
    <w:rsid w:val="00A8632E"/>
    <w:rsid w:val="00AA259B"/>
    <w:rsid w:val="00AA60F9"/>
    <w:rsid w:val="00AB5615"/>
    <w:rsid w:val="00AC22AD"/>
    <w:rsid w:val="00AE6C3B"/>
    <w:rsid w:val="00AF44B4"/>
    <w:rsid w:val="00AF6CB9"/>
    <w:rsid w:val="00B11DA5"/>
    <w:rsid w:val="00B57FC3"/>
    <w:rsid w:val="00B74EEE"/>
    <w:rsid w:val="00B74FB8"/>
    <w:rsid w:val="00B82008"/>
    <w:rsid w:val="00B82F53"/>
    <w:rsid w:val="00B93763"/>
    <w:rsid w:val="00BA22E3"/>
    <w:rsid w:val="00BC67DA"/>
    <w:rsid w:val="00BD082E"/>
    <w:rsid w:val="00BF56D9"/>
    <w:rsid w:val="00C21539"/>
    <w:rsid w:val="00C22001"/>
    <w:rsid w:val="00C23135"/>
    <w:rsid w:val="00C232DA"/>
    <w:rsid w:val="00C23EBA"/>
    <w:rsid w:val="00C35198"/>
    <w:rsid w:val="00C56185"/>
    <w:rsid w:val="00C91EDF"/>
    <w:rsid w:val="00C94BED"/>
    <w:rsid w:val="00C94EA1"/>
    <w:rsid w:val="00CB257F"/>
    <w:rsid w:val="00CB4B02"/>
    <w:rsid w:val="00CB759C"/>
    <w:rsid w:val="00CC34CE"/>
    <w:rsid w:val="00CD1A95"/>
    <w:rsid w:val="00CE15D3"/>
    <w:rsid w:val="00CE74D4"/>
    <w:rsid w:val="00CF20F6"/>
    <w:rsid w:val="00CF30A2"/>
    <w:rsid w:val="00CF4ABE"/>
    <w:rsid w:val="00D00942"/>
    <w:rsid w:val="00D01BE5"/>
    <w:rsid w:val="00D01F02"/>
    <w:rsid w:val="00D04980"/>
    <w:rsid w:val="00D41900"/>
    <w:rsid w:val="00D4360D"/>
    <w:rsid w:val="00D57CAF"/>
    <w:rsid w:val="00D65E96"/>
    <w:rsid w:val="00DB3586"/>
    <w:rsid w:val="00DB7FF2"/>
    <w:rsid w:val="00E307CC"/>
    <w:rsid w:val="00E31313"/>
    <w:rsid w:val="00E41585"/>
    <w:rsid w:val="00E51AAB"/>
    <w:rsid w:val="00E60727"/>
    <w:rsid w:val="00E65606"/>
    <w:rsid w:val="00E663AF"/>
    <w:rsid w:val="00E83B07"/>
    <w:rsid w:val="00E917BE"/>
    <w:rsid w:val="00E950F3"/>
    <w:rsid w:val="00EA3E35"/>
    <w:rsid w:val="00EA765F"/>
    <w:rsid w:val="00ED0E59"/>
    <w:rsid w:val="00ED31B6"/>
    <w:rsid w:val="00EE4D17"/>
    <w:rsid w:val="00EF40E5"/>
    <w:rsid w:val="00EF5BB1"/>
    <w:rsid w:val="00F072B4"/>
    <w:rsid w:val="00F13A88"/>
    <w:rsid w:val="00F3776A"/>
    <w:rsid w:val="00F47DD8"/>
    <w:rsid w:val="00F70F88"/>
    <w:rsid w:val="00F72005"/>
    <w:rsid w:val="00F8452D"/>
    <w:rsid w:val="00FA2E57"/>
    <w:rsid w:val="00FB2D50"/>
    <w:rsid w:val="00FB3892"/>
    <w:rsid w:val="00FC70F3"/>
    <w:rsid w:val="00FD0749"/>
    <w:rsid w:val="00FD2007"/>
    <w:rsid w:val="00FE5815"/>
    <w:rsid w:val="01866884"/>
    <w:rsid w:val="01E73D51"/>
    <w:rsid w:val="054D1851"/>
    <w:rsid w:val="0C7E0CE2"/>
    <w:rsid w:val="0EDF5A6C"/>
    <w:rsid w:val="145A2A97"/>
    <w:rsid w:val="20FB2E61"/>
    <w:rsid w:val="266323BD"/>
    <w:rsid w:val="31CC4DDB"/>
    <w:rsid w:val="34474D9B"/>
    <w:rsid w:val="3843345E"/>
    <w:rsid w:val="3DE50004"/>
    <w:rsid w:val="40C51209"/>
    <w:rsid w:val="42AD06BA"/>
    <w:rsid w:val="42D64BC6"/>
    <w:rsid w:val="432B6187"/>
    <w:rsid w:val="45C4033D"/>
    <w:rsid w:val="45EA5AF7"/>
    <w:rsid w:val="51487C8F"/>
    <w:rsid w:val="52565A5D"/>
    <w:rsid w:val="53E9363D"/>
    <w:rsid w:val="58A4516B"/>
    <w:rsid w:val="5DAF1395"/>
    <w:rsid w:val="6B587148"/>
    <w:rsid w:val="6D91360B"/>
    <w:rsid w:val="721669D3"/>
    <w:rsid w:val="781D3E90"/>
    <w:rsid w:val="7EC14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华文仿宋" w:hAnsi="华文仿宋" w:eastAsia="华文仿宋" w:cstheme="minorBidi"/>
      <w:kern w:val="2"/>
      <w:sz w:val="32"/>
      <w:szCs w:val="32"/>
      <w:lang w:val="en-US" w:eastAsia="zh-CN" w:bidi="ar-SA"/>
    </w:rPr>
  </w:style>
  <w:style w:type="paragraph" w:styleId="2">
    <w:name w:val="heading 1"/>
    <w:basedOn w:val="1"/>
    <w:next w:val="1"/>
    <w:link w:val="14"/>
    <w:qFormat/>
    <w:uiPriority w:val="9"/>
    <w:pPr>
      <w:jc w:val="center"/>
      <w:outlineLvl w:val="0"/>
    </w:pPr>
    <w:rPr>
      <w:rFonts w:ascii="方正小标宋简体" w:eastAsia="方正小标宋简体"/>
      <w:sz w:val="36"/>
      <w:szCs w:val="36"/>
    </w:rPr>
  </w:style>
  <w:style w:type="paragraph" w:styleId="3">
    <w:name w:val="heading 2"/>
    <w:basedOn w:val="1"/>
    <w:next w:val="1"/>
    <w:link w:val="18"/>
    <w:unhideWhenUsed/>
    <w:qFormat/>
    <w:uiPriority w:val="9"/>
    <w:pPr>
      <w:keepNext/>
      <w:spacing w:before="156" w:beforeLines="50" w:after="78" w:afterLines="25" w:line="276" w:lineRule="auto"/>
      <w:ind w:firstLine="0" w:firstLineChars="0"/>
      <w:jc w:val="center"/>
      <w:outlineLvl w:val="1"/>
    </w:pPr>
    <w:rPr>
      <w:rFonts w:ascii="黑体" w:hAnsi="黑体" w:eastAsia="黑体"/>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style>
  <w:style w:type="paragraph" w:styleId="5">
    <w:name w:val="Balloon Text"/>
    <w:basedOn w:val="1"/>
    <w:link w:val="22"/>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9">
    <w:name w:val="annotation subject"/>
    <w:basedOn w:val="4"/>
    <w:next w:val="4"/>
    <w:link w:val="21"/>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character" w:customStyle="1" w:styleId="14">
    <w:name w:val="标题 1 字符"/>
    <w:basedOn w:val="12"/>
    <w:link w:val="2"/>
    <w:qFormat/>
    <w:uiPriority w:val="9"/>
    <w:rPr>
      <w:rFonts w:ascii="方正小标宋简体" w:eastAsia="方正小标宋简体"/>
      <w:sz w:val="36"/>
      <w:szCs w:val="36"/>
    </w:rPr>
  </w:style>
  <w:style w:type="character" w:customStyle="1" w:styleId="15">
    <w:name w:val="页眉 字符"/>
    <w:basedOn w:val="12"/>
    <w:link w:val="7"/>
    <w:qFormat/>
    <w:uiPriority w:val="99"/>
    <w:rPr>
      <w:rFonts w:ascii="华文仿宋" w:hAnsi="华文仿宋" w:eastAsia="华文仿宋"/>
      <w:sz w:val="18"/>
      <w:szCs w:val="18"/>
    </w:rPr>
  </w:style>
  <w:style w:type="character" w:customStyle="1" w:styleId="16">
    <w:name w:val="页脚 字符"/>
    <w:basedOn w:val="12"/>
    <w:link w:val="6"/>
    <w:qFormat/>
    <w:uiPriority w:val="99"/>
    <w:rPr>
      <w:rFonts w:ascii="华文仿宋" w:hAnsi="华文仿宋" w:eastAsia="华文仿宋"/>
      <w:sz w:val="18"/>
      <w:szCs w:val="18"/>
    </w:rPr>
  </w:style>
  <w:style w:type="paragraph" w:styleId="17">
    <w:name w:val="List Paragraph"/>
    <w:basedOn w:val="1"/>
    <w:qFormat/>
    <w:uiPriority w:val="34"/>
    <w:pPr>
      <w:ind w:firstLine="420"/>
    </w:pPr>
  </w:style>
  <w:style w:type="character" w:customStyle="1" w:styleId="18">
    <w:name w:val="标题 2 字符"/>
    <w:basedOn w:val="12"/>
    <w:link w:val="3"/>
    <w:qFormat/>
    <w:uiPriority w:val="9"/>
    <w:rPr>
      <w:rFonts w:ascii="黑体" w:hAnsi="黑体" w:eastAsia="黑体"/>
      <w:sz w:val="32"/>
      <w:szCs w:val="32"/>
    </w:rPr>
  </w:style>
  <w:style w:type="character" w:customStyle="1" w:styleId="19">
    <w:name w:val="不明显强调1"/>
    <w:qFormat/>
    <w:uiPriority w:val="19"/>
    <w:rPr>
      <w:i/>
      <w:sz w:val="28"/>
    </w:rPr>
  </w:style>
  <w:style w:type="character" w:customStyle="1" w:styleId="20">
    <w:name w:val="批注文字 字符"/>
    <w:basedOn w:val="12"/>
    <w:link w:val="4"/>
    <w:semiHidden/>
    <w:qFormat/>
    <w:uiPriority w:val="99"/>
    <w:rPr>
      <w:rFonts w:ascii="华文仿宋" w:hAnsi="华文仿宋" w:eastAsia="华文仿宋"/>
      <w:sz w:val="32"/>
      <w:szCs w:val="32"/>
    </w:rPr>
  </w:style>
  <w:style w:type="character" w:customStyle="1" w:styleId="21">
    <w:name w:val="批注主题 字符"/>
    <w:basedOn w:val="20"/>
    <w:link w:val="9"/>
    <w:semiHidden/>
    <w:qFormat/>
    <w:uiPriority w:val="99"/>
    <w:rPr>
      <w:rFonts w:ascii="华文仿宋" w:hAnsi="华文仿宋" w:eastAsia="华文仿宋"/>
      <w:b/>
      <w:bCs/>
      <w:sz w:val="32"/>
      <w:szCs w:val="32"/>
    </w:rPr>
  </w:style>
  <w:style w:type="character" w:customStyle="1" w:styleId="22">
    <w:name w:val="批注框文本 字符"/>
    <w:basedOn w:val="12"/>
    <w:link w:val="5"/>
    <w:semiHidden/>
    <w:qFormat/>
    <w:uiPriority w:val="99"/>
    <w:rPr>
      <w:rFonts w:ascii="华文仿宋" w:hAnsi="华文仿宋" w:eastAsia="华文仿宋"/>
      <w:sz w:val="18"/>
      <w:szCs w:val="18"/>
    </w:rPr>
  </w:style>
  <w:style w:type="character" w:customStyle="1" w:styleId="23">
    <w:name w:val="fontstyle01"/>
    <w:basedOn w:val="12"/>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3349A5-8D4B-4603-B726-5D7BBB9684A8}">
  <ds:schemaRefs/>
</ds:datastoreItem>
</file>

<file path=docProps/app.xml><?xml version="1.0" encoding="utf-8"?>
<Properties xmlns="http://schemas.openxmlformats.org/officeDocument/2006/extended-properties" xmlns:vt="http://schemas.openxmlformats.org/officeDocument/2006/docPropsVTypes">
  <Template>Normal</Template>
  <Pages>14</Pages>
  <Words>928</Words>
  <Characters>5293</Characters>
  <Lines>44</Lines>
  <Paragraphs>12</Paragraphs>
  <TotalTime>2</TotalTime>
  <ScaleCrop>false</ScaleCrop>
  <LinksUpToDate>false</LinksUpToDate>
  <CharactersWithSpaces>6209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2020-12-15T00:41:00Z</dcterms:created>
  <dc:creator>li jb</dc:creator>
  <cp:lastModifiedBy>零度以下</cp:lastModifiedBy>
  <cp:lastPrinted>2020-12-21T03:08:00Z</cp:lastPrinted>
  <dcterms:modified xsi:type="dcterms:W3CDTF">2020-12-22T01:50:16Z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