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华文仿宋" w:hAnsi="华文仿宋" w:eastAsia="华文仿宋" w:cs="华文仿宋"/>
          <w:b/>
          <w:bCs/>
          <w:sz w:val="44"/>
          <w:szCs w:val="44"/>
          <w:lang w:eastAsia="zh-CN"/>
        </w:rPr>
      </w:pPr>
      <w:r>
        <w:rPr>
          <w:rFonts w:hint="eastAsia" w:ascii="华文仿宋" w:hAnsi="华文仿宋" w:eastAsia="华文仿宋" w:cs="华文仿宋"/>
          <w:b/>
          <w:bCs/>
          <w:sz w:val="44"/>
          <w:szCs w:val="44"/>
          <w:lang w:eastAsia="zh-CN"/>
        </w:rPr>
        <w:t>关于转发《省建设厅关于做好建筑材料价格异常波动风险防范化解工作的通知》</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华文仿宋" w:hAnsi="华文仿宋" w:eastAsia="华文仿宋" w:cs="华文仿宋"/>
          <w:b/>
          <w:bCs/>
          <w:sz w:val="44"/>
          <w:szCs w:val="44"/>
          <w:lang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华文仿宋" w:hAnsi="华文仿宋" w:eastAsia="华文仿宋" w:cs="华文仿宋"/>
          <w:b w:val="0"/>
          <w:bCs w:val="0"/>
          <w:i w:val="0"/>
          <w:iCs w:val="0"/>
          <w:sz w:val="32"/>
          <w:szCs w:val="32"/>
          <w:lang w:eastAsia="zh-CN"/>
        </w:rPr>
      </w:pPr>
      <w:r>
        <w:rPr>
          <w:rFonts w:hint="eastAsia" w:ascii="华文仿宋" w:hAnsi="华文仿宋" w:eastAsia="华文仿宋" w:cs="华文仿宋"/>
          <w:b w:val="0"/>
          <w:bCs w:val="0"/>
          <w:i w:val="0"/>
          <w:iCs w:val="0"/>
          <w:sz w:val="32"/>
          <w:szCs w:val="32"/>
          <w:lang w:eastAsia="zh-CN"/>
        </w:rPr>
        <w:t>各有关单位：</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华文仿宋" w:hAnsi="华文仿宋" w:eastAsia="华文仿宋" w:cs="华文仿宋"/>
          <w:b w:val="0"/>
          <w:bCs w:val="0"/>
          <w:i w:val="0"/>
          <w:iCs w:val="0"/>
          <w:sz w:val="32"/>
          <w:szCs w:val="32"/>
          <w:lang w:val="en-US" w:eastAsia="zh-CN"/>
        </w:rPr>
      </w:pPr>
      <w:r>
        <w:rPr>
          <w:rFonts w:hint="eastAsia" w:ascii="华文仿宋" w:hAnsi="华文仿宋" w:eastAsia="华文仿宋" w:cs="华文仿宋"/>
          <w:b w:val="0"/>
          <w:bCs w:val="0"/>
          <w:i w:val="0"/>
          <w:iCs w:val="0"/>
          <w:sz w:val="32"/>
          <w:szCs w:val="32"/>
          <w:lang w:val="en-US" w:eastAsia="zh-CN"/>
        </w:rPr>
        <w:t xml:space="preserve">   根据《省建设厅关于做好建筑材料价格异常波动风险防范化解工作的通知》（浙建建发（2021）33号），为进一步做好杭州市建筑材料价格异常波动风险防范化解工作，切实维护建设工程发承包双方的合法权益，保障建设工程施工合同的顺利履行，现结合我市实际，通知如下：</w:t>
      </w:r>
    </w:p>
    <w:p>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华文仿宋" w:hAnsi="华文仿宋" w:eastAsia="华文仿宋" w:cs="华文仿宋"/>
          <w:b w:val="0"/>
          <w:bCs w:val="0"/>
          <w:i w:val="0"/>
          <w:iCs w:val="0"/>
          <w:sz w:val="32"/>
          <w:szCs w:val="32"/>
          <w:lang w:val="en-US" w:eastAsia="zh-CN"/>
        </w:rPr>
      </w:pPr>
      <w:r>
        <w:rPr>
          <w:rFonts w:hint="eastAsia" w:ascii="华文仿宋" w:hAnsi="华文仿宋" w:eastAsia="华文仿宋" w:cs="华文仿宋"/>
          <w:b w:val="0"/>
          <w:bCs w:val="0"/>
          <w:i w:val="0"/>
          <w:iCs w:val="0"/>
          <w:sz w:val="32"/>
          <w:szCs w:val="32"/>
          <w:lang w:val="en-US" w:eastAsia="zh-CN"/>
        </w:rPr>
        <w:t>一、在项目前期阶段编制估算和初步设计概算时，建设单位应督促编制单位在预备费用中充分考虑材料波动引起的价格风险，将其纳入总投资中。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华文仿宋" w:hAnsi="华文仿宋" w:eastAsia="华文仿宋" w:cs="华文仿宋"/>
          <w:b w:val="0"/>
          <w:bCs w:val="0"/>
          <w:i w:val="0"/>
          <w:iCs w:val="0"/>
          <w:kern w:val="0"/>
          <w:sz w:val="32"/>
          <w:szCs w:val="32"/>
          <w:lang w:val="en-US" w:eastAsia="zh-CN" w:bidi="ar"/>
        </w:rPr>
      </w:pPr>
      <w:r>
        <w:rPr>
          <w:rFonts w:hint="eastAsia" w:ascii="华文仿宋" w:hAnsi="华文仿宋" w:eastAsia="华文仿宋" w:cs="华文仿宋"/>
          <w:b w:val="0"/>
          <w:bCs w:val="0"/>
          <w:i w:val="0"/>
          <w:iCs w:val="0"/>
          <w:sz w:val="32"/>
          <w:szCs w:val="32"/>
          <w:lang w:val="en-US" w:eastAsia="zh-CN"/>
        </w:rPr>
        <w:t>二、招标人及招标代理单位在编制招标文件时应根据拟建项目的实际情况，严格按照《关于进一步加强杭州市建设工程市场要素价格动态管理的指导意见》（杭建市发〔2018〕579号）文件规定，在招标文件的合同条件及格式中明确建筑材料价格的风险幅度以及风险幅度外采用的调价方式、价差支付方式、支付比例，不得单方面限制材料的风险调整品种类型，积极防范因市场材料价格大范围、多方位异常波动引起的价格风险</w:t>
      </w:r>
      <w:r>
        <w:rPr>
          <w:rFonts w:hint="eastAsia" w:ascii="华文仿宋" w:hAnsi="华文仿宋" w:eastAsia="华文仿宋" w:cs="华文仿宋"/>
          <w:b w:val="0"/>
          <w:bCs w:val="0"/>
          <w:i w:val="0"/>
          <w:iCs w:val="0"/>
          <w:kern w:val="0"/>
          <w:sz w:val="32"/>
          <w:szCs w:val="32"/>
          <w:lang w:val="en-US" w:eastAsia="zh-CN" w:bidi="ar"/>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仿宋" w:hAnsi="华文仿宋" w:eastAsia="华文仿宋" w:cs="华文仿宋"/>
          <w:b w:val="0"/>
          <w:bCs w:val="0"/>
          <w:i w:val="0"/>
          <w:iCs w:val="0"/>
          <w:sz w:val="32"/>
          <w:szCs w:val="32"/>
          <w:lang w:val="en-US" w:eastAsia="zh-CN"/>
        </w:rPr>
      </w:pPr>
      <w:r>
        <w:rPr>
          <w:rFonts w:hint="eastAsia" w:ascii="华文仿宋" w:hAnsi="华文仿宋" w:eastAsia="华文仿宋" w:cs="华文仿宋"/>
          <w:b w:val="0"/>
          <w:bCs w:val="0"/>
          <w:i w:val="0"/>
          <w:iCs w:val="0"/>
          <w:sz w:val="32"/>
          <w:szCs w:val="32"/>
          <w:lang w:val="en-US" w:eastAsia="zh-CN"/>
        </w:rPr>
        <w:t>三、招标人在编制招标控制价时应综合材料波动因素，当市场价格发生较大波动时，及时根据市场变化的价格信息调整拟建项目的招标控制价。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仿宋" w:hAnsi="华文仿宋" w:eastAsia="华文仿宋" w:cs="华文仿宋"/>
          <w:b w:val="0"/>
          <w:bCs w:val="0"/>
          <w:i w:val="0"/>
          <w:iCs w:val="0"/>
          <w:sz w:val="32"/>
          <w:szCs w:val="32"/>
          <w:lang w:val="en-US" w:eastAsia="zh-CN"/>
        </w:rPr>
      </w:pPr>
      <w:r>
        <w:rPr>
          <w:rFonts w:hint="eastAsia" w:ascii="华文仿宋" w:hAnsi="华文仿宋" w:eastAsia="华文仿宋" w:cs="华文仿宋"/>
          <w:b w:val="0"/>
          <w:bCs w:val="0"/>
          <w:i w:val="0"/>
          <w:iCs w:val="0"/>
          <w:sz w:val="32"/>
          <w:szCs w:val="32"/>
          <w:lang w:val="en-US" w:eastAsia="zh-CN"/>
        </w:rPr>
        <w:t>四、施工单位在投标报价过程中应综合材料价格波动因素及自身承担的风险幅度，在确定清单项目的综合单价时综合考虑相应的风险，理性报价。</w:t>
      </w:r>
    </w:p>
    <w:p>
      <w:pPr>
        <w:keepNext w:val="0"/>
        <w:keepLines w:val="0"/>
        <w:pageBreakBefore w:val="0"/>
        <w:kinsoku/>
        <w:wordWrap/>
        <w:overflowPunct/>
        <w:topLinePunct w:val="0"/>
        <w:autoSpaceDE/>
        <w:autoSpaceDN/>
        <w:bidi w:val="0"/>
        <w:adjustRightInd/>
        <w:snapToGrid/>
        <w:spacing w:line="560" w:lineRule="exact"/>
        <w:ind w:firstLine="320" w:firstLineChars="100"/>
        <w:jc w:val="both"/>
        <w:textAlignment w:val="auto"/>
        <w:rPr>
          <w:rFonts w:hint="default" w:ascii="华文仿宋" w:hAnsi="华文仿宋" w:eastAsia="华文仿宋" w:cs="华文仿宋"/>
          <w:b w:val="0"/>
          <w:bCs w:val="0"/>
          <w:i w:val="0"/>
          <w:iCs w:val="0"/>
          <w:kern w:val="0"/>
          <w:sz w:val="32"/>
          <w:szCs w:val="32"/>
          <w:lang w:val="en-US" w:eastAsia="zh-CN" w:bidi="ar"/>
        </w:rPr>
      </w:pPr>
      <w:r>
        <w:rPr>
          <w:rFonts w:hint="eastAsia" w:ascii="华文仿宋" w:hAnsi="华文仿宋" w:eastAsia="华文仿宋" w:cs="华文仿宋"/>
          <w:b w:val="0"/>
          <w:bCs w:val="0"/>
          <w:i w:val="0"/>
          <w:iCs w:val="0"/>
          <w:kern w:val="0"/>
          <w:sz w:val="32"/>
          <w:szCs w:val="32"/>
          <w:lang w:val="en-US" w:eastAsia="zh-CN" w:bidi="ar"/>
        </w:rPr>
        <w:t xml:space="preserve">  五、发承包双方在签订合同过程中，应结合项目实际特点，按照招标文件中相应条款，</w:t>
      </w:r>
      <w:r>
        <w:rPr>
          <w:rFonts w:hint="eastAsia" w:ascii="华文仿宋" w:hAnsi="华文仿宋" w:eastAsia="华文仿宋" w:cs="华文仿宋"/>
          <w:b w:val="0"/>
          <w:bCs w:val="0"/>
          <w:i w:val="0"/>
          <w:iCs w:val="0"/>
          <w:sz w:val="32"/>
          <w:szCs w:val="32"/>
          <w:lang w:val="en-US" w:eastAsia="zh-CN"/>
        </w:rPr>
        <w:t>明确材料价格波动引起的合同价格调整方式，不得违背招标文件的实质性条款约定内容。</w:t>
      </w:r>
    </w:p>
    <w:p>
      <w:pPr>
        <w:keepNext w:val="0"/>
        <w:keepLines w:val="0"/>
        <w:pageBreakBefore w:val="0"/>
        <w:kinsoku/>
        <w:wordWrap/>
        <w:overflowPunct/>
        <w:topLinePunct w:val="0"/>
        <w:autoSpaceDE/>
        <w:autoSpaceDN/>
        <w:bidi w:val="0"/>
        <w:adjustRightInd/>
        <w:snapToGrid/>
        <w:spacing w:line="560" w:lineRule="exact"/>
        <w:ind w:firstLine="320" w:firstLineChars="100"/>
        <w:jc w:val="both"/>
        <w:textAlignment w:val="auto"/>
        <w:rPr>
          <w:rFonts w:hint="eastAsia" w:ascii="华文仿宋" w:hAnsi="华文仿宋" w:eastAsia="华文仿宋" w:cs="华文仿宋"/>
          <w:b w:val="0"/>
          <w:bCs w:val="0"/>
          <w:i w:val="0"/>
          <w:iCs w:val="0"/>
          <w:kern w:val="0"/>
          <w:sz w:val="32"/>
          <w:szCs w:val="32"/>
          <w:lang w:val="en-US" w:eastAsia="zh-CN" w:bidi="ar"/>
        </w:rPr>
      </w:pPr>
      <w:r>
        <w:rPr>
          <w:rFonts w:hint="eastAsia" w:ascii="华文仿宋" w:hAnsi="华文仿宋" w:eastAsia="华文仿宋" w:cs="华文仿宋"/>
          <w:b w:val="0"/>
          <w:bCs w:val="0"/>
          <w:i w:val="0"/>
          <w:iCs w:val="0"/>
          <w:kern w:val="0"/>
          <w:sz w:val="32"/>
          <w:szCs w:val="32"/>
          <w:lang w:val="en-US" w:eastAsia="zh-CN" w:bidi="ar"/>
        </w:rPr>
        <w:t xml:space="preserve">  六、对已完成招标或已签订合同的在建工程，合同中没有约定市场要素价格调整方式或原约定调整范围、调价办法显失公平影响后续工程正常实施的，经甲乙双方协商一致后，本着诚信、公平原则，可依照</w:t>
      </w:r>
      <w:r>
        <w:rPr>
          <w:rFonts w:hint="eastAsia" w:ascii="华文仿宋" w:hAnsi="华文仿宋" w:eastAsia="华文仿宋" w:cs="华文仿宋"/>
          <w:b w:val="0"/>
          <w:bCs w:val="0"/>
          <w:i w:val="0"/>
          <w:iCs w:val="0"/>
          <w:sz w:val="32"/>
          <w:szCs w:val="32"/>
          <w:lang w:val="en-US" w:eastAsia="zh-CN"/>
        </w:rPr>
        <w:t>《关于进一步加强杭州市建设工程市场要素价格动态管理的指导意见》（杭建市</w:t>
      </w:r>
      <w:r>
        <w:rPr>
          <w:rFonts w:hint="eastAsia" w:ascii="华文仿宋" w:hAnsi="华文仿宋" w:eastAsia="华文仿宋" w:cs="华文仿宋"/>
          <w:b w:val="0"/>
          <w:bCs w:val="0"/>
          <w:i w:val="0"/>
          <w:iCs w:val="0"/>
          <w:kern w:val="0"/>
          <w:sz w:val="32"/>
          <w:szCs w:val="32"/>
          <w:lang w:val="en-US" w:eastAsia="zh-CN" w:bidi="ar"/>
        </w:rPr>
        <w:t>发〔2018〕579号）文件有关内容，签订补充协议。为缓解承包人的资金压力，对规模较大、工期较长、合同金额较高的建设工程，发承包双方如约定采用按时间进度分段或按工程形象部位（目标）分段计算调价方法的，可协商在工程进度款支付时，将材料调差部分作为工程进度款一并支付，并签订补充协议。</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华文仿宋" w:hAnsi="华文仿宋" w:eastAsia="华文仿宋" w:cs="华文仿宋"/>
          <w:b w:val="0"/>
          <w:bCs w:val="0"/>
          <w:i w:val="0"/>
          <w:iCs w:val="0"/>
          <w:kern w:val="0"/>
          <w:sz w:val="32"/>
          <w:szCs w:val="32"/>
          <w:lang w:val="en-US" w:eastAsia="zh-CN" w:bidi="ar"/>
        </w:rPr>
      </w:pPr>
      <w:r>
        <w:rPr>
          <w:rFonts w:hint="eastAsia" w:ascii="华文仿宋" w:hAnsi="华文仿宋" w:eastAsia="华文仿宋" w:cs="华文仿宋"/>
          <w:b w:val="0"/>
          <w:bCs w:val="0"/>
          <w:i w:val="0"/>
          <w:iCs w:val="0"/>
          <w:kern w:val="0"/>
          <w:sz w:val="32"/>
          <w:szCs w:val="32"/>
          <w:lang w:val="en-US" w:eastAsia="zh-CN" w:bidi="ar"/>
        </w:rPr>
        <w:t>七、各区、县（市）建设主管部门对所管辖的工程项目加强价格风险防控和监督，采取切实有效的措施及时化解合同纠纷矛盾，有效推进建设工程顺利实施。</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华文仿宋" w:hAnsi="华文仿宋" w:eastAsia="华文仿宋" w:cs="华文仿宋"/>
          <w:b w:val="0"/>
          <w:bCs w:val="0"/>
          <w:i w:val="0"/>
          <w:iCs w:val="0"/>
          <w:kern w:val="0"/>
          <w:sz w:val="32"/>
          <w:szCs w:val="32"/>
          <w:lang w:val="en-US" w:eastAsia="zh-CN" w:bidi="ar"/>
        </w:rPr>
      </w:pPr>
    </w:p>
    <w:p>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华文仿宋" w:hAnsi="华文仿宋" w:eastAsia="华文仿宋" w:cs="华文仿宋"/>
          <w:b w:val="0"/>
          <w:bCs w:val="0"/>
          <w:i w:val="0"/>
          <w:iCs w:val="0"/>
          <w:kern w:val="0"/>
          <w:sz w:val="32"/>
          <w:szCs w:val="32"/>
          <w:lang w:val="en-US" w:eastAsia="zh-CN" w:bidi="ar"/>
        </w:rPr>
      </w:pPr>
      <w:r>
        <w:rPr>
          <w:rFonts w:hint="eastAsia" w:ascii="华文仿宋" w:hAnsi="华文仿宋" w:eastAsia="华文仿宋" w:cs="华文仿宋"/>
          <w:b w:val="0"/>
          <w:bCs w:val="0"/>
          <w:i w:val="0"/>
          <w:iCs w:val="0"/>
          <w:kern w:val="0"/>
          <w:sz w:val="32"/>
          <w:szCs w:val="32"/>
          <w:lang w:val="en-US" w:eastAsia="zh-CN" w:bidi="ar"/>
        </w:rPr>
        <w:t>杭州市城乡建设委员会</w:t>
      </w:r>
    </w:p>
    <w:p>
      <w:pPr>
        <w:keepNext w:val="0"/>
        <w:keepLines w:val="0"/>
        <w:pageBreakBefore w:val="0"/>
        <w:kinsoku/>
        <w:wordWrap/>
        <w:overflowPunct/>
        <w:topLinePunct w:val="0"/>
        <w:autoSpaceDE/>
        <w:autoSpaceDN/>
        <w:bidi w:val="0"/>
        <w:adjustRightInd/>
        <w:snapToGrid/>
        <w:spacing w:line="560" w:lineRule="exact"/>
        <w:ind w:firstLine="5440" w:firstLineChars="1700"/>
        <w:jc w:val="right"/>
        <w:textAlignment w:val="auto"/>
        <w:rPr>
          <w:rFonts w:hint="default" w:ascii="华文仿宋" w:hAnsi="华文仿宋" w:eastAsia="华文仿宋" w:cs="华文仿宋"/>
          <w:b/>
          <w:bCs/>
          <w:sz w:val="30"/>
          <w:szCs w:val="30"/>
          <w:lang w:val="en-US" w:eastAsia="zh-CN"/>
        </w:rPr>
      </w:pPr>
      <w:r>
        <w:rPr>
          <w:rFonts w:hint="eastAsia" w:ascii="华文仿宋" w:hAnsi="华文仿宋" w:eastAsia="华文仿宋" w:cs="华文仿宋"/>
          <w:b w:val="0"/>
          <w:bCs w:val="0"/>
          <w:i w:val="0"/>
          <w:iCs w:val="0"/>
          <w:kern w:val="0"/>
          <w:sz w:val="32"/>
          <w:szCs w:val="32"/>
          <w:lang w:val="en-US" w:eastAsia="zh-CN" w:bidi="ar"/>
        </w:rPr>
        <w:t>2021年X</w:t>
      </w:r>
      <w:bookmarkStart w:id="0" w:name="_GoBack"/>
      <w:bookmarkEnd w:id="0"/>
      <w:r>
        <w:rPr>
          <w:rFonts w:hint="eastAsia" w:ascii="华文仿宋" w:hAnsi="华文仿宋" w:eastAsia="华文仿宋" w:cs="华文仿宋"/>
          <w:b w:val="0"/>
          <w:bCs w:val="0"/>
          <w:i w:val="0"/>
          <w:iCs w:val="0"/>
          <w:kern w:val="0"/>
          <w:sz w:val="32"/>
          <w:szCs w:val="32"/>
          <w:lang w:val="en-US" w:eastAsia="zh-CN" w:bidi="ar"/>
        </w:rPr>
        <w:t>月 X日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CB3D52"/>
    <w:rsid w:val="05B85487"/>
    <w:rsid w:val="16CB3D52"/>
    <w:rsid w:val="19B97155"/>
    <w:rsid w:val="19D406B2"/>
    <w:rsid w:val="25E95075"/>
    <w:rsid w:val="28FE588D"/>
    <w:rsid w:val="2DFA4924"/>
    <w:rsid w:val="2E2B0212"/>
    <w:rsid w:val="36344C28"/>
    <w:rsid w:val="36FD4AEE"/>
    <w:rsid w:val="395B3279"/>
    <w:rsid w:val="444845E3"/>
    <w:rsid w:val="4B332310"/>
    <w:rsid w:val="4CA05455"/>
    <w:rsid w:val="517A2977"/>
    <w:rsid w:val="540E18A4"/>
    <w:rsid w:val="5623058E"/>
    <w:rsid w:val="57001842"/>
    <w:rsid w:val="5970701D"/>
    <w:rsid w:val="5F8E0620"/>
    <w:rsid w:val="62722535"/>
    <w:rsid w:val="6A305719"/>
    <w:rsid w:val="712627F2"/>
    <w:rsid w:val="78B756F9"/>
    <w:rsid w:val="7E9731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FollowedHyperlink"/>
    <w:basedOn w:val="4"/>
    <w:qFormat/>
    <w:uiPriority w:val="0"/>
    <w:rPr>
      <w:color w:val="0000FF"/>
      <w:u w:val="none"/>
    </w:rPr>
  </w:style>
  <w:style w:type="character" w:styleId="7">
    <w:name w:val="Hyperlink"/>
    <w:basedOn w:val="4"/>
    <w:qFormat/>
    <w:uiPriority w:val="0"/>
    <w:rPr>
      <w:color w:val="0000FF"/>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2021-06-09T01:15:00Z</dcterms:created>
  <dc:creator>零度以下</dc:creator>
  <cp:lastModifiedBy>冯婧</cp:lastModifiedBy>
  <cp:lastPrinted>2021-06-09T09:27:00Z</cp:lastPrinted>
  <dcterms:modified xsi:type="dcterms:W3CDTF">2021-06-11T08:01:04Z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FB76C9568EC54B4ABD5C38569BD246A1</vt:lpwstr>
  </property>
</Properties>
</file>